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1BB9F">
      <w:pPr>
        <w:spacing w:after="200" w:line="480" w:lineRule="auto"/>
        <w:rPr>
          <w:rFonts w:ascii="Times New Roman" w:hAnsi="Times New Roman" w:eastAsia="宋体" w:cs="Times New Roman"/>
          <w:b/>
          <w:sz w:val="32"/>
          <w:szCs w:val="32"/>
          <w14:ligatures w14:val="none"/>
        </w:rPr>
      </w:pPr>
      <w:r>
        <w:rPr>
          <w:rFonts w:ascii="Times New Roman" w:hAnsi="Times New Roman" w:eastAsia="宋体" w:cs="Times New Roman"/>
          <w:b/>
          <w:sz w:val="32"/>
          <w:szCs w:val="32"/>
          <w14:ligatures w14:val="none"/>
        </w:rPr>
        <w:t>Supplemental Material</w:t>
      </w:r>
    </w:p>
    <w:p w14:paraId="7DD7BEEA">
      <w:pPr>
        <w:spacing w:after="200" w:line="480" w:lineRule="auto"/>
        <w:rPr>
          <w:rFonts w:ascii="Times New Roman" w:hAnsi="Times New Roman" w:eastAsia="宋体" w:cs="Times New Roman"/>
          <w:b/>
          <w:sz w:val="28"/>
          <w:szCs w:val="28"/>
          <w14:ligatures w14:val="none"/>
        </w:rPr>
      </w:pPr>
      <w:r>
        <w:rPr>
          <w:rFonts w:ascii="Times New Roman" w:hAnsi="Times New Roman" w:eastAsia="宋体" w:cs="Times New Roman"/>
          <w:b/>
          <w:sz w:val="28"/>
          <w:szCs w:val="28"/>
          <w14:ligatures w14:val="none"/>
        </w:rPr>
        <w:t>Contents</w:t>
      </w:r>
    </w:p>
    <w:p w14:paraId="58C41676">
      <w:pPr>
        <w:spacing w:after="200" w:line="480" w:lineRule="auto"/>
        <w:rPr>
          <w:rFonts w:ascii="Times New Roman" w:hAnsi="Times New Roman" w:eastAsia="宋体" w:cs="Times New Roman"/>
          <w:b/>
          <w:szCs w:val="21"/>
          <w14:ligatures w14:val="none"/>
        </w:rPr>
      </w:pPr>
      <w:r>
        <w:rPr>
          <w:rFonts w:ascii="Times New Roman" w:hAnsi="Times New Roman" w:eastAsia="宋体" w:cs="Times New Roman"/>
          <w:b/>
          <w:szCs w:val="21"/>
          <w14:ligatures w14:val="none"/>
        </w:rPr>
        <w:t xml:space="preserve">Appendix 1 </w:t>
      </w:r>
      <w:r>
        <w:rPr>
          <w:rFonts w:ascii="Times New Roman" w:hAnsi="Times New Roman" w:eastAsia="宋体" w:cs="Times New Roman"/>
          <w:szCs w:val="21"/>
          <w14:ligatures w14:val="none"/>
        </w:rPr>
        <w:t>Search strategy of electronic databases</w:t>
      </w:r>
      <w:r>
        <w:rPr>
          <w:rFonts w:hint="eastAsia" w:ascii="Times New Roman" w:hAnsi="Times New Roman" w:eastAsia="宋体" w:cs="Times New Roman"/>
          <w:szCs w:val="21"/>
          <w14:ligatures w14:val="none"/>
        </w:rPr>
        <w:t xml:space="preserve">. </w:t>
      </w:r>
      <w:r>
        <w:rPr>
          <w:rFonts w:ascii="Times New Roman" w:hAnsi="Times New Roman" w:eastAsia="宋体" w:cs="Times New Roman"/>
          <w:szCs w:val="21"/>
          <w14:ligatures w14:val="none"/>
        </w:rPr>
        <w:t>(</w:t>
      </w:r>
      <w:bookmarkStart w:id="0" w:name="_Hlk205894724"/>
      <w:r>
        <w:rPr>
          <w:rFonts w:ascii="Times New Roman" w:hAnsi="Times New Roman" w:eastAsia="宋体" w:cs="Times New Roman"/>
          <w:szCs w:val="21"/>
          <w14:ligatures w14:val="none"/>
        </w:rPr>
        <w:t xml:space="preserve">Table </w:t>
      </w:r>
      <w:r>
        <w:rPr>
          <w:rFonts w:hint="eastAsia" w:ascii="Times New Roman" w:hAnsi="Times New Roman" w:eastAsia="宋体" w:cs="Times New Roman"/>
          <w:szCs w:val="21"/>
          <w14:ligatures w14:val="none"/>
        </w:rPr>
        <w:t>A</w:t>
      </w:r>
      <w:r>
        <w:rPr>
          <w:rFonts w:ascii="Times New Roman" w:hAnsi="Times New Roman" w:eastAsia="宋体" w:cs="Times New Roman"/>
          <w:szCs w:val="21"/>
          <w14:ligatures w14:val="none"/>
        </w:rPr>
        <w:t>1</w:t>
      </w:r>
      <w:bookmarkEnd w:id="0"/>
      <w:r>
        <w:rPr>
          <w:rFonts w:ascii="Times New Roman" w:hAnsi="Times New Roman" w:eastAsia="宋体" w:cs="Times New Roman"/>
          <w:szCs w:val="21"/>
          <w14:ligatures w14:val="none"/>
        </w:rPr>
        <w:t>)</w:t>
      </w:r>
    </w:p>
    <w:p w14:paraId="759E85A7">
      <w:pPr>
        <w:spacing w:after="200" w:line="480" w:lineRule="auto"/>
        <w:rPr>
          <w:rFonts w:ascii="Times New Roman" w:hAnsi="Times New Roman" w:eastAsia="宋体" w:cs="Times New Roman"/>
          <w:b/>
          <w:szCs w:val="21"/>
          <w14:ligatures w14:val="none"/>
        </w:rPr>
      </w:pPr>
      <w:bookmarkStart w:id="1" w:name="OLE_LINK28"/>
      <w:r>
        <w:rPr>
          <w:rFonts w:ascii="Times New Roman" w:hAnsi="Times New Roman" w:eastAsia="宋体" w:cs="Times New Roman"/>
          <w:b/>
          <w:szCs w:val="21"/>
          <w14:ligatures w14:val="none"/>
        </w:rPr>
        <w:t xml:space="preserve">Appendix 2 </w:t>
      </w:r>
      <w:bookmarkEnd w:id="1"/>
      <w:r>
        <w:rPr>
          <w:rFonts w:ascii="Times New Roman" w:hAnsi="Times New Roman" w:eastAsia="宋体" w:cs="Times New Roman"/>
          <w:szCs w:val="21"/>
          <w14:ligatures w14:val="none"/>
        </w:rPr>
        <w:t>Inclusion and Exclusion Criteria for Article Screening</w:t>
      </w:r>
      <w:r>
        <w:rPr>
          <w:rFonts w:hint="eastAsia" w:ascii="Times New Roman" w:hAnsi="Times New Roman" w:eastAsia="宋体" w:cs="Times New Roman"/>
          <w:szCs w:val="21"/>
          <w14:ligatures w14:val="none"/>
        </w:rPr>
        <w:t xml:space="preserve">. </w:t>
      </w:r>
      <w:r>
        <w:rPr>
          <w:rFonts w:ascii="Times New Roman" w:hAnsi="Times New Roman" w:eastAsia="宋体" w:cs="Times New Roman"/>
          <w:szCs w:val="21"/>
          <w14:ligatures w14:val="none"/>
        </w:rPr>
        <w:t>(</w:t>
      </w:r>
      <w:bookmarkStart w:id="2" w:name="OLE_LINK34"/>
      <w:r>
        <w:rPr>
          <w:rFonts w:ascii="Times New Roman" w:hAnsi="Times New Roman" w:eastAsia="宋体" w:cs="Times New Roman"/>
          <w:szCs w:val="21"/>
          <w14:ligatures w14:val="none"/>
        </w:rPr>
        <w:t>Table</w:t>
      </w:r>
      <w:bookmarkEnd w:id="2"/>
      <w:r>
        <w:rPr>
          <w:rFonts w:ascii="Times New Roman" w:hAnsi="Times New Roman" w:eastAsia="宋体" w:cs="Times New Roman"/>
          <w:szCs w:val="21"/>
          <w14:ligatures w14:val="none"/>
        </w:rPr>
        <w:t xml:space="preserve"> </w:t>
      </w:r>
      <w:r>
        <w:rPr>
          <w:rFonts w:hint="eastAsia" w:ascii="Times New Roman" w:hAnsi="Times New Roman" w:eastAsia="宋体" w:cs="Times New Roman"/>
          <w:szCs w:val="21"/>
          <w14:ligatures w14:val="none"/>
        </w:rPr>
        <w:t>A2,</w:t>
      </w:r>
      <w:r>
        <w:rPr>
          <w:rFonts w:hint="eastAsia" w:ascii="Times New Roman" w:hAnsi="Times New Roman" w:eastAsia="宋体" w:cs="Times New Roman"/>
          <w:szCs w:val="21"/>
          <w:lang w:val="en-US" w:eastAsia="zh-CN"/>
          <w14:ligatures w14:val="none"/>
        </w:rPr>
        <w:t xml:space="preserve"> </w:t>
      </w:r>
      <w:r>
        <w:rPr>
          <w:rFonts w:hint="eastAsia" w:ascii="Times New Roman" w:hAnsi="Times New Roman" w:eastAsia="宋体" w:cs="Times New Roman"/>
          <w:szCs w:val="21"/>
          <w14:ligatures w14:val="none"/>
        </w:rPr>
        <w:t>A3</w:t>
      </w:r>
      <w:r>
        <w:rPr>
          <w:rFonts w:ascii="Times New Roman" w:hAnsi="Times New Roman" w:eastAsia="宋体" w:cs="Times New Roman"/>
          <w:szCs w:val="21"/>
          <w14:ligatures w14:val="none"/>
        </w:rPr>
        <w:t>)</w:t>
      </w:r>
    </w:p>
    <w:p w14:paraId="5D7A613C">
      <w:pPr>
        <w:spacing w:after="200" w:line="480" w:lineRule="auto"/>
        <w:rPr>
          <w:rFonts w:ascii="Times New Roman" w:hAnsi="Times New Roman" w:eastAsia="宋体" w:cs="Times New Roman"/>
          <w:szCs w:val="21"/>
          <w14:ligatures w14:val="none"/>
        </w:rPr>
      </w:pPr>
      <w:r>
        <w:rPr>
          <w:rFonts w:ascii="Times New Roman" w:hAnsi="Times New Roman" w:eastAsia="宋体" w:cs="Times New Roman"/>
          <w:b/>
          <w:szCs w:val="21"/>
          <w14:ligatures w14:val="none"/>
        </w:rPr>
        <w:t xml:space="preserve">Appendix 3 </w:t>
      </w:r>
      <w:r>
        <w:rPr>
          <w:rFonts w:ascii="Times New Roman" w:hAnsi="Times New Roman" w:eastAsia="宋体" w:cs="Times New Roman"/>
          <w:szCs w:val="21"/>
          <w14:ligatures w14:val="none"/>
        </w:rPr>
        <w:t xml:space="preserve">Quality Assessment of the </w:t>
      </w:r>
      <w:r>
        <w:rPr>
          <w:rFonts w:hint="eastAsia" w:ascii="Times New Roman" w:hAnsi="Times New Roman" w:eastAsia="宋体" w:cs="Times New Roman"/>
          <w:szCs w:val="21"/>
          <w14:ligatures w14:val="none"/>
        </w:rPr>
        <w:t xml:space="preserve">Included </w:t>
      </w:r>
      <w:r>
        <w:rPr>
          <w:rFonts w:ascii="Times New Roman" w:hAnsi="Times New Roman" w:eastAsia="宋体" w:cs="Times New Roman"/>
          <w:szCs w:val="21"/>
          <w14:ligatures w14:val="none"/>
        </w:rPr>
        <w:t>Studies</w:t>
      </w:r>
      <w:r>
        <w:rPr>
          <w:rFonts w:hint="eastAsia" w:ascii="Times New Roman" w:hAnsi="Times New Roman" w:eastAsia="宋体" w:cs="Times New Roman"/>
          <w:szCs w:val="21"/>
          <w14:ligatures w14:val="none"/>
        </w:rPr>
        <w:t xml:space="preserve">. </w:t>
      </w:r>
      <w:r>
        <w:rPr>
          <w:rFonts w:ascii="Times New Roman" w:hAnsi="Times New Roman" w:eastAsia="宋体" w:cs="Times New Roman"/>
          <w:szCs w:val="21"/>
          <w14:ligatures w14:val="none"/>
        </w:rPr>
        <w:t xml:space="preserve">(Table </w:t>
      </w:r>
      <w:r>
        <w:rPr>
          <w:rFonts w:hint="eastAsia" w:ascii="Times New Roman" w:hAnsi="Times New Roman" w:eastAsia="宋体" w:cs="Times New Roman"/>
          <w:szCs w:val="21"/>
          <w14:ligatures w14:val="none"/>
        </w:rPr>
        <w:t>A4-6</w:t>
      </w:r>
      <w:r>
        <w:rPr>
          <w:rFonts w:ascii="Times New Roman" w:hAnsi="Times New Roman" w:eastAsia="宋体" w:cs="Times New Roman"/>
          <w:szCs w:val="21"/>
          <w14:ligatures w14:val="none"/>
        </w:rPr>
        <w:t>)</w:t>
      </w:r>
    </w:p>
    <w:p w14:paraId="3AF12785">
      <w:pPr>
        <w:spacing w:after="200" w:line="480" w:lineRule="auto"/>
        <w:rPr>
          <w:rFonts w:ascii="Times New Roman" w:hAnsi="Times New Roman" w:eastAsia="宋体" w:cs="Times New Roman"/>
          <w:b/>
          <w:szCs w:val="21"/>
          <w14:ligatures w14:val="none"/>
        </w:rPr>
      </w:pPr>
      <w:r>
        <w:rPr>
          <w:rFonts w:ascii="Times New Roman" w:hAnsi="Times New Roman" w:eastAsia="宋体" w:cs="Times New Roman"/>
          <w:b/>
          <w:szCs w:val="21"/>
          <w14:ligatures w14:val="none"/>
        </w:rPr>
        <w:t>Appendix 4</w:t>
      </w:r>
      <w:r>
        <w:rPr>
          <w:rFonts w:ascii="Times New Roman" w:hAnsi="Times New Roman" w:eastAsia="宋体" w:cs="Times New Roman"/>
          <w:szCs w:val="21"/>
          <w14:ligatures w14:val="none"/>
        </w:rPr>
        <w:t xml:space="preserve"> Characteristics of Included Studies in the Systematic Review and Meta-analysis</w:t>
      </w:r>
      <w:r>
        <w:rPr>
          <w:rFonts w:hint="eastAsia" w:ascii="Times New Roman" w:hAnsi="Times New Roman" w:eastAsia="宋体" w:cs="Times New Roman"/>
          <w:szCs w:val="21"/>
          <w14:ligatures w14:val="none"/>
        </w:rPr>
        <w:t xml:space="preserve">. </w:t>
      </w:r>
      <w:r>
        <w:rPr>
          <w:rFonts w:ascii="Times New Roman" w:hAnsi="Times New Roman" w:eastAsia="宋体" w:cs="Times New Roman"/>
          <w:szCs w:val="21"/>
          <w14:ligatures w14:val="none"/>
        </w:rPr>
        <w:t xml:space="preserve">(Table </w:t>
      </w:r>
      <w:r>
        <w:rPr>
          <w:rFonts w:hint="eastAsia" w:ascii="Times New Roman" w:hAnsi="Times New Roman" w:eastAsia="宋体" w:cs="Times New Roman"/>
          <w:szCs w:val="21"/>
          <w14:ligatures w14:val="none"/>
        </w:rPr>
        <w:t>A7-11</w:t>
      </w:r>
      <w:r>
        <w:rPr>
          <w:rFonts w:ascii="Times New Roman" w:hAnsi="Times New Roman" w:eastAsia="宋体" w:cs="Times New Roman"/>
          <w:szCs w:val="21"/>
          <w14:ligatures w14:val="none"/>
        </w:rPr>
        <w:t>)</w:t>
      </w:r>
    </w:p>
    <w:p w14:paraId="28C20F71">
      <w:pPr>
        <w:spacing w:after="200" w:line="480" w:lineRule="auto"/>
        <w:rPr>
          <w:rFonts w:ascii="Times New Roman" w:hAnsi="Times New Roman" w:eastAsia="宋体" w:cs="Times New Roman"/>
          <w:szCs w:val="21"/>
          <w14:ligatures w14:val="none"/>
        </w:rPr>
      </w:pPr>
      <w:r>
        <w:rPr>
          <w:rFonts w:ascii="Times New Roman" w:hAnsi="Times New Roman" w:eastAsia="宋体" w:cs="Times New Roman"/>
          <w:b/>
          <w:szCs w:val="21"/>
          <w14:ligatures w14:val="none"/>
        </w:rPr>
        <w:t xml:space="preserve">Appendix </w:t>
      </w:r>
      <w:r>
        <w:rPr>
          <w:rFonts w:hint="eastAsia" w:ascii="Times New Roman" w:hAnsi="Times New Roman" w:eastAsia="宋体" w:cs="Times New Roman"/>
          <w:b/>
          <w:szCs w:val="21"/>
          <w14:ligatures w14:val="none"/>
        </w:rPr>
        <w:t>5</w:t>
      </w:r>
      <w:r>
        <w:rPr>
          <w:rFonts w:ascii="Times New Roman" w:hAnsi="Times New Roman" w:eastAsia="宋体" w:cs="Times New Roman"/>
          <w:b/>
          <w:szCs w:val="21"/>
          <w14:ligatures w14:val="none"/>
        </w:rPr>
        <w:t xml:space="preserve"> </w:t>
      </w:r>
      <w:r>
        <w:rPr>
          <w:rFonts w:hint="eastAsia" w:ascii="Times New Roman" w:hAnsi="Times New Roman" w:eastAsia="宋体" w:cs="Times New Roman"/>
          <w:szCs w:val="21"/>
          <w14:ligatures w14:val="none"/>
        </w:rPr>
        <w:t>Funnel plot of the study on the influencing factors of antibacterial drug prescriptions.</w:t>
      </w:r>
    </w:p>
    <w:p w14:paraId="5085E24C">
      <w:pPr>
        <w:spacing w:after="200" w:line="480" w:lineRule="auto"/>
        <w:rPr>
          <w:rFonts w:ascii="Times New Roman" w:hAnsi="Times New Roman" w:eastAsia="宋体" w:cs="Times New Roman"/>
          <w:b/>
          <w:szCs w:val="21"/>
          <w14:ligatures w14:val="none"/>
        </w:rPr>
      </w:pPr>
      <w:r>
        <w:rPr>
          <w:rFonts w:ascii="Times New Roman" w:hAnsi="Times New Roman" w:eastAsia="宋体" w:cs="Times New Roman"/>
          <w:szCs w:val="21"/>
          <w14:ligatures w14:val="none"/>
        </w:rPr>
        <w:t xml:space="preserve"> (Figure </w:t>
      </w:r>
      <w:r>
        <w:rPr>
          <w:rFonts w:hint="eastAsia" w:ascii="Times New Roman" w:hAnsi="Times New Roman" w:eastAsia="宋体" w:cs="Times New Roman"/>
          <w:szCs w:val="21"/>
          <w14:ligatures w14:val="none"/>
        </w:rPr>
        <w:t>A1</w:t>
      </w:r>
      <w:r>
        <w:rPr>
          <w:rFonts w:ascii="Times New Roman" w:hAnsi="Times New Roman" w:eastAsia="宋体" w:cs="Times New Roman"/>
          <w:szCs w:val="21"/>
          <w14:ligatures w14:val="none"/>
        </w:rPr>
        <w:t>)</w:t>
      </w:r>
    </w:p>
    <w:p w14:paraId="3B47544D">
      <w:pPr>
        <w:spacing w:after="200" w:line="480" w:lineRule="auto"/>
        <w:rPr>
          <w:rFonts w:ascii="Times New Roman" w:hAnsi="Times New Roman" w:eastAsia="宋体" w:cs="Times New Roman"/>
          <w:szCs w:val="21"/>
          <w14:ligatures w14:val="none"/>
        </w:rPr>
      </w:pPr>
      <w:r>
        <w:rPr>
          <w:rFonts w:ascii="Times New Roman" w:hAnsi="Times New Roman" w:eastAsia="宋体" w:cs="Times New Roman"/>
          <w:b/>
          <w:szCs w:val="21"/>
          <w14:ligatures w14:val="none"/>
        </w:rPr>
        <w:t xml:space="preserve">Appendix </w:t>
      </w:r>
      <w:r>
        <w:rPr>
          <w:rFonts w:hint="eastAsia" w:ascii="Times New Roman" w:hAnsi="Times New Roman" w:eastAsia="宋体" w:cs="Times New Roman"/>
          <w:b/>
          <w:szCs w:val="21"/>
          <w14:ligatures w14:val="none"/>
        </w:rPr>
        <w:t>6</w:t>
      </w:r>
      <w:r>
        <w:rPr>
          <w:rFonts w:ascii="Times New Roman" w:hAnsi="Times New Roman" w:eastAsia="宋体" w:cs="Times New Roman"/>
          <w:szCs w:val="21"/>
          <w14:ligatures w14:val="none"/>
        </w:rPr>
        <w:t xml:space="preserve"> </w:t>
      </w:r>
      <w:r>
        <w:rPr>
          <w:rFonts w:hint="eastAsia" w:ascii="Times New Roman" w:hAnsi="Times New Roman" w:eastAsia="宋体" w:cs="Times New Roman"/>
          <w:szCs w:val="21"/>
          <w14:ligatures w14:val="none"/>
        </w:rPr>
        <w:t xml:space="preserve">Forest plot and funnel plot of the study on the effect of antimicrobial drug prescription intervention measures. </w:t>
      </w:r>
      <w:r>
        <w:rPr>
          <w:rFonts w:ascii="Times New Roman" w:hAnsi="Times New Roman" w:eastAsia="宋体" w:cs="Times New Roman"/>
          <w:szCs w:val="21"/>
          <w14:ligatures w14:val="none"/>
        </w:rPr>
        <w:t xml:space="preserve">(Figure </w:t>
      </w:r>
      <w:r>
        <w:rPr>
          <w:rFonts w:hint="eastAsia" w:ascii="Times New Roman" w:hAnsi="Times New Roman" w:eastAsia="宋体" w:cs="Times New Roman"/>
          <w:szCs w:val="21"/>
          <w14:ligatures w14:val="none"/>
        </w:rPr>
        <w:t>A2-6</w:t>
      </w:r>
      <w:r>
        <w:rPr>
          <w:rFonts w:ascii="Times New Roman" w:hAnsi="Times New Roman" w:eastAsia="宋体" w:cs="Times New Roman"/>
          <w:szCs w:val="21"/>
          <w14:ligatures w14:val="none"/>
        </w:rPr>
        <w:t>)</w:t>
      </w:r>
    </w:p>
    <w:p w14:paraId="32563223">
      <w:pPr>
        <w:spacing w:after="200" w:line="480" w:lineRule="auto"/>
        <w:rPr>
          <w:rFonts w:ascii="Times New Roman" w:hAnsi="Times New Roman" w:eastAsia="宋体" w:cs="Times New Roman"/>
          <w:szCs w:val="21"/>
          <w14:ligatures w14:val="none"/>
        </w:rPr>
      </w:pPr>
      <w:r>
        <w:rPr>
          <w:rFonts w:ascii="Times New Roman" w:hAnsi="Times New Roman" w:eastAsia="宋体" w:cs="Times New Roman"/>
          <w:b/>
          <w:szCs w:val="21"/>
          <w14:ligatures w14:val="none"/>
        </w:rPr>
        <w:t xml:space="preserve">Appendix </w:t>
      </w:r>
      <w:r>
        <w:rPr>
          <w:rFonts w:hint="eastAsia" w:ascii="Times New Roman" w:hAnsi="Times New Roman" w:eastAsia="宋体" w:cs="Times New Roman"/>
          <w:b/>
          <w:szCs w:val="21"/>
          <w14:ligatures w14:val="none"/>
        </w:rPr>
        <w:t>7</w:t>
      </w:r>
      <w:r>
        <w:rPr>
          <w:rFonts w:ascii="Times New Roman" w:hAnsi="Times New Roman" w:eastAsia="宋体" w:cs="Times New Roman"/>
          <w:szCs w:val="21"/>
          <w14:ligatures w14:val="none"/>
        </w:rPr>
        <w:t xml:space="preserve"> </w:t>
      </w:r>
      <w:r>
        <w:rPr>
          <w:rFonts w:hint="eastAsia" w:ascii="Times New Roman" w:hAnsi="Times New Roman" w:eastAsia="宋体" w:cs="Times New Roman"/>
          <w:szCs w:val="21"/>
          <w14:ligatures w14:val="none"/>
        </w:rPr>
        <w:t>Studies assessing the effect of intervention on antibiotic prescribing behaviour.</w:t>
      </w:r>
    </w:p>
    <w:p w14:paraId="3A79EDE2">
      <w:pPr>
        <w:spacing w:after="200" w:line="480" w:lineRule="auto"/>
        <w:rPr>
          <w:rFonts w:ascii="Times New Roman" w:hAnsi="Times New Roman" w:eastAsia="宋体" w:cs="Times New Roman"/>
          <w:szCs w:val="21"/>
          <w14:ligatures w14:val="none"/>
        </w:rPr>
      </w:pPr>
      <w:r>
        <w:rPr>
          <w:rFonts w:ascii="Times New Roman" w:hAnsi="Times New Roman" w:eastAsia="宋体" w:cs="Times New Roman"/>
          <w:szCs w:val="21"/>
          <w14:ligatures w14:val="none"/>
        </w:rPr>
        <w:t xml:space="preserve">(Table </w:t>
      </w:r>
      <w:r>
        <w:rPr>
          <w:rFonts w:hint="eastAsia" w:ascii="Times New Roman" w:hAnsi="Times New Roman" w:eastAsia="宋体" w:cs="Times New Roman"/>
          <w:szCs w:val="21"/>
          <w14:ligatures w14:val="none"/>
        </w:rPr>
        <w:t>A12</w:t>
      </w:r>
      <w:r>
        <w:rPr>
          <w:rFonts w:ascii="Times New Roman" w:hAnsi="Times New Roman" w:eastAsia="宋体" w:cs="Times New Roman"/>
          <w:szCs w:val="21"/>
          <w14:ligatures w14:val="none"/>
        </w:rPr>
        <w:t>)</w:t>
      </w:r>
    </w:p>
    <w:p w14:paraId="2B359351">
      <w:pPr>
        <w:rPr>
          <w:rFonts w:ascii="Times New Roman" w:hAnsi="Times New Roman" w:cs="Times New Roman"/>
          <w:b/>
          <w:bCs/>
          <w:sz w:val="28"/>
          <w:szCs w:val="28"/>
        </w:rPr>
      </w:pPr>
      <w:r>
        <w:rPr>
          <w:rFonts w:ascii="Times New Roman" w:hAnsi="Times New Roman" w:cs="Times New Roman"/>
          <w:b/>
          <w:bCs/>
          <w:sz w:val="28"/>
          <w:szCs w:val="28"/>
        </w:rPr>
        <w:br w:type="page"/>
      </w:r>
    </w:p>
    <w:p w14:paraId="7C81CB63">
      <w:pPr>
        <w:rPr>
          <w:rFonts w:ascii="Times New Roman" w:hAnsi="Times New Roman" w:cs="Times New Roman"/>
          <w:b/>
          <w:bCs/>
          <w:sz w:val="28"/>
          <w:szCs w:val="28"/>
        </w:rPr>
      </w:pPr>
      <w:bookmarkStart w:id="3" w:name="_Hlk205983018"/>
      <w:r>
        <w:rPr>
          <w:rFonts w:ascii="Times New Roman" w:hAnsi="Times New Roman" w:cs="Times New Roman"/>
          <w:b/>
          <w:bCs/>
          <w:sz w:val="28"/>
          <w:szCs w:val="28"/>
        </w:rPr>
        <w:t xml:space="preserve">Appendix 1 </w:t>
      </w:r>
    </w:p>
    <w:bookmarkEnd w:id="3"/>
    <w:p w14:paraId="599AC900">
      <w:pPr>
        <w:jc w:val="left"/>
        <w:rPr>
          <w:rFonts w:ascii="Times New Roman" w:hAnsi="Times New Roman" w:cs="Times New Roman"/>
          <w:sz w:val="24"/>
          <w:szCs w:val="24"/>
        </w:rPr>
      </w:pPr>
      <w:r>
        <w:rPr>
          <w:rFonts w:ascii="Times New Roman" w:hAnsi="Times New Roman" w:cs="Times New Roman"/>
          <w:b/>
          <w:bCs/>
          <w:sz w:val="24"/>
          <w:szCs w:val="24"/>
        </w:rPr>
        <w:t xml:space="preserve">Table </w:t>
      </w:r>
      <w:r>
        <w:rPr>
          <w:rFonts w:hint="eastAsia" w:ascii="Times New Roman" w:hAnsi="Times New Roman" w:cs="Times New Roman"/>
          <w:b/>
          <w:bCs/>
          <w:sz w:val="24"/>
          <w:szCs w:val="24"/>
        </w:rPr>
        <w:t>A</w:t>
      </w:r>
      <w:r>
        <w:rPr>
          <w:rFonts w:ascii="Times New Roman" w:hAnsi="Times New Roman" w:cs="Times New Roman"/>
          <w:b/>
          <w:bCs/>
          <w:sz w:val="24"/>
          <w:szCs w:val="24"/>
        </w:rPr>
        <w:t>1</w:t>
      </w:r>
      <w:r>
        <w:rPr>
          <w:rFonts w:hint="eastAsia" w:ascii="Times New Roman" w:hAnsi="Times New Roman" w:cs="Times New Roman"/>
          <w:sz w:val="24"/>
          <w:szCs w:val="24"/>
        </w:rPr>
        <w:t xml:space="preserve">. </w:t>
      </w:r>
      <w:r>
        <w:rPr>
          <w:rFonts w:ascii="Times New Roman" w:hAnsi="Times New Roman" w:cs="Times New Roman"/>
          <w:sz w:val="24"/>
          <w:szCs w:val="24"/>
        </w:rPr>
        <w:t>Search strategy of electronic databases</w:t>
      </w:r>
      <w:r>
        <w:rPr>
          <w:rFonts w:hint="eastAsia" w:ascii="Times New Roman" w:hAnsi="Times New Roman" w:cs="Times New Roman"/>
          <w:sz w:val="24"/>
          <w:szCs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BD9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CF1DF4A">
            <w:pPr>
              <w:rPr>
                <w:rFonts w:ascii="Times New Roman" w:hAnsi="Times New Roman" w:cs="Times New Roman"/>
                <w:b/>
                <w:bCs/>
              </w:rPr>
            </w:pPr>
            <w:r>
              <w:fldChar w:fldCharType="begin"/>
            </w:r>
            <w:r>
              <w:instrText xml:space="preserve"> HYPERLINK "https://www.embase.com/" \l "advancedSearch/resultspage/history.5/page.1/25.items/orderby.date/source." </w:instrText>
            </w:r>
            <w:r>
              <w:fldChar w:fldCharType="separate"/>
            </w:r>
            <w:r>
              <w:rPr>
                <w:rStyle w:val="10"/>
                <w:rFonts w:ascii="Times New Roman" w:hAnsi="Times New Roman" w:cs="Times New Roman"/>
                <w:b/>
                <w:bCs/>
                <w:color w:val="auto"/>
                <w:u w:val="none"/>
              </w:rPr>
              <w:t>Embase</w:t>
            </w:r>
            <w:r>
              <w:rPr>
                <w:rStyle w:val="10"/>
                <w:rFonts w:ascii="Times New Roman" w:hAnsi="Times New Roman" w:cs="Times New Roman"/>
                <w:b/>
                <w:bCs/>
                <w:color w:val="auto"/>
                <w:u w:val="none"/>
              </w:rPr>
              <w:fldChar w:fldCharType="end"/>
            </w:r>
          </w:p>
          <w:p w14:paraId="4A4B514E">
            <w:pPr>
              <w:rPr>
                <w:rFonts w:ascii="Times New Roman" w:hAnsi="Times New Roman" w:cs="Times New Roman"/>
              </w:rPr>
            </w:pPr>
            <w:r>
              <w:rPr>
                <w:rFonts w:ascii="Times New Roman" w:hAnsi="Times New Roman" w:cs="Times New Roman"/>
              </w:rPr>
              <w:t>#1 antibiotic:ab,ti OR 'anti bacterial':ab,ti OR antibacterial:ab,ti OR antimicrobial:ab,ti OR 'antibiotic agent'/exp OR 'antiinfective agent'/exp</w:t>
            </w:r>
          </w:p>
          <w:p w14:paraId="76F064F0">
            <w:pPr>
              <w:rPr>
                <w:rFonts w:ascii="Times New Roman" w:hAnsi="Times New Roman" w:cs="Times New Roman"/>
              </w:rPr>
            </w:pPr>
            <w:r>
              <w:rPr>
                <w:rFonts w:ascii="Times New Roman" w:hAnsi="Times New Roman" w:cs="Times New Roman"/>
              </w:rPr>
              <w:t>#2 'prescription'/exp OR 'drug use'/exp OR use:ab,ti OR usage:ab,ti OR supply:ab,ti OR utilization:ab,ti OR abuse:ab,ti OR misuse:ab,ti OR overuse:ab,ti OR prescribe:ab,ti</w:t>
            </w:r>
          </w:p>
          <w:p w14:paraId="38C8F103">
            <w:pPr>
              <w:rPr>
                <w:rFonts w:ascii="Times New Roman" w:hAnsi="Times New Roman" w:cs="Times New Roman"/>
              </w:rPr>
            </w:pPr>
            <w:r>
              <w:rPr>
                <w:rFonts w:ascii="Times New Roman" w:hAnsi="Times New Roman" w:cs="Times New Roman"/>
              </w:rPr>
              <w:t>#3 doctor:ab,ti OR surgeon:ab,ti OR 'medicine provider':ab,ti OR 'physician'/exp</w:t>
            </w:r>
          </w:p>
          <w:p w14:paraId="62398DB7">
            <w:pPr>
              <w:rPr>
                <w:rFonts w:ascii="Times New Roman" w:hAnsi="Times New Roman" w:cs="Times New Roman"/>
              </w:rPr>
            </w:pPr>
            <w:r>
              <w:rPr>
                <w:rFonts w:ascii="Times New Roman" w:hAnsi="Times New Roman" w:cs="Times New Roman"/>
              </w:rPr>
              <w:t>#4 influence:ab,ti OR factor*:ab,ti OR intervention*:ab,ti OR barrier*:ab,ti OR effect*:ab,ti OR affect*:ab,ti OR determinant*:ab,ti OR change:ab,ti OR alter:ab,ti</w:t>
            </w:r>
          </w:p>
          <w:p w14:paraId="3AD4AC0E">
            <w:pPr>
              <w:rPr>
                <w:rFonts w:ascii="Times New Roman" w:hAnsi="Times New Roman" w:cs="Times New Roman"/>
              </w:rPr>
            </w:pPr>
            <w:r>
              <w:rPr>
                <w:rFonts w:ascii="Times New Roman" w:hAnsi="Times New Roman" w:cs="Times New Roman"/>
              </w:rPr>
              <w:t>#5 AND #1-4</w:t>
            </w:r>
          </w:p>
        </w:tc>
      </w:tr>
      <w:tr w14:paraId="2BC4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79E451B">
            <w:pPr>
              <w:rPr>
                <w:rFonts w:ascii="Times New Roman" w:hAnsi="Times New Roman" w:cs="Times New Roman"/>
                <w:b/>
                <w:bCs/>
              </w:rPr>
            </w:pPr>
            <w:r>
              <w:rPr>
                <w:rFonts w:ascii="Times New Roman" w:hAnsi="Times New Roman" w:cs="Times New Roman"/>
                <w:b/>
                <w:bCs/>
              </w:rPr>
              <w:t>Web of science</w:t>
            </w:r>
          </w:p>
          <w:p w14:paraId="29965251">
            <w:pPr>
              <w:rPr>
                <w:rFonts w:ascii="Times New Roman" w:hAnsi="Times New Roman" w:cs="Times New Roman"/>
              </w:rPr>
            </w:pPr>
            <w:r>
              <w:rPr>
                <w:rFonts w:ascii="Times New Roman" w:hAnsi="Times New Roman" w:cs="Times New Roman"/>
              </w:rPr>
              <w:t xml:space="preserve">#1 TS=(anti-bacterial  OR "anti-infective agents" OR  antimicrobial OR antibiotic* OR antibacterial) AND </w:t>
            </w:r>
          </w:p>
          <w:p w14:paraId="06E0BC67">
            <w:pPr>
              <w:rPr>
                <w:rFonts w:ascii="Times New Roman" w:hAnsi="Times New Roman" w:cs="Times New Roman"/>
              </w:rPr>
            </w:pPr>
            <w:r>
              <w:rPr>
                <w:rFonts w:ascii="Times New Roman" w:hAnsi="Times New Roman" w:cs="Times New Roman"/>
              </w:rPr>
              <w:t xml:space="preserve">#2 TS=(prescriptions OR prescribe OR supply OR usage OR use OR utilization OR abuse OR misuse OR overuse OR consumption)) AND </w:t>
            </w:r>
          </w:p>
          <w:p w14:paraId="76A88020">
            <w:pPr>
              <w:rPr>
                <w:rFonts w:ascii="Times New Roman" w:hAnsi="Times New Roman" w:cs="Times New Roman"/>
              </w:rPr>
            </w:pPr>
            <w:r>
              <w:rPr>
                <w:rFonts w:ascii="Times New Roman" w:hAnsi="Times New Roman" w:cs="Times New Roman"/>
              </w:rPr>
              <w:t xml:space="preserve">#3 TS=(doctor$ OR physician$ OR surgeon$ OR "medicine provider$")) AND </w:t>
            </w:r>
          </w:p>
          <w:p w14:paraId="39483B1E">
            <w:pPr>
              <w:rPr>
                <w:rFonts w:ascii="Times New Roman" w:hAnsi="Times New Roman" w:cs="Times New Roman"/>
              </w:rPr>
            </w:pPr>
            <w:r>
              <w:rPr>
                <w:rFonts w:ascii="Times New Roman" w:hAnsi="Times New Roman" w:cs="Times New Roman"/>
              </w:rPr>
              <w:t>#4 TS=( change OR influenc* OR factor$ OR intervention$ OR barrier$ OR effect$ OR determinant$ OR affect$ )</w:t>
            </w:r>
          </w:p>
          <w:p w14:paraId="2FBAC92F">
            <w:pPr>
              <w:rPr>
                <w:rFonts w:ascii="Times New Roman" w:hAnsi="Times New Roman" w:cs="Times New Roman"/>
              </w:rPr>
            </w:pPr>
            <w:r>
              <w:rPr>
                <w:rFonts w:ascii="Times New Roman" w:hAnsi="Times New Roman" w:cs="Times New Roman"/>
              </w:rPr>
              <w:t>#5 AND #1-4</w:t>
            </w:r>
          </w:p>
        </w:tc>
      </w:tr>
      <w:tr w14:paraId="592A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D48BCC1">
            <w:pPr>
              <w:rPr>
                <w:rFonts w:ascii="Times New Roman" w:hAnsi="Times New Roman" w:cs="Times New Roman"/>
                <w:b/>
                <w:bCs/>
              </w:rPr>
            </w:pPr>
            <w:r>
              <w:rPr>
                <w:rFonts w:ascii="Times New Roman" w:hAnsi="Times New Roman" w:cs="Times New Roman"/>
                <w:b/>
                <w:bCs/>
              </w:rPr>
              <w:t>Cochrane library</w:t>
            </w:r>
          </w:p>
          <w:p w14:paraId="3A7DEA64">
            <w:pPr>
              <w:rPr>
                <w:rFonts w:ascii="Times New Roman" w:hAnsi="Times New Roman" w:cs="Times New Roman"/>
              </w:rPr>
            </w:pPr>
            <w:r>
              <w:rPr>
                <w:rFonts w:ascii="Times New Roman" w:hAnsi="Times New Roman" w:cs="Times New Roman"/>
              </w:rPr>
              <w:t>#1</w:t>
            </w:r>
            <w:r>
              <w:rPr>
                <w:rFonts w:ascii="Times New Roman" w:hAnsi="Times New Roman" w:cs="Times New Roman"/>
              </w:rPr>
              <w:tab/>
            </w:r>
            <w:r>
              <w:rPr>
                <w:rFonts w:ascii="Times New Roman" w:hAnsi="Times New Roman" w:cs="Times New Roman"/>
              </w:rPr>
              <w:t>MeSH descriptor: [Anti-Bacterial Agents] explode all trees</w:t>
            </w:r>
            <w:r>
              <w:rPr>
                <w:rFonts w:ascii="Times New Roman" w:hAnsi="Times New Roman" w:cs="Times New Roman"/>
              </w:rPr>
              <w:tab/>
            </w:r>
            <w:r>
              <w:rPr>
                <w:rFonts w:ascii="Times New Roman" w:hAnsi="Times New Roman" w:cs="Times New Roman"/>
              </w:rPr>
              <w:t>16916</w:t>
            </w:r>
          </w:p>
          <w:p w14:paraId="0B95D39A">
            <w:pPr>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MeSH descriptor: [Anti-Infective Agents] explode all trees</w:t>
            </w:r>
            <w:r>
              <w:rPr>
                <w:rFonts w:ascii="Times New Roman" w:hAnsi="Times New Roman" w:cs="Times New Roman"/>
              </w:rPr>
              <w:tab/>
            </w:r>
            <w:r>
              <w:rPr>
                <w:rFonts w:ascii="Times New Roman" w:hAnsi="Times New Roman" w:cs="Times New Roman"/>
              </w:rPr>
              <w:t>40655</w:t>
            </w:r>
          </w:p>
          <w:p w14:paraId="0DE3632F">
            <w:pPr>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(antibiotic*):ti,ab,kw OR (antimicrobial):ti,ab,kw OR (antibacterial):ti,ab,kw OR (anti-bacterial):ti,ab,kw</w:t>
            </w:r>
            <w:r>
              <w:rPr>
                <w:rFonts w:ascii="Times New Roman" w:hAnsi="Times New Roman" w:cs="Times New Roman"/>
              </w:rPr>
              <w:tab/>
            </w:r>
            <w:r>
              <w:rPr>
                <w:rFonts w:ascii="Times New Roman" w:hAnsi="Times New Roman" w:cs="Times New Roman"/>
              </w:rPr>
              <w:t>51663</w:t>
            </w:r>
          </w:p>
          <w:p w14:paraId="6760CA4E">
            <w:pPr>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#1 OR #2 OR #3</w:t>
            </w:r>
            <w:r>
              <w:rPr>
                <w:rFonts w:ascii="Times New Roman" w:hAnsi="Times New Roman" w:cs="Times New Roman"/>
              </w:rPr>
              <w:tab/>
            </w:r>
            <w:r>
              <w:rPr>
                <w:rFonts w:ascii="Times New Roman" w:hAnsi="Times New Roman" w:cs="Times New Roman"/>
              </w:rPr>
              <w:t>74306</w:t>
            </w:r>
          </w:p>
          <w:p w14:paraId="073DF013">
            <w:pPr>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MeSH descriptor: [Prescriptions] explode all trees</w:t>
            </w:r>
            <w:r>
              <w:rPr>
                <w:rFonts w:ascii="Times New Roman" w:hAnsi="Times New Roman" w:cs="Times New Roman"/>
              </w:rPr>
              <w:tab/>
            </w:r>
            <w:r>
              <w:rPr>
                <w:rFonts w:ascii="Times New Roman" w:hAnsi="Times New Roman" w:cs="Times New Roman"/>
              </w:rPr>
              <w:t>1600</w:t>
            </w:r>
          </w:p>
          <w:p w14:paraId="6E2FC54B">
            <w:pPr>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MeSH descriptor: [Practice Patterns, Physicians'] explode all trees</w:t>
            </w:r>
            <w:r>
              <w:rPr>
                <w:rFonts w:ascii="Times New Roman" w:hAnsi="Times New Roman" w:cs="Times New Roman"/>
              </w:rPr>
              <w:tab/>
            </w:r>
            <w:r>
              <w:rPr>
                <w:rFonts w:ascii="Times New Roman" w:hAnsi="Times New Roman" w:cs="Times New Roman"/>
              </w:rPr>
              <w:t>2035</w:t>
            </w:r>
          </w:p>
          <w:p w14:paraId="39B0B785">
            <w:pPr>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(prescribe):ti,ab,kw OR (supply):ti,ab,kw OR (usage):ti,ab,kw OR (use):ti,ab,kw OR (utilization):ti,ab,kw OR (abuse):ti,ab,kw OR (misuse):ti,ab,kw OR (overuse):ti,ab,kw OR (consumption):ti,ab,kw</w:t>
            </w:r>
            <w:r>
              <w:rPr>
                <w:rFonts w:ascii="Times New Roman" w:hAnsi="Times New Roman" w:cs="Times New Roman"/>
              </w:rPr>
              <w:tab/>
            </w:r>
            <w:r>
              <w:rPr>
                <w:rFonts w:ascii="Times New Roman" w:hAnsi="Times New Roman" w:cs="Times New Roman"/>
              </w:rPr>
              <w:t>676568</w:t>
            </w:r>
          </w:p>
          <w:p w14:paraId="4B7D4B19">
            <w:pPr>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#5 OR #6 OR #7</w:t>
            </w:r>
            <w:r>
              <w:rPr>
                <w:rFonts w:ascii="Times New Roman" w:hAnsi="Times New Roman" w:cs="Times New Roman"/>
              </w:rPr>
              <w:tab/>
            </w:r>
            <w:r>
              <w:rPr>
                <w:rFonts w:ascii="Times New Roman" w:hAnsi="Times New Roman" w:cs="Times New Roman"/>
              </w:rPr>
              <w:t>677684</w:t>
            </w:r>
          </w:p>
          <w:p w14:paraId="20B6D97F">
            <w:pPr>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 doctor*):ti,ab,kw OR (physician*):ti,ab,kw OR (surgeon*):ti,ab,kw OR (medicine provider*):ti,ab,kw</w:t>
            </w:r>
            <w:r>
              <w:rPr>
                <w:rFonts w:ascii="Times New Roman" w:hAnsi="Times New Roman" w:cs="Times New Roman"/>
              </w:rPr>
              <w:tab/>
            </w:r>
            <w:r>
              <w:rPr>
                <w:rFonts w:ascii="Times New Roman" w:hAnsi="Times New Roman" w:cs="Times New Roman"/>
              </w:rPr>
              <w:t>96158</w:t>
            </w:r>
          </w:p>
          <w:p w14:paraId="21C2A7B1">
            <w:pPr>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(change*):ti,ab,kw OR (influenc*):ti,ab,kw OR (factor*):ti,ab,kw OR (intervention*):ti,ab,kw OR ( barrier*):ti,ab,kw OR (effect*):ti,ab,kw OR (determinant*):ti,ab,kw OR (affect*):ti,ab,kw</w:t>
            </w:r>
            <w:r>
              <w:rPr>
                <w:rFonts w:ascii="Times New Roman" w:hAnsi="Times New Roman" w:cs="Times New Roman"/>
              </w:rPr>
              <w:tab/>
            </w:r>
            <w:r>
              <w:rPr>
                <w:rFonts w:ascii="Times New Roman" w:hAnsi="Times New Roman" w:cs="Times New Roman"/>
              </w:rPr>
              <w:t>1653222</w:t>
            </w:r>
          </w:p>
          <w:p w14:paraId="3B62D249">
            <w:pPr>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#4 AND #8 AND #9 AND #10</w:t>
            </w:r>
            <w:r>
              <w:rPr>
                <w:rFonts w:ascii="Times New Roman" w:hAnsi="Times New Roman" w:cs="Times New Roman"/>
              </w:rPr>
              <w:tab/>
            </w:r>
            <w:r>
              <w:rPr>
                <w:rFonts w:ascii="Times New Roman" w:hAnsi="Times New Roman" w:cs="Times New Roman"/>
              </w:rPr>
              <w:t>2629</w:t>
            </w:r>
          </w:p>
        </w:tc>
      </w:tr>
      <w:tr w14:paraId="18EF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E069B78">
            <w:pPr>
              <w:rPr>
                <w:rFonts w:ascii="Times New Roman" w:hAnsi="Times New Roman" w:cs="Times New Roman"/>
                <w:b/>
                <w:bCs/>
              </w:rPr>
            </w:pPr>
            <w:r>
              <w:rPr>
                <w:rFonts w:ascii="Times New Roman" w:hAnsi="Times New Roman" w:cs="Times New Roman"/>
                <w:b/>
                <w:bCs/>
              </w:rPr>
              <w:t>Pubmed</w:t>
            </w:r>
          </w:p>
          <w:p w14:paraId="484FC63B">
            <w:pPr>
              <w:rPr>
                <w:rFonts w:ascii="Times New Roman" w:hAnsi="Times New Roman" w:cs="Times New Roman"/>
              </w:rPr>
            </w:pPr>
            <w:r>
              <w:rPr>
                <w:rFonts w:ascii="Times New Roman" w:hAnsi="Times New Roman" w:cs="Times New Roman"/>
              </w:rPr>
              <w:t>#1 (((((((antibiotic*[Title/Abstract])OR (anti-bacterial[Title/Abstract])) OR (anti-bacterial agents[MeSH Terms]))OR (anti-infective agents[MeSH Terms])) OR(antimicrobial[Title/Abstract])) OR(antibacterial[Title/Abstract])))AND</w:t>
            </w:r>
          </w:p>
          <w:p w14:paraId="37749C34">
            <w:pPr>
              <w:rPr>
                <w:rFonts w:ascii="Times New Roman" w:hAnsi="Times New Roman" w:cs="Times New Roman"/>
              </w:rPr>
            </w:pPr>
            <w:r>
              <w:rPr>
                <w:rFonts w:ascii="Times New Roman" w:hAnsi="Times New Roman" w:cs="Times New Roman"/>
              </w:rPr>
              <w:t xml:space="preserve">#2 ((((((((((((use[Title/Abstract]) OR (usage[Title/Abstract])) OR (supply[Title/Abstract])) OR (utilization[Title/Abstract])) OR (abuse[Title/Abstract])) OR (misuse[Title/Abstract])) OR (overuse[Title/Abstract])) OR (prescribe[Title/Abstract])) OR (prescriptions[MeSH Terms])) OR (consumption[Title/Abstract])) OR ("Practice Patterns, Physicians'"[MesH Terms])))AND </w:t>
            </w:r>
          </w:p>
          <w:p w14:paraId="0F993768">
            <w:pPr>
              <w:rPr>
                <w:rFonts w:ascii="Times New Roman" w:hAnsi="Times New Roman" w:cs="Times New Roman"/>
              </w:rPr>
            </w:pPr>
            <w:r>
              <w:rPr>
                <w:rFonts w:ascii="Times New Roman" w:hAnsi="Times New Roman" w:cs="Times New Roman"/>
              </w:rPr>
              <w:t xml:space="preserve">#3 ((((doctor*[Title/Abstract]) OR (physician*[Title/Abstract])) OR (surgeon*[Title/Abstract])) OR (medicine provider*[Title/Abstract])) AND </w:t>
            </w:r>
          </w:p>
          <w:p w14:paraId="03EF5352">
            <w:pPr>
              <w:rPr>
                <w:rFonts w:ascii="Times New Roman" w:hAnsi="Times New Roman" w:cs="Times New Roman"/>
              </w:rPr>
            </w:pPr>
            <w:r>
              <w:rPr>
                <w:rFonts w:ascii="Times New Roman" w:hAnsi="Times New Roman" w:cs="Times New Roman"/>
              </w:rPr>
              <w:t>#4</w:t>
            </w:r>
            <w:r>
              <w:rPr>
                <w:rFonts w:hint="eastAsia" w:ascii="Times New Roman" w:hAnsi="Times New Roman" w:cs="Times New Roman"/>
              </w:rPr>
              <w:t xml:space="preserve"> </w:t>
            </w:r>
            <w:r>
              <w:rPr>
                <w:rFonts w:ascii="Times New Roman" w:hAnsi="Times New Roman" w:cs="Times New Roman"/>
              </w:rPr>
              <w:t>(((((((((influenc*[Title/Abstract]) OR (factor*[Title/Abstract])) OR (intervention*[Title/Abstract])) OR (barrier*[Title/Abstract])) OR (effect*[Title/Abstract])) OR (determinant*[Title/Abstract])) OR (change[Title/Abstract])) OR affect*[Title/Abstract]))</w:t>
            </w:r>
          </w:p>
          <w:p w14:paraId="3D30EC8B">
            <w:pPr>
              <w:rPr>
                <w:rFonts w:ascii="Times New Roman" w:hAnsi="Times New Roman" w:cs="Times New Roman"/>
              </w:rPr>
            </w:pPr>
            <w:r>
              <w:rPr>
                <w:rFonts w:ascii="Times New Roman" w:hAnsi="Times New Roman" w:cs="Times New Roman"/>
              </w:rPr>
              <w:t>#5 AND #1-4</w:t>
            </w:r>
          </w:p>
        </w:tc>
      </w:tr>
    </w:tbl>
    <w:p w14:paraId="1FFC349B">
      <w:pPr>
        <w:rPr>
          <w:rFonts w:ascii="Times New Roman" w:hAnsi="Times New Roman" w:cs="Times New Roman"/>
          <w:b/>
          <w:bCs/>
          <w:sz w:val="28"/>
          <w:szCs w:val="28"/>
        </w:rPr>
      </w:pPr>
      <w:r>
        <w:rPr>
          <w:rFonts w:hint="eastAsia" w:ascii="Times New Roman" w:hAnsi="Times New Roman" w:cs="Times New Roman"/>
          <w:b/>
          <w:bCs/>
          <w:sz w:val="28"/>
          <w:szCs w:val="28"/>
        </w:rPr>
        <w:br w:type="page"/>
      </w:r>
    </w:p>
    <w:p w14:paraId="459EE3F1">
      <w:pPr>
        <w:rPr>
          <w:rFonts w:ascii="Times New Roman" w:hAnsi="Times New Roman" w:cs="Times New Roman"/>
          <w:b/>
          <w:bCs/>
          <w:sz w:val="28"/>
          <w:szCs w:val="28"/>
        </w:rPr>
      </w:pPr>
      <w:r>
        <w:rPr>
          <w:rFonts w:ascii="Times New Roman" w:hAnsi="Times New Roman" w:eastAsia="宋体" w:cs="Times New Roman"/>
          <w:b/>
          <w:sz w:val="28"/>
          <w:szCs w:val="28"/>
          <w14:ligatures w14:val="none"/>
        </w:rPr>
        <w:t>Appendix 2</w:t>
      </w:r>
    </w:p>
    <w:p w14:paraId="3F163325">
      <w:pPr>
        <w:jc w:val="left"/>
        <w:rPr>
          <w:rFonts w:ascii="Times New Roman" w:hAnsi="Times New Roman" w:cs="Times New Roman"/>
          <w:sz w:val="24"/>
          <w:szCs w:val="24"/>
        </w:rPr>
      </w:pPr>
      <w:r>
        <w:rPr>
          <w:rFonts w:ascii="Times New Roman" w:hAnsi="Times New Roman" w:cs="Times New Roman"/>
          <w:b/>
          <w:bCs/>
          <w:sz w:val="24"/>
          <w:szCs w:val="24"/>
        </w:rPr>
        <w:t>Table</w:t>
      </w:r>
      <w:r>
        <w:rPr>
          <w:rFonts w:hint="eastAsia" w:ascii="Times New Roman" w:hAnsi="Times New Roman" w:cs="Times New Roman"/>
          <w:b/>
          <w:bCs/>
          <w:sz w:val="24"/>
          <w:szCs w:val="24"/>
        </w:rPr>
        <w:t xml:space="preserve"> A2</w:t>
      </w:r>
      <w:r>
        <w:rPr>
          <w:rFonts w:hint="eastAsia" w:ascii="Times New Roman" w:hAnsi="Times New Roman" w:cs="Times New Roman"/>
          <w:sz w:val="24"/>
          <w:szCs w:val="24"/>
        </w:rPr>
        <w:t>. Inclusion and exclusion criteria for studies on the influencing factors of antimicrobial drug prescriptions.</w:t>
      </w:r>
    </w:p>
    <w:tbl>
      <w:tblPr>
        <w:tblStyle w:val="6"/>
        <w:tblW w:w="9720" w:type="dxa"/>
        <w:jc w:val="center"/>
        <w:tblLayout w:type="fixed"/>
        <w:tblCellMar>
          <w:top w:w="0" w:type="dxa"/>
          <w:left w:w="108" w:type="dxa"/>
          <w:bottom w:w="0" w:type="dxa"/>
          <w:right w:w="108" w:type="dxa"/>
        </w:tblCellMar>
      </w:tblPr>
      <w:tblGrid>
        <w:gridCol w:w="2073"/>
        <w:gridCol w:w="4106"/>
        <w:gridCol w:w="3541"/>
      </w:tblGrid>
      <w:tr w14:paraId="59499F88">
        <w:tblPrEx>
          <w:tblCellMar>
            <w:top w:w="0" w:type="dxa"/>
            <w:left w:w="108" w:type="dxa"/>
            <w:bottom w:w="0" w:type="dxa"/>
            <w:right w:w="108" w:type="dxa"/>
          </w:tblCellMar>
        </w:tblPrEx>
        <w:trPr>
          <w:trHeight w:val="340" w:hRule="atLeast"/>
          <w:jc w:val="center"/>
        </w:trPr>
        <w:tc>
          <w:tcPr>
            <w:tcW w:w="2073" w:type="dxa"/>
            <w:tcBorders>
              <w:top w:val="single" w:color="888888" w:sz="4" w:space="0"/>
              <w:left w:val="single" w:color="888888" w:sz="4" w:space="0"/>
              <w:bottom w:val="nil"/>
              <w:right w:val="single" w:color="888888" w:sz="4" w:space="0"/>
            </w:tcBorders>
            <w:shd w:val="clear" w:color="000000" w:fill="C7C8CC"/>
            <w:vAlign w:val="center"/>
          </w:tcPr>
          <w:p w14:paraId="51B4FA84">
            <w:pPr>
              <w:widowControl/>
              <w:jc w:val="center"/>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w:t>
            </w:r>
            <w:r>
              <w:rPr>
                <w:rFonts w:ascii="Times New Roman" w:hAnsi="Times New Roman" w:eastAsia="宋体" w:cs="Times New Roman"/>
                <w:color w:val="000000"/>
                <w:kern w:val="0"/>
                <w:sz w:val="24"/>
                <w:szCs w:val="24"/>
                <w:lang w:bidi="ar"/>
              </w:rPr>
              <w:t>​Category​</w:t>
            </w:r>
            <w:r>
              <w:rPr>
                <w:rFonts w:ascii="Times New Roman" w:hAnsi="Times New Roman" w:eastAsia="宋体" w:cs="Times New Roman"/>
                <w:b/>
                <w:bCs/>
                <w:color w:val="000000"/>
                <w:kern w:val="0"/>
                <w:sz w:val="24"/>
                <w:szCs w:val="24"/>
                <w:lang w:bidi="ar"/>
              </w:rPr>
              <w:t>​</w:t>
            </w:r>
          </w:p>
        </w:tc>
        <w:tc>
          <w:tcPr>
            <w:tcW w:w="4106" w:type="dxa"/>
            <w:tcBorders>
              <w:top w:val="single" w:color="888888" w:sz="4" w:space="0"/>
              <w:left w:val="nil"/>
              <w:bottom w:val="nil"/>
              <w:right w:val="dashed" w:color="888888" w:sz="4" w:space="0"/>
            </w:tcBorders>
            <w:shd w:val="clear" w:color="000000" w:fill="FFFFFF"/>
            <w:vAlign w:val="center"/>
          </w:tcPr>
          <w:p w14:paraId="26FB7F42">
            <w:pPr>
              <w:widowControl/>
              <w:jc w:val="center"/>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w:t>
            </w:r>
            <w:r>
              <w:rPr>
                <w:rFonts w:ascii="Times New Roman" w:hAnsi="Times New Roman" w:eastAsia="宋体" w:cs="Times New Roman"/>
                <w:color w:val="000000"/>
                <w:kern w:val="0"/>
                <w:sz w:val="24"/>
                <w:szCs w:val="24"/>
                <w:lang w:bidi="ar"/>
              </w:rPr>
              <w:t>​Inclusion Criteria​</w:t>
            </w:r>
            <w:r>
              <w:rPr>
                <w:rFonts w:ascii="Times New Roman" w:hAnsi="Times New Roman" w:eastAsia="宋体" w:cs="Times New Roman"/>
                <w:b/>
                <w:bCs/>
                <w:color w:val="000000"/>
                <w:kern w:val="0"/>
                <w:sz w:val="24"/>
                <w:szCs w:val="24"/>
                <w:lang w:bidi="ar"/>
              </w:rPr>
              <w:t>​</w:t>
            </w:r>
          </w:p>
        </w:tc>
        <w:tc>
          <w:tcPr>
            <w:tcW w:w="3541" w:type="dxa"/>
            <w:tcBorders>
              <w:top w:val="single" w:color="888888" w:sz="4" w:space="0"/>
              <w:left w:val="nil"/>
              <w:bottom w:val="nil"/>
              <w:right w:val="single" w:color="888888" w:sz="4" w:space="0"/>
            </w:tcBorders>
            <w:shd w:val="clear" w:color="000000" w:fill="FFFFFF"/>
            <w:vAlign w:val="center"/>
          </w:tcPr>
          <w:p w14:paraId="194DD0A2">
            <w:pPr>
              <w:widowControl/>
              <w:jc w:val="center"/>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w:t>
            </w:r>
            <w:r>
              <w:rPr>
                <w:rFonts w:ascii="Times New Roman" w:hAnsi="Times New Roman" w:eastAsia="宋体" w:cs="Times New Roman"/>
                <w:color w:val="000000"/>
                <w:kern w:val="0"/>
                <w:sz w:val="24"/>
                <w:szCs w:val="24"/>
                <w:lang w:bidi="ar"/>
              </w:rPr>
              <w:t>​Exclusion Criteria​</w:t>
            </w:r>
            <w:r>
              <w:rPr>
                <w:rFonts w:ascii="Times New Roman" w:hAnsi="Times New Roman" w:eastAsia="宋体" w:cs="Times New Roman"/>
                <w:b/>
                <w:bCs/>
                <w:color w:val="000000"/>
                <w:kern w:val="0"/>
                <w:sz w:val="24"/>
                <w:szCs w:val="24"/>
                <w:lang w:bidi="ar"/>
              </w:rPr>
              <w:t>​</w:t>
            </w:r>
          </w:p>
        </w:tc>
      </w:tr>
      <w:tr w14:paraId="44541EC7">
        <w:tblPrEx>
          <w:tblCellMar>
            <w:top w:w="0" w:type="dxa"/>
            <w:left w:w="108" w:type="dxa"/>
            <w:bottom w:w="0" w:type="dxa"/>
            <w:right w:w="108" w:type="dxa"/>
          </w:tblCellMar>
        </w:tblPrEx>
        <w:trPr>
          <w:trHeight w:val="1120"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787A059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Study Design</w:t>
            </w:r>
          </w:p>
        </w:tc>
        <w:tc>
          <w:tcPr>
            <w:tcW w:w="4106" w:type="dxa"/>
            <w:tcBorders>
              <w:top w:val="nil"/>
              <w:left w:val="nil"/>
              <w:bottom w:val="nil"/>
              <w:right w:val="dashed" w:color="888888" w:sz="4" w:space="0"/>
            </w:tcBorders>
            <w:shd w:val="clear" w:color="000000" w:fill="EEEEEE"/>
            <w:vAlign w:val="center"/>
          </w:tcPr>
          <w:p w14:paraId="7C353BE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Qualitative empirical studies with explicit data</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Quantitative studies of  RCTs, observational studies</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or experimental studies</w:t>
            </w:r>
          </w:p>
        </w:tc>
        <w:tc>
          <w:tcPr>
            <w:tcW w:w="3541" w:type="dxa"/>
            <w:tcBorders>
              <w:top w:val="nil"/>
              <w:left w:val="nil"/>
              <w:bottom w:val="nil"/>
              <w:right w:val="single" w:color="888888" w:sz="4" w:space="0"/>
            </w:tcBorders>
            <w:shd w:val="clear" w:color="000000" w:fill="EEEEEE"/>
            <w:vAlign w:val="center"/>
          </w:tcPr>
          <w:p w14:paraId="214738A0">
            <w:pPr>
              <w:widowControl/>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Editorials, commentaries, reviews, letters</w:t>
            </w:r>
          </w:p>
        </w:tc>
      </w:tr>
      <w:tr w14:paraId="5A888368">
        <w:tblPrEx>
          <w:tblCellMar>
            <w:top w:w="0" w:type="dxa"/>
            <w:left w:w="108" w:type="dxa"/>
            <w:bottom w:w="0" w:type="dxa"/>
            <w:right w:w="108" w:type="dxa"/>
          </w:tblCellMar>
        </w:tblPrEx>
        <w:trPr>
          <w:trHeight w:val="1020"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6A2D8B2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​​Participants​​</w:t>
            </w:r>
          </w:p>
        </w:tc>
        <w:tc>
          <w:tcPr>
            <w:tcW w:w="4106" w:type="dxa"/>
            <w:tcBorders>
              <w:top w:val="nil"/>
              <w:left w:val="nil"/>
              <w:bottom w:val="nil"/>
              <w:right w:val="dashed" w:color="888888" w:sz="4" w:space="0"/>
            </w:tcBorders>
            <w:shd w:val="clear" w:color="000000" w:fill="FFFFFF"/>
            <w:vAlign w:val="center"/>
          </w:tcPr>
          <w:p w14:paraId="7040A00C">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Resident physicians (all specialties, training levels)</w:t>
            </w:r>
          </w:p>
        </w:tc>
        <w:tc>
          <w:tcPr>
            <w:tcW w:w="3541" w:type="dxa"/>
            <w:tcBorders>
              <w:top w:val="nil"/>
              <w:left w:val="nil"/>
              <w:bottom w:val="nil"/>
              <w:right w:val="single" w:color="888888" w:sz="4" w:space="0"/>
            </w:tcBorders>
            <w:shd w:val="clear" w:color="000000" w:fill="FFFFFF"/>
            <w:vAlign w:val="center"/>
          </w:tcPr>
          <w:p w14:paraId="7A48EBBC">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Pharmacists, veterinarians, and non-prescribing clinicians</w:t>
            </w:r>
          </w:p>
        </w:tc>
      </w:tr>
      <w:tr w14:paraId="6160268C">
        <w:tblPrEx>
          <w:tblCellMar>
            <w:top w:w="0" w:type="dxa"/>
            <w:left w:w="108" w:type="dxa"/>
            <w:bottom w:w="0" w:type="dxa"/>
            <w:right w:w="108" w:type="dxa"/>
          </w:tblCellMar>
        </w:tblPrEx>
        <w:trPr>
          <w:trHeight w:val="880"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42260D37">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​​Population​​</w:t>
            </w:r>
          </w:p>
        </w:tc>
        <w:tc>
          <w:tcPr>
            <w:tcW w:w="4106" w:type="dxa"/>
            <w:tcBorders>
              <w:top w:val="nil"/>
              <w:left w:val="nil"/>
              <w:bottom w:val="nil"/>
              <w:right w:val="dashed" w:color="888888" w:sz="4" w:space="0"/>
            </w:tcBorders>
            <w:shd w:val="clear" w:color="000000" w:fill="EEEEEE"/>
            <w:vAlign w:val="center"/>
          </w:tcPr>
          <w:p w14:paraId="48D5C80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Human patients</w:t>
            </w:r>
          </w:p>
        </w:tc>
        <w:tc>
          <w:tcPr>
            <w:tcW w:w="3541" w:type="dxa"/>
            <w:tcBorders>
              <w:top w:val="nil"/>
              <w:left w:val="nil"/>
              <w:bottom w:val="nil"/>
              <w:right w:val="single" w:color="888888" w:sz="4" w:space="0"/>
            </w:tcBorders>
            <w:shd w:val="clear" w:color="000000" w:fill="EEEEEE"/>
            <w:vAlign w:val="center"/>
          </w:tcPr>
          <w:p w14:paraId="4C688917">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Animal studies</w:t>
            </w:r>
          </w:p>
        </w:tc>
      </w:tr>
      <w:tr w14:paraId="7AA7EB5D">
        <w:tblPrEx>
          <w:tblCellMar>
            <w:top w:w="0" w:type="dxa"/>
            <w:left w:w="108" w:type="dxa"/>
            <w:bottom w:w="0" w:type="dxa"/>
            <w:right w:w="108" w:type="dxa"/>
          </w:tblCellMar>
        </w:tblPrEx>
        <w:trPr>
          <w:trHeight w:val="794"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40B3B7FA">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Disease/Patient Characteristics</w:t>
            </w:r>
          </w:p>
        </w:tc>
        <w:tc>
          <w:tcPr>
            <w:tcW w:w="7647" w:type="dxa"/>
            <w:gridSpan w:val="2"/>
            <w:tcBorders>
              <w:top w:val="nil"/>
              <w:left w:val="nil"/>
              <w:bottom w:val="nil"/>
              <w:right w:val="single" w:color="888888" w:sz="4" w:space="0"/>
            </w:tcBorders>
            <w:shd w:val="clear" w:color="000000" w:fill="FFFFFF"/>
            <w:vAlign w:val="center"/>
          </w:tcPr>
          <w:p w14:paraId="49A5D9F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Any disease; no age restrictions</w:t>
            </w:r>
          </w:p>
        </w:tc>
      </w:tr>
      <w:tr w14:paraId="27938798">
        <w:tblPrEx>
          <w:tblCellMar>
            <w:top w:w="0" w:type="dxa"/>
            <w:left w:w="108" w:type="dxa"/>
            <w:bottom w:w="0" w:type="dxa"/>
            <w:right w:w="108" w:type="dxa"/>
          </w:tblCellMar>
        </w:tblPrEx>
        <w:trPr>
          <w:trHeight w:val="620"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16FD3AA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​​Setting​​</w:t>
            </w:r>
          </w:p>
        </w:tc>
        <w:tc>
          <w:tcPr>
            <w:tcW w:w="4106" w:type="dxa"/>
            <w:tcBorders>
              <w:top w:val="nil"/>
              <w:left w:val="nil"/>
              <w:bottom w:val="nil"/>
              <w:right w:val="dashed" w:color="888888" w:sz="4" w:space="0"/>
            </w:tcBorders>
            <w:shd w:val="clear" w:color="000000" w:fill="EEEEEE"/>
            <w:vAlign w:val="center"/>
          </w:tcPr>
          <w:p w14:paraId="0BC114A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Hospitals (all departments)</w:t>
            </w:r>
          </w:p>
        </w:tc>
        <w:tc>
          <w:tcPr>
            <w:tcW w:w="3541" w:type="dxa"/>
            <w:tcBorders>
              <w:top w:val="nil"/>
              <w:left w:val="nil"/>
              <w:bottom w:val="nil"/>
              <w:right w:val="single" w:color="888888" w:sz="4" w:space="0"/>
            </w:tcBorders>
            <w:shd w:val="clear" w:color="000000" w:fill="EEEEEE"/>
            <w:vAlign w:val="center"/>
          </w:tcPr>
          <w:p w14:paraId="09414227">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Primary/outpatient care, long-term facilities</w:t>
            </w:r>
          </w:p>
        </w:tc>
      </w:tr>
      <w:tr w14:paraId="75FFAD25">
        <w:tblPrEx>
          <w:tblCellMar>
            <w:top w:w="0" w:type="dxa"/>
            <w:left w:w="108" w:type="dxa"/>
            <w:bottom w:w="0" w:type="dxa"/>
            <w:right w:w="108" w:type="dxa"/>
          </w:tblCellMar>
        </w:tblPrEx>
        <w:trPr>
          <w:trHeight w:val="940" w:hRule="atLeast"/>
          <w:jc w:val="center"/>
        </w:trPr>
        <w:tc>
          <w:tcPr>
            <w:tcW w:w="2073" w:type="dxa"/>
            <w:vMerge w:val="restart"/>
            <w:tcBorders>
              <w:top w:val="nil"/>
              <w:left w:val="single" w:color="888888" w:sz="4" w:space="0"/>
              <w:bottom w:val="nil"/>
              <w:right w:val="single" w:color="888888" w:sz="4" w:space="0"/>
            </w:tcBorders>
            <w:shd w:val="clear" w:color="000000" w:fill="C7C8CC"/>
            <w:vAlign w:val="center"/>
          </w:tcPr>
          <w:p w14:paraId="61C5994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​​Outcomes​​</w:t>
            </w:r>
          </w:p>
        </w:tc>
        <w:tc>
          <w:tcPr>
            <w:tcW w:w="4106" w:type="dxa"/>
            <w:tcBorders>
              <w:top w:val="nil"/>
              <w:left w:val="nil"/>
              <w:bottom w:val="nil"/>
              <w:right w:val="dashed" w:color="888888" w:sz="4" w:space="0"/>
            </w:tcBorders>
            <w:shd w:val="clear" w:color="000000" w:fill="FFFFFF"/>
            <w:vAlign w:val="center"/>
          </w:tcPr>
          <w:p w14:paraId="74950D9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 xml:space="preserve">Quantitative: The influencing factors of antibacterial drug prescriptions and the corresponding effect sizes, or the original data of calculable effect sizes, were reported </w:t>
            </w:r>
          </w:p>
        </w:tc>
        <w:tc>
          <w:tcPr>
            <w:tcW w:w="3541" w:type="dxa"/>
            <w:tcBorders>
              <w:top w:val="nil"/>
              <w:left w:val="nil"/>
              <w:bottom w:val="nil"/>
              <w:right w:val="single" w:color="888888" w:sz="4" w:space="0"/>
            </w:tcBorders>
            <w:shd w:val="clear" w:color="000000" w:fill="FFFFFF"/>
            <w:vAlign w:val="center"/>
          </w:tcPr>
          <w:p w14:paraId="1536E519">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w:t>
            </w:r>
          </w:p>
        </w:tc>
      </w:tr>
      <w:tr w14:paraId="1F32C254">
        <w:tblPrEx>
          <w:tblCellMar>
            <w:top w:w="0" w:type="dxa"/>
            <w:left w:w="108" w:type="dxa"/>
            <w:bottom w:w="0" w:type="dxa"/>
            <w:right w:w="108" w:type="dxa"/>
          </w:tblCellMar>
        </w:tblPrEx>
        <w:trPr>
          <w:trHeight w:val="680" w:hRule="atLeast"/>
          <w:jc w:val="center"/>
        </w:trPr>
        <w:tc>
          <w:tcPr>
            <w:tcW w:w="2073" w:type="dxa"/>
            <w:vMerge w:val="continue"/>
            <w:tcBorders>
              <w:top w:val="nil"/>
              <w:left w:val="single" w:color="888888" w:sz="4" w:space="0"/>
              <w:bottom w:val="nil"/>
              <w:right w:val="single" w:color="888888" w:sz="4" w:space="0"/>
            </w:tcBorders>
            <w:shd w:val="clear" w:color="000000" w:fill="C7C8CC"/>
            <w:vAlign w:val="center"/>
          </w:tcPr>
          <w:p w14:paraId="6CA26611">
            <w:pPr>
              <w:jc w:val="center"/>
              <w:rPr>
                <w:rFonts w:ascii="Times New Roman" w:hAnsi="Times New Roman" w:eastAsia="宋体" w:cs="Times New Roman"/>
                <w:color w:val="000000"/>
                <w:sz w:val="24"/>
                <w:szCs w:val="24"/>
              </w:rPr>
            </w:pPr>
          </w:p>
        </w:tc>
        <w:tc>
          <w:tcPr>
            <w:tcW w:w="4106" w:type="dxa"/>
            <w:tcBorders>
              <w:top w:val="nil"/>
              <w:left w:val="nil"/>
              <w:bottom w:val="nil"/>
              <w:right w:val="dashed" w:color="888888" w:sz="4" w:space="0"/>
            </w:tcBorders>
            <w:shd w:val="clear" w:color="000000" w:fill="EEEEEE"/>
            <w:vAlign w:val="center"/>
          </w:tcPr>
          <w:p w14:paraId="2D327D4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Qualitative</w:t>
            </w:r>
            <w:r>
              <w:rPr>
                <w:rFonts w:hint="eastAsia" w:ascii="宋体" w:hAnsi="宋体" w:eastAsia="宋体" w:cs="宋体"/>
                <w:color w:val="000000"/>
                <w:kern w:val="0"/>
                <w:sz w:val="24"/>
                <w:szCs w:val="24"/>
                <w:lang w:bidi="ar"/>
              </w:rPr>
              <w:t xml:space="preserve">： </w:t>
            </w:r>
            <w:r>
              <w:rPr>
                <w:rFonts w:ascii="Times New Roman" w:hAnsi="Times New Roman" w:eastAsia="宋体" w:cs="Times New Roman"/>
                <w:color w:val="000000"/>
                <w:kern w:val="0"/>
                <w:sz w:val="24"/>
                <w:szCs w:val="24"/>
                <w:lang w:bidi="ar"/>
              </w:rPr>
              <w:t>Analysis of factors influencing prescribing</w:t>
            </w:r>
          </w:p>
        </w:tc>
        <w:tc>
          <w:tcPr>
            <w:tcW w:w="3541" w:type="dxa"/>
            <w:tcBorders>
              <w:top w:val="nil"/>
              <w:left w:val="nil"/>
              <w:bottom w:val="nil"/>
              <w:right w:val="single" w:color="888888" w:sz="4" w:space="0"/>
            </w:tcBorders>
            <w:shd w:val="clear" w:color="000000" w:fill="EEEEEE"/>
            <w:vAlign w:val="center"/>
          </w:tcPr>
          <w:p w14:paraId="04FDFF2B">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No clear link to prescribing decisions</w:t>
            </w:r>
          </w:p>
        </w:tc>
      </w:tr>
      <w:tr w14:paraId="39258C7A">
        <w:tblPrEx>
          <w:tblCellMar>
            <w:top w:w="0" w:type="dxa"/>
            <w:left w:w="108" w:type="dxa"/>
            <w:bottom w:w="0" w:type="dxa"/>
            <w:right w:w="108" w:type="dxa"/>
          </w:tblCellMar>
        </w:tblPrEx>
        <w:trPr>
          <w:trHeight w:val="770" w:hRule="atLeast"/>
          <w:jc w:val="center"/>
        </w:trPr>
        <w:tc>
          <w:tcPr>
            <w:tcW w:w="2073" w:type="dxa"/>
            <w:tcBorders>
              <w:top w:val="nil"/>
              <w:left w:val="single" w:color="888888" w:sz="4" w:space="0"/>
              <w:bottom w:val="nil"/>
              <w:right w:val="single" w:color="888888" w:sz="4" w:space="0"/>
            </w:tcBorders>
            <w:shd w:val="clear" w:color="000000" w:fill="C7C8CC"/>
            <w:vAlign w:val="center"/>
          </w:tcPr>
          <w:p w14:paraId="7955E2B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​​Language​​</w:t>
            </w:r>
          </w:p>
        </w:tc>
        <w:tc>
          <w:tcPr>
            <w:tcW w:w="7647" w:type="dxa"/>
            <w:gridSpan w:val="2"/>
            <w:tcBorders>
              <w:top w:val="nil"/>
              <w:left w:val="nil"/>
              <w:bottom w:val="nil"/>
              <w:right w:val="single" w:color="888888" w:sz="4" w:space="0"/>
            </w:tcBorders>
            <w:shd w:val="clear" w:color="000000" w:fill="FFFFFF"/>
            <w:vAlign w:val="center"/>
          </w:tcPr>
          <w:p w14:paraId="6EE743EB">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kern w:val="0"/>
                <w:sz w:val="24"/>
                <w:szCs w:val="24"/>
                <w:lang w:bidi="ar"/>
              </w:rPr>
              <w:t>No language restrictions</w:t>
            </w:r>
          </w:p>
        </w:tc>
      </w:tr>
      <w:tr w14:paraId="11F55B53">
        <w:tblPrEx>
          <w:tblCellMar>
            <w:top w:w="0" w:type="dxa"/>
            <w:left w:w="108" w:type="dxa"/>
            <w:bottom w:w="0" w:type="dxa"/>
            <w:right w:w="108" w:type="dxa"/>
          </w:tblCellMar>
        </w:tblPrEx>
        <w:trPr>
          <w:trHeight w:val="1190" w:hRule="atLeast"/>
          <w:jc w:val="center"/>
        </w:trPr>
        <w:tc>
          <w:tcPr>
            <w:tcW w:w="2073" w:type="dxa"/>
            <w:tcBorders>
              <w:top w:val="nil"/>
              <w:left w:val="single" w:color="888888" w:sz="4" w:space="0"/>
              <w:bottom w:val="single" w:color="888888" w:sz="4" w:space="0"/>
              <w:right w:val="single" w:color="888888" w:sz="4" w:space="0"/>
            </w:tcBorders>
            <w:shd w:val="clear" w:color="000000" w:fill="C7C8CC"/>
            <w:vAlign w:val="center"/>
          </w:tcPr>
          <w:p w14:paraId="708AF2C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​​Others​​</w:t>
            </w:r>
          </w:p>
        </w:tc>
        <w:tc>
          <w:tcPr>
            <w:tcW w:w="4106" w:type="dxa"/>
            <w:tcBorders>
              <w:top w:val="nil"/>
              <w:left w:val="nil"/>
              <w:bottom w:val="single" w:color="888888" w:sz="4" w:space="0"/>
              <w:right w:val="dashed" w:color="888888" w:sz="4" w:space="0"/>
            </w:tcBorders>
            <w:shd w:val="clear" w:color="000000" w:fill="EEEEEE"/>
            <w:vAlign w:val="center"/>
          </w:tcPr>
          <w:p w14:paraId="1D90503A">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Full text available</w:t>
            </w:r>
          </w:p>
        </w:tc>
        <w:tc>
          <w:tcPr>
            <w:tcW w:w="3541" w:type="dxa"/>
            <w:tcBorders>
              <w:top w:val="nil"/>
              <w:left w:val="nil"/>
              <w:bottom w:val="single" w:color="888888" w:sz="4" w:space="0"/>
              <w:right w:val="single" w:color="888888" w:sz="4" w:space="0"/>
            </w:tcBorders>
            <w:shd w:val="clear" w:color="000000" w:fill="EEEEEE"/>
            <w:vAlign w:val="center"/>
          </w:tcPr>
          <w:p w14:paraId="446280D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Low-quality studies, unavailable full text, irrelevant aims</w:t>
            </w:r>
          </w:p>
        </w:tc>
      </w:tr>
    </w:tbl>
    <w:p w14:paraId="0CBD40DE">
      <w:pPr>
        <w:jc w:val="left"/>
        <w:rPr>
          <w:rFonts w:ascii="Times New Roman" w:hAnsi="Times New Roman" w:cs="Times New Roman"/>
          <w:sz w:val="24"/>
          <w:szCs w:val="24"/>
        </w:rPr>
      </w:pPr>
      <w:r>
        <w:rPr>
          <w:rFonts w:ascii="Times New Roman" w:hAnsi="Times New Roman" w:cs="Times New Roman"/>
        </w:rPr>
        <w:br w:type="page"/>
      </w:r>
      <w:r>
        <w:rPr>
          <w:rFonts w:hint="eastAsia" w:ascii="Times New Roman" w:hAnsi="Times New Roman" w:cs="Times New Roman"/>
          <w:b/>
          <w:bCs/>
          <w:sz w:val="24"/>
          <w:szCs w:val="24"/>
        </w:rPr>
        <w:t>Table A3</w:t>
      </w:r>
      <w:bookmarkStart w:id="4" w:name="_Hlk205895025"/>
      <w:r>
        <w:rPr>
          <w:rFonts w:hint="eastAsia" w:ascii="Times New Roman" w:hAnsi="Times New Roman" w:cs="Times New Roman"/>
          <w:b/>
          <w:bCs/>
          <w:sz w:val="24"/>
          <w:szCs w:val="24"/>
        </w:rPr>
        <w:t xml:space="preserve">. </w:t>
      </w:r>
      <w:r>
        <w:rPr>
          <w:rFonts w:ascii="Times New Roman" w:hAnsi="Times New Roman" w:cs="Times New Roman"/>
          <w:sz w:val="24"/>
          <w:szCs w:val="24"/>
        </w:rPr>
        <w:t>Inclusion and exclusion criteria for studies on prescription intervention measures for antibacterial drugs</w:t>
      </w:r>
      <w:r>
        <w:rPr>
          <w:rFonts w:hint="eastAsia" w:ascii="Times New Roman" w:hAnsi="Times New Roman" w:cs="Times New Roman"/>
          <w:sz w:val="24"/>
          <w:szCs w:val="24"/>
        </w:rPr>
        <w:t>.</w:t>
      </w:r>
    </w:p>
    <w:bookmarkEnd w:id="4"/>
    <w:tbl>
      <w:tblPr>
        <w:tblStyle w:val="6"/>
        <w:tblW w:w="9918" w:type="dxa"/>
        <w:jc w:val="center"/>
        <w:tblLayout w:type="fixed"/>
        <w:tblCellMar>
          <w:top w:w="0" w:type="dxa"/>
          <w:left w:w="108" w:type="dxa"/>
          <w:bottom w:w="0" w:type="dxa"/>
          <w:right w:w="108" w:type="dxa"/>
        </w:tblCellMar>
      </w:tblPr>
      <w:tblGrid>
        <w:gridCol w:w="2405"/>
        <w:gridCol w:w="3969"/>
        <w:gridCol w:w="3544"/>
      </w:tblGrid>
      <w:tr w14:paraId="4E29433F">
        <w:tblPrEx>
          <w:tblCellMar>
            <w:top w:w="0" w:type="dxa"/>
            <w:left w:w="108" w:type="dxa"/>
            <w:bottom w:w="0" w:type="dxa"/>
            <w:right w:w="108" w:type="dxa"/>
          </w:tblCellMar>
        </w:tblPrEx>
        <w:trPr>
          <w:trHeight w:val="310" w:hRule="atLeast"/>
          <w:jc w:val="center"/>
        </w:trPr>
        <w:tc>
          <w:tcPr>
            <w:tcW w:w="2405" w:type="dxa"/>
            <w:tcBorders>
              <w:top w:val="single" w:color="888888" w:sz="4" w:space="0"/>
              <w:left w:val="single" w:color="888888" w:sz="4" w:space="0"/>
              <w:bottom w:val="nil"/>
              <w:right w:val="single" w:color="888888" w:sz="4" w:space="0"/>
            </w:tcBorders>
            <w:shd w:val="clear" w:color="000000" w:fill="C7C8CC"/>
            <w:vAlign w:val="center"/>
          </w:tcPr>
          <w:p w14:paraId="536E439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Category</w:t>
            </w:r>
          </w:p>
        </w:tc>
        <w:tc>
          <w:tcPr>
            <w:tcW w:w="3969" w:type="dxa"/>
            <w:tcBorders>
              <w:top w:val="single" w:color="888888" w:sz="4" w:space="0"/>
              <w:left w:val="nil"/>
              <w:bottom w:val="nil"/>
              <w:right w:val="dashed" w:color="888888" w:sz="4" w:space="0"/>
            </w:tcBorders>
            <w:shd w:val="clear" w:color="000000" w:fill="FFFFFF"/>
            <w:vAlign w:val="center"/>
          </w:tcPr>
          <w:p w14:paraId="4823C183">
            <w:pPr>
              <w:widowControl/>
              <w:jc w:val="center"/>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w:t>
            </w:r>
            <w:r>
              <w:rPr>
                <w:rFonts w:ascii="Times New Roman" w:hAnsi="Times New Roman" w:eastAsia="宋体" w:cs="Times New Roman"/>
                <w:color w:val="000000"/>
                <w:kern w:val="0"/>
                <w:sz w:val="24"/>
                <w:szCs w:val="24"/>
                <w:lang w:bidi="ar"/>
              </w:rPr>
              <w:t>​Inclusion Criteria​</w:t>
            </w:r>
            <w:r>
              <w:rPr>
                <w:rFonts w:ascii="Times New Roman" w:hAnsi="Times New Roman" w:eastAsia="宋体" w:cs="Times New Roman"/>
                <w:b/>
                <w:bCs/>
                <w:color w:val="000000"/>
                <w:kern w:val="0"/>
                <w:sz w:val="24"/>
                <w:szCs w:val="24"/>
                <w:lang w:bidi="ar"/>
              </w:rPr>
              <w:t>​</w:t>
            </w:r>
          </w:p>
        </w:tc>
        <w:tc>
          <w:tcPr>
            <w:tcW w:w="3544" w:type="dxa"/>
            <w:tcBorders>
              <w:top w:val="single" w:color="888888" w:sz="4" w:space="0"/>
              <w:left w:val="nil"/>
              <w:bottom w:val="nil"/>
              <w:right w:val="single" w:color="888888" w:sz="4" w:space="0"/>
            </w:tcBorders>
            <w:shd w:val="clear" w:color="000000" w:fill="FFFFFF"/>
            <w:vAlign w:val="center"/>
          </w:tcPr>
          <w:p w14:paraId="1EC38746">
            <w:pPr>
              <w:widowControl/>
              <w:jc w:val="center"/>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w:t>
            </w:r>
            <w:r>
              <w:rPr>
                <w:rFonts w:ascii="Times New Roman" w:hAnsi="Times New Roman" w:eastAsia="宋体" w:cs="Times New Roman"/>
                <w:color w:val="000000"/>
                <w:kern w:val="0"/>
                <w:sz w:val="24"/>
                <w:szCs w:val="24"/>
                <w:lang w:bidi="ar"/>
              </w:rPr>
              <w:t>​Exclusion Criteria​</w:t>
            </w:r>
            <w:r>
              <w:rPr>
                <w:rFonts w:ascii="Times New Roman" w:hAnsi="Times New Roman" w:eastAsia="宋体" w:cs="Times New Roman"/>
                <w:b/>
                <w:bCs/>
                <w:color w:val="000000"/>
                <w:kern w:val="0"/>
                <w:sz w:val="24"/>
                <w:szCs w:val="24"/>
                <w:lang w:bidi="ar"/>
              </w:rPr>
              <w:t>​</w:t>
            </w:r>
          </w:p>
        </w:tc>
      </w:tr>
      <w:tr w14:paraId="41AB0144">
        <w:tblPrEx>
          <w:tblCellMar>
            <w:top w:w="0" w:type="dxa"/>
            <w:left w:w="108" w:type="dxa"/>
            <w:bottom w:w="0" w:type="dxa"/>
            <w:right w:w="108" w:type="dxa"/>
          </w:tblCellMar>
        </w:tblPrEx>
        <w:trPr>
          <w:trHeight w:val="1480" w:hRule="atLeast"/>
          <w:jc w:val="center"/>
        </w:trPr>
        <w:tc>
          <w:tcPr>
            <w:tcW w:w="2405" w:type="dxa"/>
            <w:vMerge w:val="restart"/>
            <w:tcBorders>
              <w:top w:val="nil"/>
              <w:left w:val="single" w:color="888888" w:sz="4" w:space="0"/>
              <w:bottom w:val="nil"/>
              <w:right w:val="single" w:color="888888" w:sz="4" w:space="0"/>
            </w:tcBorders>
            <w:shd w:val="clear" w:color="000000" w:fill="C7C8CC"/>
            <w:vAlign w:val="center"/>
          </w:tcPr>
          <w:p w14:paraId="2005B84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Study Design</w:t>
            </w:r>
          </w:p>
        </w:tc>
        <w:tc>
          <w:tcPr>
            <w:tcW w:w="3969" w:type="dxa"/>
            <w:tcBorders>
              <w:top w:val="nil"/>
              <w:left w:val="nil"/>
              <w:bottom w:val="nil"/>
              <w:right w:val="dashed" w:color="888888" w:sz="4" w:space="0"/>
            </w:tcBorders>
            <w:shd w:val="clear" w:color="000000" w:fill="EEEEEE"/>
            <w:vAlign w:val="center"/>
          </w:tcPr>
          <w:p w14:paraId="167B675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RCTs, non-randomized controlled trials (with concurrent controls), controlled pre-post studies</w:t>
            </w:r>
            <w:r>
              <w:rPr>
                <w:rFonts w:hint="eastAsia" w:ascii="宋体" w:hAnsi="宋体" w:eastAsia="宋体" w:cs="宋体"/>
                <w:color w:val="000000"/>
                <w:kern w:val="0"/>
                <w:sz w:val="24"/>
                <w:szCs w:val="24"/>
                <w:lang w:bidi="ar"/>
              </w:rPr>
              <w:t>，</w:t>
            </w:r>
          </w:p>
        </w:tc>
        <w:tc>
          <w:tcPr>
            <w:tcW w:w="3544" w:type="dxa"/>
            <w:tcBorders>
              <w:top w:val="nil"/>
              <w:left w:val="nil"/>
              <w:bottom w:val="nil"/>
              <w:right w:val="single" w:color="888888" w:sz="4" w:space="0"/>
            </w:tcBorders>
            <w:shd w:val="clear" w:color="000000" w:fill="EEEEEE"/>
            <w:vAlign w:val="center"/>
          </w:tcPr>
          <w:p w14:paraId="17375B0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Uncontrolled studies</w:t>
            </w:r>
          </w:p>
        </w:tc>
      </w:tr>
      <w:tr w14:paraId="1FBD29AB">
        <w:tblPrEx>
          <w:tblCellMar>
            <w:top w:w="0" w:type="dxa"/>
            <w:left w:w="108" w:type="dxa"/>
            <w:bottom w:w="0" w:type="dxa"/>
            <w:right w:w="108" w:type="dxa"/>
          </w:tblCellMar>
        </w:tblPrEx>
        <w:trPr>
          <w:trHeight w:val="930" w:hRule="atLeast"/>
          <w:jc w:val="center"/>
        </w:trPr>
        <w:tc>
          <w:tcPr>
            <w:tcW w:w="2405" w:type="dxa"/>
            <w:vMerge w:val="continue"/>
            <w:tcBorders>
              <w:top w:val="nil"/>
              <w:left w:val="single" w:color="888888" w:sz="4" w:space="0"/>
              <w:bottom w:val="nil"/>
              <w:right w:val="single" w:color="888888" w:sz="4" w:space="0"/>
            </w:tcBorders>
            <w:shd w:val="clear" w:color="000000" w:fill="C7C8CC"/>
            <w:vAlign w:val="center"/>
          </w:tcPr>
          <w:p w14:paraId="585C679E">
            <w:pPr>
              <w:jc w:val="center"/>
              <w:rPr>
                <w:rFonts w:ascii="Times New Roman" w:hAnsi="Times New Roman" w:eastAsia="宋体" w:cs="Times New Roman"/>
                <w:color w:val="000000"/>
                <w:sz w:val="24"/>
                <w:szCs w:val="24"/>
              </w:rPr>
            </w:pPr>
          </w:p>
        </w:tc>
        <w:tc>
          <w:tcPr>
            <w:tcW w:w="3969" w:type="dxa"/>
            <w:tcBorders>
              <w:top w:val="nil"/>
              <w:left w:val="nil"/>
              <w:bottom w:val="nil"/>
              <w:right w:val="dashed" w:color="888888" w:sz="4" w:space="0"/>
            </w:tcBorders>
            <w:shd w:val="clear" w:color="000000" w:fill="FFFFFF"/>
            <w:vAlign w:val="center"/>
          </w:tcPr>
          <w:p w14:paraId="6BFFF10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Qualitative studies analyzing intervention implementation/barriers</w:t>
            </w:r>
          </w:p>
        </w:tc>
        <w:tc>
          <w:tcPr>
            <w:tcW w:w="3544" w:type="dxa"/>
            <w:tcBorders>
              <w:top w:val="nil"/>
              <w:left w:val="nil"/>
              <w:bottom w:val="nil"/>
              <w:right w:val="single" w:color="888888" w:sz="4" w:space="0"/>
            </w:tcBorders>
            <w:shd w:val="clear" w:color="000000" w:fill="FFFFFF"/>
            <w:vAlign w:val="center"/>
          </w:tcPr>
          <w:p w14:paraId="54CEE1E6">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w:t>
            </w:r>
          </w:p>
        </w:tc>
      </w:tr>
      <w:tr w14:paraId="7E49EC77">
        <w:tblPrEx>
          <w:tblCellMar>
            <w:top w:w="0" w:type="dxa"/>
            <w:left w:w="108" w:type="dxa"/>
            <w:bottom w:w="0" w:type="dxa"/>
            <w:right w:w="108" w:type="dxa"/>
          </w:tblCellMar>
        </w:tblPrEx>
        <w:trPr>
          <w:trHeight w:val="1200"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36F45B4A">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Participant</w:t>
            </w:r>
          </w:p>
        </w:tc>
        <w:tc>
          <w:tcPr>
            <w:tcW w:w="3969" w:type="dxa"/>
            <w:tcBorders>
              <w:top w:val="nil"/>
              <w:left w:val="nil"/>
              <w:bottom w:val="nil"/>
              <w:right w:val="dashed" w:color="888888" w:sz="4" w:space="0"/>
            </w:tcBorders>
            <w:shd w:val="clear" w:color="000000" w:fill="EEEEEE"/>
            <w:vAlign w:val="center"/>
          </w:tcPr>
          <w:p w14:paraId="575EFB6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Resident physicians (all specialties, training levels)</w:t>
            </w:r>
          </w:p>
        </w:tc>
        <w:tc>
          <w:tcPr>
            <w:tcW w:w="3544" w:type="dxa"/>
            <w:tcBorders>
              <w:top w:val="nil"/>
              <w:left w:val="nil"/>
              <w:bottom w:val="nil"/>
              <w:right w:val="single" w:color="888888" w:sz="4" w:space="0"/>
            </w:tcBorders>
            <w:shd w:val="clear" w:color="000000" w:fill="EEEEEE"/>
            <w:vAlign w:val="center"/>
          </w:tcPr>
          <w:p w14:paraId="71DE756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The intervention measures are targeted at patients rather than resident physicians</w:t>
            </w:r>
          </w:p>
        </w:tc>
      </w:tr>
      <w:tr w14:paraId="53F6B089">
        <w:tblPrEx>
          <w:tblCellMar>
            <w:top w:w="0" w:type="dxa"/>
            <w:left w:w="108" w:type="dxa"/>
            <w:bottom w:w="0" w:type="dxa"/>
            <w:right w:w="108" w:type="dxa"/>
          </w:tblCellMar>
        </w:tblPrEx>
        <w:trPr>
          <w:trHeight w:val="844"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7501968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Disease/Patient Characteristics</w:t>
            </w:r>
          </w:p>
        </w:tc>
        <w:tc>
          <w:tcPr>
            <w:tcW w:w="7513" w:type="dxa"/>
            <w:gridSpan w:val="2"/>
            <w:tcBorders>
              <w:top w:val="nil"/>
              <w:left w:val="nil"/>
              <w:bottom w:val="nil"/>
              <w:right w:val="single" w:color="888888" w:sz="4" w:space="0"/>
            </w:tcBorders>
            <w:shd w:val="clear" w:color="000000" w:fill="FFFFFF"/>
            <w:vAlign w:val="center"/>
          </w:tcPr>
          <w:p w14:paraId="58F89847">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Any disease; no age restrictions</w:t>
            </w:r>
          </w:p>
        </w:tc>
      </w:tr>
      <w:tr w14:paraId="625990DD">
        <w:tblPrEx>
          <w:tblCellMar>
            <w:top w:w="0" w:type="dxa"/>
            <w:left w:w="108" w:type="dxa"/>
            <w:bottom w:w="0" w:type="dxa"/>
            <w:right w:w="108" w:type="dxa"/>
          </w:tblCellMar>
        </w:tblPrEx>
        <w:trPr>
          <w:trHeight w:val="620"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39DF625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Population</w:t>
            </w:r>
          </w:p>
        </w:tc>
        <w:tc>
          <w:tcPr>
            <w:tcW w:w="3969" w:type="dxa"/>
            <w:tcBorders>
              <w:top w:val="nil"/>
              <w:left w:val="nil"/>
              <w:bottom w:val="nil"/>
              <w:right w:val="dashed" w:color="888888" w:sz="4" w:space="0"/>
            </w:tcBorders>
            <w:shd w:val="clear" w:color="000000" w:fill="EEEEEE"/>
            <w:vAlign w:val="center"/>
          </w:tcPr>
          <w:p w14:paraId="49CBA28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Human patients</w:t>
            </w:r>
          </w:p>
        </w:tc>
        <w:tc>
          <w:tcPr>
            <w:tcW w:w="3544" w:type="dxa"/>
            <w:tcBorders>
              <w:top w:val="nil"/>
              <w:left w:val="nil"/>
              <w:bottom w:val="nil"/>
              <w:right w:val="single" w:color="888888" w:sz="4" w:space="0"/>
            </w:tcBorders>
            <w:shd w:val="clear" w:color="000000" w:fill="EEEEEE"/>
            <w:vAlign w:val="center"/>
          </w:tcPr>
          <w:p w14:paraId="242609FA">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Animal studies</w:t>
            </w:r>
          </w:p>
        </w:tc>
      </w:tr>
      <w:tr w14:paraId="3018A50E">
        <w:tblPrEx>
          <w:tblCellMar>
            <w:top w:w="0" w:type="dxa"/>
            <w:left w:w="108" w:type="dxa"/>
            <w:bottom w:w="0" w:type="dxa"/>
            <w:right w:w="108" w:type="dxa"/>
          </w:tblCellMar>
        </w:tblPrEx>
        <w:trPr>
          <w:trHeight w:val="940"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21174E5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Setting</w:t>
            </w:r>
          </w:p>
        </w:tc>
        <w:tc>
          <w:tcPr>
            <w:tcW w:w="3969" w:type="dxa"/>
            <w:tcBorders>
              <w:top w:val="nil"/>
              <w:left w:val="nil"/>
              <w:bottom w:val="nil"/>
              <w:right w:val="dashed" w:color="888888" w:sz="4" w:space="0"/>
            </w:tcBorders>
            <w:shd w:val="clear" w:color="000000" w:fill="FFFFFF"/>
            <w:vAlign w:val="center"/>
          </w:tcPr>
          <w:p w14:paraId="16255A9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Hospitals (all departments)</w:t>
            </w:r>
          </w:p>
        </w:tc>
        <w:tc>
          <w:tcPr>
            <w:tcW w:w="3544" w:type="dxa"/>
            <w:tcBorders>
              <w:top w:val="nil"/>
              <w:left w:val="nil"/>
              <w:bottom w:val="nil"/>
              <w:right w:val="single" w:color="888888" w:sz="4" w:space="0"/>
            </w:tcBorders>
            <w:shd w:val="clear" w:color="000000" w:fill="FFFFFF"/>
            <w:vAlign w:val="center"/>
          </w:tcPr>
          <w:p w14:paraId="321022E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Primary/outpatient care, long-term facilities</w:t>
            </w:r>
          </w:p>
        </w:tc>
      </w:tr>
      <w:tr w14:paraId="463008A6">
        <w:tblPrEx>
          <w:tblCellMar>
            <w:top w:w="0" w:type="dxa"/>
            <w:left w:w="108" w:type="dxa"/>
            <w:bottom w:w="0" w:type="dxa"/>
            <w:right w:w="108" w:type="dxa"/>
          </w:tblCellMar>
        </w:tblPrEx>
        <w:trPr>
          <w:trHeight w:val="630"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3C80E473">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kern w:val="0"/>
                <w:sz w:val="24"/>
                <w:szCs w:val="24"/>
                <w:lang w:bidi="ar"/>
              </w:rPr>
              <w:t>I</w:t>
            </w:r>
            <w:r>
              <w:rPr>
                <w:rFonts w:ascii="Times New Roman" w:hAnsi="Times New Roman" w:eastAsia="宋体" w:cs="Times New Roman"/>
                <w:color w:val="000000"/>
                <w:kern w:val="0"/>
                <w:sz w:val="24"/>
                <w:szCs w:val="24"/>
                <w:lang w:bidi="ar"/>
              </w:rPr>
              <w:t>nterventions</w:t>
            </w:r>
          </w:p>
        </w:tc>
        <w:tc>
          <w:tcPr>
            <w:tcW w:w="3969" w:type="dxa"/>
            <w:tcBorders>
              <w:top w:val="nil"/>
              <w:left w:val="nil"/>
              <w:bottom w:val="nil"/>
              <w:right w:val="dashed" w:color="888888" w:sz="4" w:space="0"/>
            </w:tcBorders>
            <w:shd w:val="clear" w:color="000000" w:fill="EEEEEE"/>
            <w:vAlign w:val="center"/>
          </w:tcPr>
          <w:p w14:paraId="37C8EBD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At least one intervention targeting antimicrobial prescribing</w:t>
            </w:r>
          </w:p>
        </w:tc>
        <w:tc>
          <w:tcPr>
            <w:tcW w:w="3544" w:type="dxa"/>
            <w:tcBorders>
              <w:top w:val="nil"/>
              <w:left w:val="nil"/>
              <w:bottom w:val="nil"/>
              <w:right w:val="single" w:color="888888" w:sz="4" w:space="0"/>
            </w:tcBorders>
            <w:shd w:val="clear" w:color="000000" w:fill="EEEEEE"/>
            <w:vAlign w:val="center"/>
          </w:tcPr>
          <w:p w14:paraId="320D603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Non-antibiotic interventions</w:t>
            </w:r>
          </w:p>
        </w:tc>
      </w:tr>
      <w:tr w14:paraId="0FC6BD50">
        <w:tblPrEx>
          <w:tblCellMar>
            <w:top w:w="0" w:type="dxa"/>
            <w:left w:w="108" w:type="dxa"/>
            <w:bottom w:w="0" w:type="dxa"/>
            <w:right w:w="108" w:type="dxa"/>
          </w:tblCellMar>
        </w:tblPrEx>
        <w:trPr>
          <w:trHeight w:val="1220" w:hRule="atLeast"/>
          <w:jc w:val="center"/>
        </w:trPr>
        <w:tc>
          <w:tcPr>
            <w:tcW w:w="2405" w:type="dxa"/>
            <w:vMerge w:val="restart"/>
            <w:tcBorders>
              <w:top w:val="nil"/>
              <w:left w:val="single" w:color="888888" w:sz="4" w:space="0"/>
              <w:bottom w:val="nil"/>
              <w:right w:val="single" w:color="888888" w:sz="4" w:space="0"/>
            </w:tcBorders>
            <w:shd w:val="clear" w:color="000000" w:fill="C7C8CC"/>
            <w:vAlign w:val="center"/>
          </w:tcPr>
          <w:p w14:paraId="3BC8A1C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Outcomes</w:t>
            </w:r>
          </w:p>
        </w:tc>
        <w:tc>
          <w:tcPr>
            <w:tcW w:w="3969" w:type="dxa"/>
            <w:tcBorders>
              <w:top w:val="nil"/>
              <w:left w:val="nil"/>
              <w:bottom w:val="nil"/>
              <w:right w:val="dashed" w:color="888888" w:sz="4" w:space="0"/>
            </w:tcBorders>
            <w:shd w:val="clear" w:color="000000" w:fill="FFFFFF"/>
            <w:vAlign w:val="center"/>
          </w:tcPr>
          <w:p w14:paraId="1AF2D7C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Quantitative: Reported changes in: Rational prescribing rate/Antimicrobial prescribing rate/Actual antimicrobial consumption</w:t>
            </w:r>
          </w:p>
        </w:tc>
        <w:tc>
          <w:tcPr>
            <w:tcW w:w="3544" w:type="dxa"/>
            <w:tcBorders>
              <w:top w:val="nil"/>
              <w:left w:val="nil"/>
              <w:bottom w:val="nil"/>
              <w:right w:val="single" w:color="888888" w:sz="4" w:space="0"/>
            </w:tcBorders>
            <w:shd w:val="clear" w:color="000000" w:fill="FFFFFF"/>
            <w:vAlign w:val="center"/>
          </w:tcPr>
          <w:p w14:paraId="714C1B7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No outcome data</w:t>
            </w:r>
          </w:p>
        </w:tc>
      </w:tr>
      <w:tr w14:paraId="36ECD507">
        <w:tblPrEx>
          <w:tblCellMar>
            <w:top w:w="0" w:type="dxa"/>
            <w:left w:w="108" w:type="dxa"/>
            <w:bottom w:w="0" w:type="dxa"/>
            <w:right w:w="108" w:type="dxa"/>
          </w:tblCellMar>
        </w:tblPrEx>
        <w:trPr>
          <w:trHeight w:val="1190" w:hRule="atLeast"/>
          <w:jc w:val="center"/>
        </w:trPr>
        <w:tc>
          <w:tcPr>
            <w:tcW w:w="2405" w:type="dxa"/>
            <w:vMerge w:val="continue"/>
            <w:tcBorders>
              <w:top w:val="nil"/>
              <w:left w:val="single" w:color="888888" w:sz="4" w:space="0"/>
              <w:bottom w:val="nil"/>
              <w:right w:val="single" w:color="888888" w:sz="4" w:space="0"/>
            </w:tcBorders>
            <w:shd w:val="clear" w:color="000000" w:fill="C7C8CC"/>
            <w:vAlign w:val="center"/>
          </w:tcPr>
          <w:p w14:paraId="56595D22">
            <w:pPr>
              <w:jc w:val="center"/>
              <w:rPr>
                <w:rFonts w:ascii="Times New Roman" w:hAnsi="Times New Roman" w:eastAsia="宋体" w:cs="Times New Roman"/>
                <w:color w:val="000000"/>
                <w:sz w:val="24"/>
                <w:szCs w:val="24"/>
              </w:rPr>
            </w:pPr>
          </w:p>
        </w:tc>
        <w:tc>
          <w:tcPr>
            <w:tcW w:w="3969" w:type="dxa"/>
            <w:tcBorders>
              <w:top w:val="nil"/>
              <w:left w:val="nil"/>
              <w:bottom w:val="nil"/>
              <w:right w:val="dashed" w:color="888888" w:sz="4" w:space="0"/>
            </w:tcBorders>
            <w:shd w:val="clear" w:color="000000" w:fill="EEEEEE"/>
            <w:vAlign w:val="center"/>
          </w:tcPr>
          <w:p w14:paraId="3D56CE9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Qualitative</w:t>
            </w:r>
            <w:r>
              <w:rPr>
                <w:rFonts w:hint="eastAsia" w:ascii="宋体" w:hAnsi="宋体" w:eastAsia="宋体" w:cs="宋体"/>
                <w:color w:val="000000"/>
                <w:kern w:val="0"/>
                <w:sz w:val="24"/>
                <w:szCs w:val="24"/>
                <w:lang w:bidi="ar"/>
              </w:rPr>
              <w:t xml:space="preserve">： </w:t>
            </w:r>
            <w:r>
              <w:rPr>
                <w:rFonts w:ascii="Times New Roman" w:hAnsi="Times New Roman" w:eastAsia="宋体" w:cs="Times New Roman"/>
                <w:color w:val="000000"/>
                <w:kern w:val="0"/>
                <w:sz w:val="24"/>
                <w:szCs w:val="24"/>
                <w:lang w:bidi="ar"/>
              </w:rPr>
              <w:t>Analysis of effects of interventions on prescribing practices</w:t>
            </w:r>
          </w:p>
        </w:tc>
        <w:tc>
          <w:tcPr>
            <w:tcW w:w="3544" w:type="dxa"/>
            <w:tcBorders>
              <w:top w:val="nil"/>
              <w:left w:val="nil"/>
              <w:bottom w:val="nil"/>
              <w:right w:val="single" w:color="888888" w:sz="4" w:space="0"/>
            </w:tcBorders>
            <w:shd w:val="clear" w:color="000000" w:fill="EEEEEE"/>
            <w:vAlign w:val="center"/>
          </w:tcPr>
          <w:p w14:paraId="464096FA">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w:t>
            </w:r>
          </w:p>
        </w:tc>
      </w:tr>
      <w:tr w14:paraId="43E2EE23">
        <w:tblPrEx>
          <w:tblCellMar>
            <w:top w:w="0" w:type="dxa"/>
            <w:left w:w="108" w:type="dxa"/>
            <w:bottom w:w="0" w:type="dxa"/>
            <w:right w:w="108" w:type="dxa"/>
          </w:tblCellMar>
        </w:tblPrEx>
        <w:trPr>
          <w:trHeight w:val="1113" w:hRule="atLeast"/>
          <w:jc w:val="center"/>
        </w:trPr>
        <w:tc>
          <w:tcPr>
            <w:tcW w:w="2405" w:type="dxa"/>
            <w:tcBorders>
              <w:top w:val="nil"/>
              <w:left w:val="single" w:color="888888" w:sz="4" w:space="0"/>
              <w:bottom w:val="nil"/>
              <w:right w:val="single" w:color="888888" w:sz="4" w:space="0"/>
            </w:tcBorders>
            <w:shd w:val="clear" w:color="000000" w:fill="C7C8CC"/>
            <w:vAlign w:val="center"/>
          </w:tcPr>
          <w:p w14:paraId="36B5501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​​Language​​</w:t>
            </w:r>
          </w:p>
        </w:tc>
        <w:tc>
          <w:tcPr>
            <w:tcW w:w="7513" w:type="dxa"/>
            <w:gridSpan w:val="2"/>
            <w:tcBorders>
              <w:top w:val="nil"/>
              <w:left w:val="nil"/>
              <w:bottom w:val="nil"/>
              <w:right w:val="single" w:color="888888" w:sz="4" w:space="0"/>
            </w:tcBorders>
            <w:shd w:val="clear" w:color="000000" w:fill="FFFFFF"/>
            <w:vAlign w:val="center"/>
          </w:tcPr>
          <w:p w14:paraId="64CDBD45">
            <w:pPr>
              <w:widowControl/>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kern w:val="0"/>
                <w:sz w:val="24"/>
                <w:szCs w:val="24"/>
                <w:lang w:bidi="ar"/>
              </w:rPr>
              <w:t>No language restrictions</w:t>
            </w:r>
          </w:p>
        </w:tc>
      </w:tr>
      <w:tr w14:paraId="40DA929B">
        <w:tblPrEx>
          <w:tblCellMar>
            <w:top w:w="0" w:type="dxa"/>
            <w:left w:w="108" w:type="dxa"/>
            <w:bottom w:w="0" w:type="dxa"/>
            <w:right w:w="108" w:type="dxa"/>
          </w:tblCellMar>
        </w:tblPrEx>
        <w:trPr>
          <w:trHeight w:val="620" w:hRule="atLeast"/>
          <w:jc w:val="center"/>
        </w:trPr>
        <w:tc>
          <w:tcPr>
            <w:tcW w:w="2405" w:type="dxa"/>
            <w:tcBorders>
              <w:top w:val="nil"/>
              <w:left w:val="single" w:color="888888" w:sz="4" w:space="0"/>
              <w:bottom w:val="single" w:color="888888" w:sz="4" w:space="0"/>
              <w:right w:val="single" w:color="888888" w:sz="4" w:space="0"/>
            </w:tcBorders>
            <w:shd w:val="clear" w:color="000000" w:fill="C7C8CC"/>
            <w:vAlign w:val="center"/>
          </w:tcPr>
          <w:p w14:paraId="73D6880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​​Others​​</w:t>
            </w:r>
          </w:p>
        </w:tc>
        <w:tc>
          <w:tcPr>
            <w:tcW w:w="3969" w:type="dxa"/>
            <w:tcBorders>
              <w:top w:val="nil"/>
              <w:left w:val="nil"/>
              <w:bottom w:val="single" w:color="888888" w:sz="4" w:space="0"/>
              <w:right w:val="dashed" w:color="888888" w:sz="4" w:space="0"/>
            </w:tcBorders>
            <w:shd w:val="clear" w:color="000000" w:fill="EEEEEE"/>
            <w:vAlign w:val="center"/>
          </w:tcPr>
          <w:p w14:paraId="082D9A83">
            <w:pPr>
              <w:widowControl/>
              <w:jc w:val="center"/>
              <w:textAlignment w:val="center"/>
              <w:rPr>
                <w:rFonts w:ascii="Times New Roman" w:hAnsi="Times New Roman" w:eastAsia="宋体" w:cs="Times New Roman"/>
                <w:color w:val="000000"/>
                <w:sz w:val="24"/>
                <w:szCs w:val="24"/>
              </w:rPr>
            </w:pPr>
            <w:bookmarkStart w:id="5" w:name="OLE_LINK29"/>
            <w:r>
              <w:rPr>
                <w:rFonts w:ascii="Times New Roman" w:hAnsi="Times New Roman" w:eastAsia="宋体" w:cs="Times New Roman"/>
                <w:color w:val="000000"/>
                <w:kern w:val="0"/>
                <w:sz w:val="24"/>
                <w:szCs w:val="24"/>
                <w:lang w:bidi="ar"/>
              </w:rPr>
              <w:t>Full text available</w:t>
            </w:r>
            <w:bookmarkEnd w:id="5"/>
          </w:p>
        </w:tc>
        <w:tc>
          <w:tcPr>
            <w:tcW w:w="3544" w:type="dxa"/>
            <w:tcBorders>
              <w:top w:val="nil"/>
              <w:left w:val="nil"/>
              <w:bottom w:val="single" w:color="888888" w:sz="4" w:space="0"/>
              <w:right w:val="single" w:color="888888" w:sz="4" w:space="0"/>
            </w:tcBorders>
            <w:shd w:val="clear" w:color="000000" w:fill="EEEEEE"/>
            <w:vAlign w:val="center"/>
          </w:tcPr>
          <w:p w14:paraId="588D53F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Editorials, commentaries, reviews, letters, and unavailable data</w:t>
            </w:r>
          </w:p>
        </w:tc>
      </w:tr>
    </w:tbl>
    <w:p w14:paraId="1C370B6B">
      <w:pPr>
        <w:jc w:val="left"/>
        <w:rPr>
          <w:rFonts w:hint="eastAsia"/>
        </w:rPr>
      </w:pPr>
    </w:p>
    <w:p w14:paraId="06BDC9D0">
      <w:pPr>
        <w:jc w:val="left"/>
        <w:rPr>
          <w:rFonts w:hint="eastAsia"/>
        </w:rPr>
      </w:pPr>
    </w:p>
    <w:p w14:paraId="39F3DE0B">
      <w:pPr>
        <w:rPr>
          <w:rFonts w:ascii="Times New Roman" w:hAnsi="Times New Roman" w:cs="Times New Roman"/>
        </w:rPr>
        <w:sectPr>
          <w:footerReference r:id="rId3" w:type="default"/>
          <w:pgSz w:w="11906" w:h="16838"/>
          <w:pgMar w:top="1440" w:right="1800" w:bottom="1440" w:left="1800" w:header="851" w:footer="992" w:gutter="0"/>
          <w:cols w:space="425" w:num="1"/>
          <w:docGrid w:type="lines" w:linePitch="312" w:charSpace="0"/>
        </w:sectPr>
      </w:pPr>
    </w:p>
    <w:p w14:paraId="6C62D601">
      <w:pPr>
        <w:rPr>
          <w:rFonts w:ascii="Times New Roman" w:hAnsi="Times New Roman" w:cs="Times New Roman"/>
          <w:bCs/>
          <w:sz w:val="28"/>
          <w:szCs w:val="28"/>
        </w:rPr>
      </w:pPr>
      <w:bookmarkStart w:id="6" w:name="_Hlk205906988"/>
      <w:r>
        <w:rPr>
          <w:rFonts w:ascii="Times New Roman" w:hAnsi="Times New Roman" w:eastAsia="宋体" w:cs="Times New Roman"/>
          <w:b/>
          <w:sz w:val="28"/>
          <w:szCs w:val="28"/>
          <w14:ligatures w14:val="none"/>
        </w:rPr>
        <w:t xml:space="preserve">Appendix </w:t>
      </w:r>
      <w:r>
        <w:rPr>
          <w:rFonts w:hint="eastAsia" w:ascii="Times New Roman" w:hAnsi="Times New Roman" w:eastAsia="宋体" w:cs="Times New Roman"/>
          <w:b/>
          <w:sz w:val="28"/>
          <w:szCs w:val="28"/>
          <w14:ligatures w14:val="none"/>
        </w:rPr>
        <w:t>3</w:t>
      </w:r>
      <w:bookmarkEnd w:id="6"/>
      <w:r>
        <w:rPr>
          <w:rFonts w:hint="eastAsia" w:ascii="Times New Roman" w:hAnsi="Times New Roman" w:eastAsia="宋体" w:cs="Times New Roman"/>
          <w:b/>
          <w:sz w:val="28"/>
          <w:szCs w:val="28"/>
          <w14:ligatures w14:val="none"/>
        </w:rPr>
        <w:t xml:space="preserve">. </w:t>
      </w:r>
      <w:r>
        <w:rPr>
          <w:rFonts w:ascii="Times New Roman" w:hAnsi="Times New Roman" w:eastAsia="宋体" w:cs="Times New Roman"/>
          <w:bCs/>
          <w:sz w:val="28"/>
          <w:szCs w:val="28"/>
          <w14:ligatures w14:val="none"/>
        </w:rPr>
        <w:t xml:space="preserve">Quality Assessment of the </w:t>
      </w:r>
      <w:r>
        <w:rPr>
          <w:rFonts w:hint="eastAsia" w:ascii="Times New Roman" w:hAnsi="Times New Roman" w:eastAsia="宋体" w:cs="Times New Roman"/>
          <w:bCs/>
          <w:sz w:val="28"/>
          <w:szCs w:val="28"/>
          <w14:ligatures w14:val="none"/>
        </w:rPr>
        <w:t>59</w:t>
      </w:r>
      <w:r>
        <w:rPr>
          <w:rFonts w:ascii="Times New Roman" w:hAnsi="Times New Roman" w:eastAsia="宋体" w:cs="Times New Roman"/>
          <w:bCs/>
          <w:sz w:val="28"/>
          <w:szCs w:val="28"/>
          <w14:ligatures w14:val="none"/>
        </w:rPr>
        <w:t xml:space="preserve"> Studies</w:t>
      </w:r>
    </w:p>
    <w:p w14:paraId="4522E379">
      <w:pPr>
        <w:jc w:val="left"/>
        <w:rPr>
          <w:rFonts w:ascii="Times New Roman" w:hAnsi="Times New Roman" w:cs="Times New Roman"/>
          <w:sz w:val="28"/>
          <w:szCs w:val="28"/>
        </w:rPr>
      </w:pPr>
      <w:r>
        <w:rPr>
          <w:rFonts w:hint="eastAsia" w:ascii="Times New Roman" w:hAnsi="Times New Roman" w:cs="Times New Roman"/>
          <w:b/>
          <w:bCs/>
          <w:sz w:val="24"/>
          <w:szCs w:val="24"/>
        </w:rPr>
        <w:t>Table A4.</w:t>
      </w:r>
      <w:r>
        <w:rPr>
          <w:rFonts w:ascii="Times New Roman" w:hAnsi="Times New Roman" w:cs="Times New Roman"/>
          <w:sz w:val="24"/>
          <w:szCs w:val="24"/>
        </w:rPr>
        <w:t xml:space="preserve">Quality Assessment of the </w:t>
      </w:r>
      <w:r>
        <w:rPr>
          <w:rFonts w:hint="eastAsia" w:ascii="Times New Roman" w:hAnsi="Times New Roman" w:cs="Times New Roman"/>
          <w:sz w:val="24"/>
          <w:szCs w:val="24"/>
        </w:rPr>
        <w:t>qualitative</w:t>
      </w:r>
      <w:r>
        <w:rPr>
          <w:rFonts w:ascii="Times New Roman" w:hAnsi="Times New Roman" w:cs="Times New Roman"/>
          <w:sz w:val="24"/>
          <w:szCs w:val="24"/>
        </w:rPr>
        <w:t xml:space="preserve"> Studies Using </w:t>
      </w:r>
      <w:r>
        <w:rPr>
          <w:rFonts w:hint="eastAsia" w:ascii="Times New Roman" w:hAnsi="Times New Roman" w:cs="Times New Roman"/>
          <w:sz w:val="24"/>
          <w:szCs w:val="24"/>
        </w:rPr>
        <w:t>Critical Appraisal Skills Programme</w:t>
      </w:r>
      <w:r>
        <w:rPr>
          <w:rFonts w:ascii="Times New Roman" w:hAnsi="Times New Roman" w:cs="Times New Roman"/>
          <w:sz w:val="24"/>
          <w:szCs w:val="24"/>
        </w:rPr>
        <w:t>（CASP）</w:t>
      </w:r>
      <w:r>
        <w:rPr>
          <w:rFonts w:hint="eastAsia" w:ascii="Times New Roman" w:hAnsi="Times New Roman" w:cs="Times New Roman"/>
          <w:sz w:val="24"/>
          <w:szCs w:val="24"/>
        </w:rPr>
        <w:t>assessment checklist.</w:t>
      </w:r>
    </w:p>
    <w:tbl>
      <w:tblPr>
        <w:tblStyle w:val="6"/>
        <w:tblpPr w:leftFromText="180" w:rightFromText="180" w:vertAnchor="text" w:horzAnchor="page" w:tblpXSpec="center" w:tblpY="611"/>
        <w:tblOverlap w:val="never"/>
        <w:tblW w:w="5245" w:type="pct"/>
        <w:jc w:val="center"/>
        <w:tblLayout w:type="fixed"/>
        <w:tblCellMar>
          <w:top w:w="0" w:type="dxa"/>
          <w:left w:w="108" w:type="dxa"/>
          <w:bottom w:w="0" w:type="dxa"/>
          <w:right w:w="108" w:type="dxa"/>
        </w:tblCellMar>
      </w:tblPr>
      <w:tblGrid>
        <w:gridCol w:w="1559"/>
        <w:gridCol w:w="1219"/>
        <w:gridCol w:w="1210"/>
        <w:gridCol w:w="926"/>
        <w:gridCol w:w="1219"/>
        <w:gridCol w:w="1152"/>
        <w:gridCol w:w="1673"/>
        <w:gridCol w:w="1424"/>
        <w:gridCol w:w="1064"/>
        <w:gridCol w:w="1052"/>
        <w:gridCol w:w="1014"/>
        <w:gridCol w:w="1130"/>
      </w:tblGrid>
      <w:tr w14:paraId="04553D4E">
        <w:tblPrEx>
          <w:tblCellMar>
            <w:top w:w="0" w:type="dxa"/>
            <w:left w:w="108" w:type="dxa"/>
            <w:bottom w:w="0" w:type="dxa"/>
            <w:right w:w="108" w:type="dxa"/>
          </w:tblCellMar>
        </w:tblPrEx>
        <w:trPr>
          <w:trHeight w:val="950" w:hRule="atLeast"/>
          <w:jc w:val="center"/>
        </w:trPr>
        <w:tc>
          <w:tcPr>
            <w:tcW w:w="531" w:type="pct"/>
            <w:tcBorders>
              <w:top w:val="single" w:color="auto" w:sz="4" w:space="0"/>
              <w:left w:val="nil"/>
              <w:bottom w:val="single" w:color="auto" w:sz="4" w:space="0"/>
              <w:right w:val="single" w:color="E0E0E0" w:sz="4" w:space="0"/>
            </w:tcBorders>
            <w:shd w:val="clear" w:color="auto" w:fill="B4C6E7" w:themeFill="accent1" w:themeFillTint="66"/>
            <w:vAlign w:val="center"/>
          </w:tcPr>
          <w:p w14:paraId="667D6F92">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Study</w:t>
            </w:r>
          </w:p>
        </w:tc>
        <w:tc>
          <w:tcPr>
            <w:tcW w:w="416"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752E3357">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1. Clear Research Objectives</w:t>
            </w:r>
          </w:p>
        </w:tc>
        <w:tc>
          <w:tcPr>
            <w:tcW w:w="413"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087481C0">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2. Appropriate Methodology</w:t>
            </w:r>
          </w:p>
        </w:tc>
        <w:tc>
          <w:tcPr>
            <w:tcW w:w="316"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78A26103">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3. Sound Research Design</w:t>
            </w:r>
          </w:p>
        </w:tc>
        <w:tc>
          <w:tcPr>
            <w:tcW w:w="416"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0870AE1F">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4. Appropriate Recruitment Strategy</w:t>
            </w:r>
          </w:p>
        </w:tc>
        <w:tc>
          <w:tcPr>
            <w:tcW w:w="393"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65D4A2D1">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5. Appropriate Data Collection</w:t>
            </w:r>
          </w:p>
        </w:tc>
        <w:tc>
          <w:tcPr>
            <w:tcW w:w="570"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297717AD">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 xml:space="preserve">6. Researcher-Participant Relationship Handling </w:t>
            </w:r>
          </w:p>
        </w:tc>
        <w:tc>
          <w:tcPr>
            <w:tcW w:w="485"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58D402F7">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7. Ethical Considerations</w:t>
            </w:r>
          </w:p>
        </w:tc>
        <w:tc>
          <w:tcPr>
            <w:tcW w:w="363"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5882A3A2">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8. Rigorous Data Analysis</w:t>
            </w:r>
          </w:p>
        </w:tc>
        <w:tc>
          <w:tcPr>
            <w:tcW w:w="359"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26CC58E4">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 xml:space="preserve"> 9. Clear Presentation of Results</w:t>
            </w:r>
          </w:p>
        </w:tc>
        <w:tc>
          <w:tcPr>
            <w:tcW w:w="346" w:type="pct"/>
            <w:tcBorders>
              <w:top w:val="single" w:color="auto" w:sz="4" w:space="0"/>
              <w:left w:val="single" w:color="E0E0E0" w:sz="4" w:space="0"/>
              <w:bottom w:val="single" w:color="auto" w:sz="4" w:space="0"/>
              <w:right w:val="single" w:color="E0E0E0" w:sz="4" w:space="0"/>
            </w:tcBorders>
            <w:shd w:val="clear" w:color="auto" w:fill="B4C6E7" w:themeFill="accent1" w:themeFillTint="66"/>
            <w:vAlign w:val="center"/>
          </w:tcPr>
          <w:p w14:paraId="087AF0E8">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10. Research Value</w:t>
            </w:r>
          </w:p>
        </w:tc>
        <w:tc>
          <w:tcPr>
            <w:tcW w:w="386" w:type="pct"/>
            <w:tcBorders>
              <w:top w:val="single" w:color="auto" w:sz="4" w:space="0"/>
              <w:left w:val="single" w:color="E0E0E0" w:sz="4" w:space="0"/>
              <w:bottom w:val="single" w:color="auto" w:sz="4" w:space="0"/>
              <w:right w:val="nil"/>
            </w:tcBorders>
            <w:shd w:val="clear" w:color="auto" w:fill="B4C6E7" w:themeFill="accent1" w:themeFillTint="66"/>
            <w:vAlign w:val="center"/>
          </w:tcPr>
          <w:p w14:paraId="6F78B218">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sz w:val="18"/>
                <w:szCs w:val="18"/>
              </w:rPr>
              <w:t>Overall Quality</w:t>
            </w:r>
          </w:p>
        </w:tc>
      </w:tr>
      <w:tr w14:paraId="5F149490">
        <w:tblPrEx>
          <w:tblCellMar>
            <w:top w:w="0" w:type="dxa"/>
            <w:left w:w="108" w:type="dxa"/>
            <w:bottom w:w="0" w:type="dxa"/>
            <w:right w:w="108" w:type="dxa"/>
          </w:tblCellMar>
        </w:tblPrEx>
        <w:trPr>
          <w:trHeight w:val="1090" w:hRule="atLeast"/>
          <w:jc w:val="center"/>
        </w:trPr>
        <w:tc>
          <w:tcPr>
            <w:tcW w:w="531" w:type="pct"/>
            <w:tcBorders>
              <w:top w:val="single" w:color="auto" w:sz="4" w:space="0"/>
              <w:left w:val="nil"/>
              <w:bottom w:val="nil"/>
            </w:tcBorders>
            <w:shd w:val="clear" w:color="auto" w:fill="DAE3F3" w:themeFill="accent1" w:themeFillTint="32"/>
            <w:vAlign w:val="center"/>
          </w:tcPr>
          <w:p w14:paraId="551D931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Ramin Samiet al.(2021)</w:t>
            </w:r>
          </w:p>
        </w:tc>
        <w:tc>
          <w:tcPr>
            <w:tcW w:w="416" w:type="pct"/>
            <w:tcBorders>
              <w:top w:val="single" w:color="auto" w:sz="4" w:space="0"/>
            </w:tcBorders>
            <w:shd w:val="clear" w:color="auto" w:fill="FFFFFF"/>
            <w:vAlign w:val="center"/>
          </w:tcPr>
          <w:p w14:paraId="6AA14E5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top w:val="single" w:color="auto" w:sz="4" w:space="0"/>
            </w:tcBorders>
            <w:shd w:val="clear" w:color="auto" w:fill="FFFFFF"/>
            <w:vAlign w:val="center"/>
          </w:tcPr>
          <w:p w14:paraId="49486B0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top w:val="single" w:color="auto" w:sz="4" w:space="0"/>
            </w:tcBorders>
            <w:shd w:val="clear" w:color="auto" w:fill="FFFFFF"/>
            <w:vAlign w:val="center"/>
          </w:tcPr>
          <w:p w14:paraId="7A3DCC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top w:val="single" w:color="auto" w:sz="4" w:space="0"/>
            </w:tcBorders>
            <w:shd w:val="clear" w:color="auto" w:fill="FFFFFF"/>
            <w:vAlign w:val="center"/>
          </w:tcPr>
          <w:p w14:paraId="2FE29F8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top w:val="single" w:color="auto" w:sz="4" w:space="0"/>
            </w:tcBorders>
            <w:shd w:val="clear" w:color="auto" w:fill="FFFFFF"/>
            <w:vAlign w:val="center"/>
          </w:tcPr>
          <w:p w14:paraId="240E05C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top w:val="single" w:color="auto" w:sz="4" w:space="0"/>
            </w:tcBorders>
            <w:shd w:val="clear" w:color="auto" w:fill="FFFFFF"/>
            <w:vAlign w:val="center"/>
          </w:tcPr>
          <w:p w14:paraId="4900B56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top w:val="single" w:color="auto" w:sz="4" w:space="0"/>
            </w:tcBorders>
            <w:shd w:val="clear" w:color="auto" w:fill="FFFFFF"/>
            <w:vAlign w:val="center"/>
          </w:tcPr>
          <w:p w14:paraId="3B3C11E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top w:val="single" w:color="auto" w:sz="4" w:space="0"/>
            </w:tcBorders>
            <w:shd w:val="clear" w:color="auto" w:fill="FFFFFF"/>
            <w:vAlign w:val="center"/>
          </w:tcPr>
          <w:p w14:paraId="0A878A7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top w:val="single" w:color="auto" w:sz="4" w:space="0"/>
            </w:tcBorders>
            <w:shd w:val="clear" w:color="auto" w:fill="FFFFFF"/>
            <w:vAlign w:val="center"/>
          </w:tcPr>
          <w:p w14:paraId="0CD7858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top w:val="single" w:color="auto" w:sz="4" w:space="0"/>
            </w:tcBorders>
            <w:shd w:val="clear" w:color="auto" w:fill="FFFFFF"/>
            <w:vAlign w:val="center"/>
          </w:tcPr>
          <w:p w14:paraId="432AF39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top w:val="single" w:color="auto" w:sz="4" w:space="0"/>
              <w:right w:val="nil"/>
            </w:tcBorders>
            <w:noWrap/>
            <w:vAlign w:val="center"/>
          </w:tcPr>
          <w:p w14:paraId="61CF0C37">
            <w:pPr>
              <w:widowControl/>
              <w:jc w:val="center"/>
              <w:textAlignment w:val="center"/>
              <w:rPr>
                <w:rFonts w:ascii="Times New Roman" w:hAnsi="Times New Roman" w:eastAsia="宋体" w:cs="Times New Roman"/>
                <w:color w:val="FF0000"/>
                <w:sz w:val="22"/>
              </w:rPr>
            </w:pPr>
            <w:r>
              <w:rPr>
                <w:rFonts w:ascii="Times New Roman" w:hAnsi="Times New Roman" w:eastAsia="Segoe UI" w:cs="Times New Roman"/>
                <w:color w:val="FF0000"/>
                <w:kern w:val="0"/>
                <w:szCs w:val="21"/>
                <w:lang w:bidi="ar"/>
              </w:rPr>
              <w:t>high</w:t>
            </w:r>
          </w:p>
        </w:tc>
      </w:tr>
      <w:tr w14:paraId="5D92F10A">
        <w:tblPrEx>
          <w:tblCellMar>
            <w:top w:w="0" w:type="dxa"/>
            <w:left w:w="108" w:type="dxa"/>
            <w:bottom w:w="0" w:type="dxa"/>
            <w:right w:w="108" w:type="dxa"/>
          </w:tblCellMar>
        </w:tblPrEx>
        <w:trPr>
          <w:trHeight w:val="1210" w:hRule="atLeast"/>
          <w:jc w:val="center"/>
        </w:trPr>
        <w:tc>
          <w:tcPr>
            <w:tcW w:w="531" w:type="pct"/>
            <w:tcBorders>
              <w:top w:val="single" w:color="E0E0E0" w:sz="4" w:space="0"/>
              <w:left w:val="nil"/>
              <w:bottom w:val="nil"/>
            </w:tcBorders>
            <w:shd w:val="clear" w:color="auto" w:fill="DAE3F3" w:themeFill="accent1" w:themeFillTint="32"/>
            <w:vAlign w:val="center"/>
          </w:tcPr>
          <w:p w14:paraId="33943872">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w:t>
            </w:r>
            <w:r>
              <w:rPr>
                <w:rFonts w:ascii="Times New Roman" w:hAnsi="Times New Roman" w:eastAsia="Segoe UI" w:cs="Times New Roman"/>
                <w:szCs w:val="21"/>
              </w:rPr>
              <w:t>Schwartzberg, E</w:t>
            </w:r>
            <w:r>
              <w:rPr>
                <w:rFonts w:ascii="Times New Roman" w:hAnsi="Times New Roman" w:eastAsia="宋体" w:cs="Times New Roman"/>
                <w:color w:val="000000"/>
                <w:kern w:val="0"/>
                <w:szCs w:val="21"/>
                <w:lang w:bidi="ar"/>
              </w:rPr>
              <w:t xml:space="preserve"> et al.（2006）</w:t>
            </w:r>
          </w:p>
        </w:tc>
        <w:tc>
          <w:tcPr>
            <w:tcW w:w="416" w:type="pct"/>
            <w:shd w:val="clear" w:color="auto" w:fill="FFFFFF"/>
            <w:vAlign w:val="center"/>
          </w:tcPr>
          <w:p w14:paraId="584648FA">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3" w:type="pct"/>
            <w:shd w:val="clear" w:color="auto" w:fill="FFFFFF"/>
            <w:vAlign w:val="center"/>
          </w:tcPr>
          <w:p w14:paraId="1B6A7750">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16" w:type="pct"/>
            <w:shd w:val="clear" w:color="auto" w:fill="FFFFFF"/>
            <w:vAlign w:val="center"/>
          </w:tcPr>
          <w:p w14:paraId="5E6FFF65">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6" w:type="pct"/>
            <w:shd w:val="clear" w:color="auto" w:fill="FFFFFF"/>
            <w:vAlign w:val="center"/>
          </w:tcPr>
          <w:p w14:paraId="09A59C89">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93" w:type="pct"/>
            <w:shd w:val="clear" w:color="auto" w:fill="FFFFFF"/>
            <w:vAlign w:val="center"/>
          </w:tcPr>
          <w:p w14:paraId="3172FB41">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570" w:type="pct"/>
            <w:shd w:val="clear" w:color="auto" w:fill="FFFFFF"/>
            <w:vAlign w:val="center"/>
          </w:tcPr>
          <w:p w14:paraId="231DAB08">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Can't Tell</w:t>
            </w:r>
          </w:p>
        </w:tc>
        <w:tc>
          <w:tcPr>
            <w:tcW w:w="485" w:type="pct"/>
            <w:shd w:val="clear" w:color="auto" w:fill="FFFFFF"/>
            <w:vAlign w:val="center"/>
          </w:tcPr>
          <w:p w14:paraId="44371125">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63" w:type="pct"/>
            <w:shd w:val="clear" w:color="auto" w:fill="FFFFFF"/>
            <w:vAlign w:val="center"/>
          </w:tcPr>
          <w:p w14:paraId="0F999DF9">
            <w:pPr>
              <w:widowControl/>
              <w:jc w:val="center"/>
              <w:textAlignment w:val="center"/>
              <w:rPr>
                <w:rFonts w:ascii="Times New Roman" w:hAnsi="Times New Roman" w:eastAsia="Segoe UI" w:cs="Times New Roman"/>
                <w:color w:val="000000"/>
                <w:szCs w:val="21"/>
              </w:rPr>
            </w:pPr>
            <w:r>
              <w:rPr>
                <w:rFonts w:hint="eastAsia" w:ascii="Times New Roman" w:hAnsi="Times New Roman" w:eastAsia="Segoe UI" w:cs="Times New Roman"/>
                <w:color w:val="000000"/>
                <w:kern w:val="0"/>
                <w:szCs w:val="21"/>
                <w:lang w:bidi="ar"/>
              </w:rPr>
              <w:t>Yes</w:t>
            </w:r>
          </w:p>
        </w:tc>
        <w:tc>
          <w:tcPr>
            <w:tcW w:w="359" w:type="pct"/>
            <w:shd w:val="clear" w:color="auto" w:fill="FFFFFF"/>
            <w:vAlign w:val="center"/>
          </w:tcPr>
          <w:p w14:paraId="134E11A8">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46" w:type="pct"/>
            <w:shd w:val="clear" w:color="auto" w:fill="FFFFFF"/>
            <w:vAlign w:val="center"/>
          </w:tcPr>
          <w:p w14:paraId="35081659">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86" w:type="pct"/>
            <w:tcBorders>
              <w:right w:val="nil"/>
            </w:tcBorders>
            <w:shd w:val="clear" w:color="auto" w:fill="FFFFFF"/>
            <w:vAlign w:val="center"/>
          </w:tcPr>
          <w:p w14:paraId="124E36A4">
            <w:pPr>
              <w:widowControl/>
              <w:jc w:val="center"/>
              <w:textAlignment w:val="center"/>
              <w:rPr>
                <w:rFonts w:ascii="Times New Roman" w:hAnsi="Times New Roman" w:eastAsia="宋体" w:cs="Times New Roman"/>
                <w:color w:val="FF0000"/>
                <w:szCs w:val="21"/>
              </w:rPr>
            </w:pPr>
            <w:r>
              <w:rPr>
                <w:rFonts w:ascii="Times New Roman" w:hAnsi="Times New Roman" w:eastAsia="Segoe UI" w:cs="Times New Roman"/>
                <w:color w:val="FF0000"/>
                <w:kern w:val="0"/>
                <w:szCs w:val="21"/>
                <w:lang w:bidi="ar"/>
              </w:rPr>
              <w:t>high</w:t>
            </w:r>
          </w:p>
        </w:tc>
      </w:tr>
      <w:tr w14:paraId="450D943C">
        <w:tblPrEx>
          <w:tblCellMar>
            <w:top w:w="0" w:type="dxa"/>
            <w:left w:w="108" w:type="dxa"/>
            <w:bottom w:w="0" w:type="dxa"/>
            <w:right w:w="108" w:type="dxa"/>
          </w:tblCellMar>
        </w:tblPrEx>
        <w:trPr>
          <w:trHeight w:val="890" w:hRule="atLeast"/>
          <w:jc w:val="center"/>
        </w:trPr>
        <w:tc>
          <w:tcPr>
            <w:tcW w:w="531" w:type="pct"/>
            <w:tcBorders>
              <w:top w:val="single" w:color="E0E0E0" w:sz="4" w:space="0"/>
              <w:left w:val="nil"/>
              <w:bottom w:val="nil"/>
            </w:tcBorders>
            <w:shd w:val="clear" w:color="auto" w:fill="DAE3F3" w:themeFill="accent1" w:themeFillTint="32"/>
            <w:vAlign w:val="center"/>
          </w:tcPr>
          <w:p w14:paraId="69360710">
            <w:pPr>
              <w:widowControl/>
              <w:jc w:val="center"/>
              <w:textAlignment w:val="center"/>
              <w:rPr>
                <w:rFonts w:ascii="Times New Roman" w:hAnsi="Times New Roman" w:eastAsia="宋体" w:cs="Times New Roman"/>
                <w:color w:val="000000"/>
                <w:szCs w:val="21"/>
              </w:rPr>
            </w:pPr>
            <w:r>
              <w:rPr>
                <w:rFonts w:ascii="Times New Roman" w:hAnsi="Times New Roman" w:eastAsia="Segoe UI" w:cs="Times New Roman"/>
                <w:szCs w:val="21"/>
              </w:rPr>
              <w:t>Dresser, L. D.</w:t>
            </w:r>
            <w:r>
              <w:rPr>
                <w:rFonts w:ascii="Times New Roman" w:hAnsi="Times New Roman" w:eastAsia="宋体" w:cs="Times New Roman"/>
                <w:szCs w:val="21"/>
              </w:rPr>
              <w:t>et al.（2018）</w:t>
            </w:r>
          </w:p>
        </w:tc>
        <w:tc>
          <w:tcPr>
            <w:tcW w:w="416" w:type="pct"/>
            <w:shd w:val="clear" w:color="auto" w:fill="FFFFFF"/>
            <w:vAlign w:val="center"/>
          </w:tcPr>
          <w:p w14:paraId="58B9E95F">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3" w:type="pct"/>
            <w:shd w:val="clear" w:color="auto" w:fill="FFFFFF"/>
            <w:vAlign w:val="center"/>
          </w:tcPr>
          <w:p w14:paraId="6F3AC550">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16" w:type="pct"/>
            <w:shd w:val="clear" w:color="auto" w:fill="FFFFFF"/>
            <w:vAlign w:val="center"/>
          </w:tcPr>
          <w:p w14:paraId="3CB08C2B">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6" w:type="pct"/>
            <w:shd w:val="clear" w:color="auto" w:fill="FFFFFF"/>
            <w:vAlign w:val="center"/>
          </w:tcPr>
          <w:p w14:paraId="5BFE1C12">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93" w:type="pct"/>
            <w:shd w:val="clear" w:color="auto" w:fill="FFFFFF"/>
            <w:vAlign w:val="center"/>
          </w:tcPr>
          <w:p w14:paraId="3E87BF32">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570" w:type="pct"/>
            <w:shd w:val="clear" w:color="auto" w:fill="FFFFFF"/>
            <w:vAlign w:val="center"/>
          </w:tcPr>
          <w:p w14:paraId="78BEC723">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Can't Tell</w:t>
            </w:r>
          </w:p>
        </w:tc>
        <w:tc>
          <w:tcPr>
            <w:tcW w:w="485" w:type="pct"/>
            <w:shd w:val="clear" w:color="auto" w:fill="FFFFFF"/>
            <w:vAlign w:val="center"/>
          </w:tcPr>
          <w:p w14:paraId="49EA9216">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63" w:type="pct"/>
            <w:shd w:val="clear" w:color="auto" w:fill="FFFFFF"/>
            <w:vAlign w:val="center"/>
          </w:tcPr>
          <w:p w14:paraId="46F31FF2">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59" w:type="pct"/>
            <w:shd w:val="clear" w:color="auto" w:fill="FFFFFF"/>
            <w:vAlign w:val="center"/>
          </w:tcPr>
          <w:p w14:paraId="781D6B77">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46" w:type="pct"/>
            <w:shd w:val="clear" w:color="auto" w:fill="FFFFFF"/>
            <w:vAlign w:val="center"/>
          </w:tcPr>
          <w:p w14:paraId="1BB0AB4B">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86" w:type="pct"/>
            <w:tcBorders>
              <w:right w:val="nil"/>
            </w:tcBorders>
            <w:shd w:val="clear" w:color="auto" w:fill="FFFFFF"/>
            <w:vAlign w:val="center"/>
          </w:tcPr>
          <w:p w14:paraId="63A827D9">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2D4FA3E6">
        <w:tblPrEx>
          <w:tblCellMar>
            <w:top w:w="0" w:type="dxa"/>
            <w:left w:w="108" w:type="dxa"/>
            <w:bottom w:w="0" w:type="dxa"/>
            <w:right w:w="108" w:type="dxa"/>
          </w:tblCellMar>
        </w:tblPrEx>
        <w:trPr>
          <w:trHeight w:val="990" w:hRule="atLeast"/>
          <w:jc w:val="center"/>
        </w:trPr>
        <w:tc>
          <w:tcPr>
            <w:tcW w:w="531" w:type="pct"/>
            <w:tcBorders>
              <w:top w:val="single" w:color="E0E0E0" w:sz="4" w:space="0"/>
              <w:left w:val="nil"/>
              <w:bottom w:val="nil"/>
            </w:tcBorders>
            <w:shd w:val="clear" w:color="auto" w:fill="DAE3F3" w:themeFill="accent1" w:themeFillTint="32"/>
            <w:vAlign w:val="center"/>
          </w:tcPr>
          <w:p w14:paraId="34FCAAEC">
            <w:pPr>
              <w:widowControl/>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kern w:val="0"/>
                <w:szCs w:val="21"/>
                <w:lang w:bidi="ar"/>
              </w:rPr>
              <w:t xml:space="preserve">Katharina </w:t>
            </w:r>
            <w:r>
              <w:rPr>
                <w:rFonts w:ascii="Times New Roman" w:hAnsi="Times New Roman" w:eastAsia="宋体" w:cs="Times New Roman"/>
                <w:color w:val="000000"/>
                <w:kern w:val="0"/>
                <w:szCs w:val="21"/>
                <w:lang w:bidi="ar"/>
              </w:rPr>
              <w:t>Rynkiewiczich et al.（</w:t>
            </w:r>
            <w:r>
              <w:rPr>
                <w:rFonts w:hint="eastAsia" w:ascii="Times New Roman" w:hAnsi="Times New Roman" w:eastAsia="宋体" w:cs="Times New Roman"/>
                <w:color w:val="000000"/>
                <w:kern w:val="0"/>
                <w:szCs w:val="21"/>
                <w:lang w:bidi="ar"/>
              </w:rPr>
              <w:t>2020</w:t>
            </w:r>
            <w:r>
              <w:rPr>
                <w:rFonts w:ascii="Times New Roman" w:hAnsi="Times New Roman" w:eastAsia="宋体" w:cs="Times New Roman"/>
                <w:color w:val="000000"/>
                <w:kern w:val="0"/>
                <w:szCs w:val="21"/>
                <w:lang w:bidi="ar"/>
              </w:rPr>
              <w:t>）</w:t>
            </w:r>
          </w:p>
        </w:tc>
        <w:tc>
          <w:tcPr>
            <w:tcW w:w="416" w:type="pct"/>
            <w:tcBorders>
              <w:bottom w:val="nil"/>
            </w:tcBorders>
            <w:shd w:val="clear" w:color="auto" w:fill="FFFFFF"/>
            <w:vAlign w:val="center"/>
          </w:tcPr>
          <w:p w14:paraId="5C35F38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bottom w:val="nil"/>
            </w:tcBorders>
            <w:shd w:val="clear" w:color="auto" w:fill="FFFFFF"/>
            <w:vAlign w:val="center"/>
          </w:tcPr>
          <w:p w14:paraId="1CCB788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bottom w:val="nil"/>
            </w:tcBorders>
            <w:shd w:val="clear" w:color="auto" w:fill="FFFFFF"/>
            <w:vAlign w:val="center"/>
          </w:tcPr>
          <w:p w14:paraId="44DC872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bottom w:val="nil"/>
            </w:tcBorders>
            <w:shd w:val="clear" w:color="auto" w:fill="FFFFFF"/>
            <w:vAlign w:val="center"/>
          </w:tcPr>
          <w:p w14:paraId="5B39930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bottom w:val="nil"/>
            </w:tcBorders>
            <w:shd w:val="clear" w:color="auto" w:fill="FFFFFF"/>
            <w:vAlign w:val="center"/>
          </w:tcPr>
          <w:p w14:paraId="4ACB0FD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bottom w:val="nil"/>
            </w:tcBorders>
            <w:shd w:val="clear" w:color="auto" w:fill="FFFFFF"/>
            <w:vAlign w:val="center"/>
          </w:tcPr>
          <w:p w14:paraId="6B2ACAA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bottom w:val="nil"/>
            </w:tcBorders>
            <w:shd w:val="clear" w:color="auto" w:fill="FFFFFF"/>
            <w:vAlign w:val="center"/>
          </w:tcPr>
          <w:p w14:paraId="63AE0B1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bottom w:val="nil"/>
            </w:tcBorders>
            <w:shd w:val="clear" w:color="auto" w:fill="FFFFFF"/>
            <w:vAlign w:val="center"/>
          </w:tcPr>
          <w:p w14:paraId="26EC4CB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bottom w:val="nil"/>
            </w:tcBorders>
            <w:shd w:val="clear" w:color="auto" w:fill="FFFFFF"/>
            <w:vAlign w:val="center"/>
          </w:tcPr>
          <w:p w14:paraId="52470C4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bottom w:val="nil"/>
            </w:tcBorders>
            <w:shd w:val="clear" w:color="auto" w:fill="FFFFFF"/>
            <w:vAlign w:val="center"/>
          </w:tcPr>
          <w:p w14:paraId="0AADC6F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bottom w:val="nil"/>
              <w:right w:val="nil"/>
            </w:tcBorders>
            <w:noWrap/>
            <w:vAlign w:val="center"/>
          </w:tcPr>
          <w:p w14:paraId="47B607A2">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29F511EA">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634F846C">
            <w:pPr>
              <w:widowControl/>
              <w:jc w:val="center"/>
              <w:textAlignment w:val="center"/>
              <w:rPr>
                <w:rFonts w:ascii="Times New Roman" w:hAnsi="Times New Roman" w:eastAsia="宋体" w:cs="Times New Roman"/>
                <w:color w:val="000000"/>
                <w:szCs w:val="21"/>
              </w:rPr>
            </w:pPr>
            <w:r>
              <w:rPr>
                <w:rFonts w:ascii="Times New Roman" w:hAnsi="Times New Roman" w:eastAsia="Segoe UI" w:cs="Times New Roman"/>
                <w:szCs w:val="21"/>
              </w:rPr>
              <w:t>Broom, J. K.</w:t>
            </w:r>
            <w:r>
              <w:rPr>
                <w:rFonts w:ascii="Times New Roman" w:hAnsi="Times New Roman" w:eastAsia="宋体" w:cs="Times New Roman"/>
                <w:szCs w:val="21"/>
              </w:rPr>
              <w:t>(2018)</w:t>
            </w:r>
          </w:p>
        </w:tc>
        <w:tc>
          <w:tcPr>
            <w:tcW w:w="416" w:type="pct"/>
            <w:shd w:val="clear" w:color="auto" w:fill="FFFFFF"/>
            <w:vAlign w:val="center"/>
          </w:tcPr>
          <w:p w14:paraId="7C98033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6EC048F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61BC32D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0BF6B5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12A46C5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48DD0BD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631B0BF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1FA7080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65EBD3B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23256E1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6DFD500E">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5D70DA23">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39BCF5F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Jeroen A  et al.（2007）</w:t>
            </w:r>
          </w:p>
        </w:tc>
        <w:tc>
          <w:tcPr>
            <w:tcW w:w="416" w:type="pct"/>
            <w:shd w:val="clear" w:color="auto" w:fill="FFFFFF"/>
            <w:vAlign w:val="center"/>
          </w:tcPr>
          <w:p w14:paraId="21356BF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197B84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329D9F3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63F0D31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28DE433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71C4669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16A1C7F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57811F4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0F99CAC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1A03E71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22C43D50">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1B0F492C">
        <w:tblPrEx>
          <w:tblCellMar>
            <w:top w:w="0" w:type="dxa"/>
            <w:left w:w="108" w:type="dxa"/>
            <w:bottom w:w="0" w:type="dxa"/>
            <w:right w:w="108" w:type="dxa"/>
          </w:tblCellMar>
        </w:tblPrEx>
        <w:trPr>
          <w:trHeight w:val="944"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4D6D53C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kern w:val="0"/>
                <w:szCs w:val="21"/>
                <w:lang w:bidi="ar"/>
              </w:rPr>
              <w:t>Vaughn VM et al.(2024)</w:t>
            </w:r>
          </w:p>
        </w:tc>
        <w:tc>
          <w:tcPr>
            <w:tcW w:w="416" w:type="pct"/>
            <w:vAlign w:val="center"/>
          </w:tcPr>
          <w:p w14:paraId="76338B59">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413" w:type="pct"/>
            <w:vAlign w:val="center"/>
          </w:tcPr>
          <w:p w14:paraId="3275CCEB">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16" w:type="pct"/>
            <w:vAlign w:val="center"/>
          </w:tcPr>
          <w:p w14:paraId="6C432950">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416" w:type="pct"/>
            <w:vAlign w:val="center"/>
          </w:tcPr>
          <w:p w14:paraId="6794C903">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93" w:type="pct"/>
            <w:vAlign w:val="center"/>
          </w:tcPr>
          <w:p w14:paraId="51F0681B">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570" w:type="pct"/>
            <w:vAlign w:val="center"/>
          </w:tcPr>
          <w:p w14:paraId="0ED6C2DB">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Can't Tell</w:t>
            </w:r>
          </w:p>
        </w:tc>
        <w:tc>
          <w:tcPr>
            <w:tcW w:w="485" w:type="pct"/>
            <w:vAlign w:val="center"/>
          </w:tcPr>
          <w:p w14:paraId="5FFE0660">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63" w:type="pct"/>
            <w:vAlign w:val="center"/>
          </w:tcPr>
          <w:p w14:paraId="2F478145">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59" w:type="pct"/>
            <w:vAlign w:val="center"/>
          </w:tcPr>
          <w:p w14:paraId="6536F939">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46" w:type="pct"/>
            <w:vAlign w:val="center"/>
          </w:tcPr>
          <w:p w14:paraId="0903F2A7">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Yes</w:t>
            </w:r>
          </w:p>
        </w:tc>
        <w:tc>
          <w:tcPr>
            <w:tcW w:w="386" w:type="pct"/>
            <w:tcBorders>
              <w:right w:val="nil"/>
            </w:tcBorders>
            <w:noWrap/>
            <w:vAlign w:val="center"/>
          </w:tcPr>
          <w:p w14:paraId="77809634">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5F1616A5">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3476CF4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Talkhana H et al.(2024)</w:t>
            </w:r>
          </w:p>
        </w:tc>
        <w:tc>
          <w:tcPr>
            <w:tcW w:w="416" w:type="pct"/>
            <w:shd w:val="clear" w:color="auto" w:fill="FFFFFF"/>
            <w:vAlign w:val="center"/>
          </w:tcPr>
          <w:p w14:paraId="4CFA129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30A8B94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53D87AA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32E6832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50416BB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78CF414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4208E25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69DF11D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2DBD66B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56193D2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214B4155">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3801B98B">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nil"/>
            </w:tcBorders>
            <w:shd w:val="clear" w:color="auto" w:fill="DAE3F3" w:themeFill="accent1" w:themeFillTint="32"/>
            <w:vAlign w:val="center"/>
          </w:tcPr>
          <w:p w14:paraId="6D6F9D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Mahmoud Attia et al.(2024)</w:t>
            </w:r>
          </w:p>
        </w:tc>
        <w:tc>
          <w:tcPr>
            <w:tcW w:w="416" w:type="pct"/>
            <w:tcBorders>
              <w:bottom w:val="nil"/>
            </w:tcBorders>
            <w:shd w:val="clear" w:color="auto" w:fill="FFFFFF"/>
            <w:vAlign w:val="center"/>
          </w:tcPr>
          <w:p w14:paraId="6E0182C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bottom w:val="nil"/>
            </w:tcBorders>
            <w:shd w:val="clear" w:color="auto" w:fill="FFFFFF"/>
            <w:vAlign w:val="center"/>
          </w:tcPr>
          <w:p w14:paraId="4B026F9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bottom w:val="nil"/>
            </w:tcBorders>
            <w:shd w:val="clear" w:color="auto" w:fill="FFFFFF"/>
            <w:vAlign w:val="center"/>
          </w:tcPr>
          <w:p w14:paraId="378004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bottom w:val="nil"/>
            </w:tcBorders>
            <w:shd w:val="clear" w:color="auto" w:fill="FFFFFF"/>
            <w:vAlign w:val="center"/>
          </w:tcPr>
          <w:p w14:paraId="4540D86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bottom w:val="nil"/>
            </w:tcBorders>
            <w:shd w:val="clear" w:color="auto" w:fill="FFFFFF"/>
            <w:vAlign w:val="center"/>
          </w:tcPr>
          <w:p w14:paraId="63BB136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bottom w:val="nil"/>
            </w:tcBorders>
            <w:shd w:val="clear" w:color="auto" w:fill="FFFFFF"/>
            <w:vAlign w:val="center"/>
          </w:tcPr>
          <w:p w14:paraId="1AE344E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bottom w:val="nil"/>
            </w:tcBorders>
            <w:shd w:val="clear" w:color="auto" w:fill="FFFFFF"/>
            <w:vAlign w:val="center"/>
          </w:tcPr>
          <w:p w14:paraId="1BD75B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bottom w:val="nil"/>
            </w:tcBorders>
            <w:shd w:val="clear" w:color="auto" w:fill="FFFFFF"/>
            <w:vAlign w:val="center"/>
          </w:tcPr>
          <w:p w14:paraId="2FEBF01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bottom w:val="nil"/>
            </w:tcBorders>
            <w:shd w:val="clear" w:color="auto" w:fill="FFFFFF"/>
            <w:vAlign w:val="center"/>
          </w:tcPr>
          <w:p w14:paraId="0967B00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bottom w:val="nil"/>
            </w:tcBorders>
            <w:shd w:val="clear" w:color="auto" w:fill="FFFFFF"/>
            <w:vAlign w:val="center"/>
          </w:tcPr>
          <w:p w14:paraId="69D7C89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bottom w:val="nil"/>
              <w:right w:val="nil"/>
            </w:tcBorders>
            <w:noWrap/>
            <w:vAlign w:val="center"/>
          </w:tcPr>
          <w:p w14:paraId="163630FB">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6C4CE404">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3537D1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Christensenet al.(2022)</w:t>
            </w:r>
          </w:p>
        </w:tc>
        <w:tc>
          <w:tcPr>
            <w:tcW w:w="416" w:type="pct"/>
            <w:shd w:val="clear" w:color="auto" w:fill="FFFFFF"/>
            <w:vAlign w:val="center"/>
          </w:tcPr>
          <w:p w14:paraId="39674AF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4AB343A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5A36AB9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7E62995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27A1DA1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0737F6B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0900FFA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065CB1D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2D1E53F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7F88685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2F18FA73">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7717E5EE">
        <w:tblPrEx>
          <w:tblCellMar>
            <w:top w:w="0" w:type="dxa"/>
            <w:left w:w="108" w:type="dxa"/>
            <w:bottom w:w="0" w:type="dxa"/>
            <w:right w:w="108" w:type="dxa"/>
          </w:tblCellMar>
        </w:tblPrEx>
        <w:trPr>
          <w:trHeight w:val="990" w:hRule="atLeast"/>
          <w:jc w:val="center"/>
        </w:trPr>
        <w:tc>
          <w:tcPr>
            <w:tcW w:w="531" w:type="pct"/>
            <w:tcBorders>
              <w:top w:val="single" w:color="E0E0E0" w:sz="4" w:space="0"/>
              <w:left w:val="nil"/>
              <w:bottom w:val="nil"/>
            </w:tcBorders>
            <w:shd w:val="clear" w:color="auto" w:fill="DAE3F3" w:themeFill="accent1" w:themeFillTint="32"/>
            <w:vAlign w:val="center"/>
          </w:tcPr>
          <w:p w14:paraId="5CD4704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Alyssa M Pandolfoet al.(2022)</w:t>
            </w:r>
          </w:p>
        </w:tc>
        <w:tc>
          <w:tcPr>
            <w:tcW w:w="416" w:type="pct"/>
            <w:tcBorders>
              <w:bottom w:val="nil"/>
            </w:tcBorders>
            <w:shd w:val="clear" w:color="auto" w:fill="FFFFFF"/>
            <w:vAlign w:val="center"/>
          </w:tcPr>
          <w:p w14:paraId="5CE4335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bottom w:val="nil"/>
            </w:tcBorders>
            <w:shd w:val="clear" w:color="auto" w:fill="FFFFFF"/>
            <w:vAlign w:val="center"/>
          </w:tcPr>
          <w:p w14:paraId="3991E7B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bottom w:val="nil"/>
            </w:tcBorders>
            <w:shd w:val="clear" w:color="auto" w:fill="FFFFFF"/>
            <w:vAlign w:val="center"/>
          </w:tcPr>
          <w:p w14:paraId="2D726AC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bottom w:val="nil"/>
            </w:tcBorders>
            <w:shd w:val="clear" w:color="auto" w:fill="FFFFFF"/>
            <w:vAlign w:val="center"/>
          </w:tcPr>
          <w:p w14:paraId="19767F2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bottom w:val="nil"/>
            </w:tcBorders>
            <w:shd w:val="clear" w:color="auto" w:fill="FFFFFF"/>
            <w:vAlign w:val="center"/>
          </w:tcPr>
          <w:p w14:paraId="71F9ADF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bottom w:val="nil"/>
            </w:tcBorders>
            <w:shd w:val="clear" w:color="auto" w:fill="FFFFFF"/>
            <w:vAlign w:val="center"/>
          </w:tcPr>
          <w:p w14:paraId="129508E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bottom w:val="nil"/>
            </w:tcBorders>
            <w:shd w:val="clear" w:color="auto" w:fill="FFFFFF"/>
            <w:vAlign w:val="center"/>
          </w:tcPr>
          <w:p w14:paraId="7A8228F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bottom w:val="nil"/>
            </w:tcBorders>
            <w:shd w:val="clear" w:color="auto" w:fill="FFFFFF"/>
            <w:vAlign w:val="center"/>
          </w:tcPr>
          <w:p w14:paraId="6E69FF9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bottom w:val="nil"/>
            </w:tcBorders>
            <w:shd w:val="clear" w:color="auto" w:fill="FFFFFF"/>
            <w:vAlign w:val="center"/>
          </w:tcPr>
          <w:p w14:paraId="737F33D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bottom w:val="nil"/>
            </w:tcBorders>
            <w:shd w:val="clear" w:color="auto" w:fill="FFFFFF"/>
            <w:vAlign w:val="center"/>
          </w:tcPr>
          <w:p w14:paraId="71F5E12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bottom w:val="nil"/>
              <w:right w:val="nil"/>
            </w:tcBorders>
            <w:noWrap/>
            <w:vAlign w:val="center"/>
          </w:tcPr>
          <w:p w14:paraId="00CA9738">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452DDAC1">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nil"/>
            </w:tcBorders>
            <w:shd w:val="clear" w:color="auto" w:fill="DAE3F3" w:themeFill="accent1" w:themeFillTint="32"/>
            <w:vAlign w:val="center"/>
          </w:tcPr>
          <w:p w14:paraId="6ADCCA3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Lucy Reynolds et al.(2009)</w:t>
            </w:r>
          </w:p>
        </w:tc>
        <w:tc>
          <w:tcPr>
            <w:tcW w:w="416" w:type="pct"/>
            <w:tcBorders>
              <w:bottom w:val="nil"/>
            </w:tcBorders>
            <w:shd w:val="clear" w:color="auto" w:fill="FFFFFF"/>
            <w:vAlign w:val="center"/>
          </w:tcPr>
          <w:p w14:paraId="3346241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bottom w:val="nil"/>
            </w:tcBorders>
            <w:shd w:val="clear" w:color="auto" w:fill="FFFFFF"/>
            <w:vAlign w:val="center"/>
          </w:tcPr>
          <w:p w14:paraId="24E3D2F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bottom w:val="nil"/>
            </w:tcBorders>
            <w:shd w:val="clear" w:color="auto" w:fill="FFFFFF"/>
            <w:vAlign w:val="center"/>
          </w:tcPr>
          <w:p w14:paraId="5321E9B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bottom w:val="nil"/>
            </w:tcBorders>
            <w:shd w:val="clear" w:color="auto" w:fill="FFFFFF"/>
            <w:vAlign w:val="center"/>
          </w:tcPr>
          <w:p w14:paraId="570FAEA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bottom w:val="nil"/>
            </w:tcBorders>
            <w:shd w:val="clear" w:color="auto" w:fill="FFFFFF"/>
            <w:vAlign w:val="center"/>
          </w:tcPr>
          <w:p w14:paraId="0FAB233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bottom w:val="nil"/>
            </w:tcBorders>
            <w:shd w:val="clear" w:color="auto" w:fill="FFFFFF"/>
            <w:vAlign w:val="center"/>
          </w:tcPr>
          <w:p w14:paraId="3372CED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bottom w:val="nil"/>
            </w:tcBorders>
            <w:shd w:val="clear" w:color="auto" w:fill="FFFFFF"/>
            <w:vAlign w:val="center"/>
          </w:tcPr>
          <w:p w14:paraId="56751FF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bottom w:val="nil"/>
            </w:tcBorders>
            <w:shd w:val="clear" w:color="auto" w:fill="FFFFFF"/>
            <w:vAlign w:val="center"/>
          </w:tcPr>
          <w:p w14:paraId="6657F9C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bottom w:val="nil"/>
            </w:tcBorders>
            <w:shd w:val="clear" w:color="auto" w:fill="FFFFFF"/>
            <w:vAlign w:val="center"/>
          </w:tcPr>
          <w:p w14:paraId="581555B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bottom w:val="nil"/>
            </w:tcBorders>
            <w:shd w:val="clear" w:color="auto" w:fill="FFFFFF"/>
            <w:vAlign w:val="center"/>
          </w:tcPr>
          <w:p w14:paraId="4585A62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bottom w:val="nil"/>
              <w:right w:val="nil"/>
            </w:tcBorders>
            <w:noWrap/>
            <w:vAlign w:val="center"/>
          </w:tcPr>
          <w:p w14:paraId="3343A56B">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39F84131">
        <w:tblPrEx>
          <w:tblCellMar>
            <w:top w:w="0" w:type="dxa"/>
            <w:left w:w="108" w:type="dxa"/>
            <w:bottom w:w="0" w:type="dxa"/>
            <w:right w:w="108" w:type="dxa"/>
          </w:tblCellMar>
        </w:tblPrEx>
        <w:trPr>
          <w:trHeight w:val="75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0B2DF2A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Rynkiewiczich(2020)</w:t>
            </w:r>
          </w:p>
        </w:tc>
        <w:tc>
          <w:tcPr>
            <w:tcW w:w="416" w:type="pct"/>
            <w:shd w:val="clear" w:color="auto" w:fill="FFFFFF"/>
            <w:vAlign w:val="center"/>
          </w:tcPr>
          <w:p w14:paraId="7CC2067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3A80013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5BBB751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4188ED7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3D09F75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4261D48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3E22899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4E065F0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6579115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709C445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35F603B0">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62936C50">
        <w:tblPrEx>
          <w:tblCellMar>
            <w:top w:w="0" w:type="dxa"/>
            <w:left w:w="108" w:type="dxa"/>
            <w:bottom w:w="0" w:type="dxa"/>
            <w:right w:w="108" w:type="dxa"/>
          </w:tblCellMar>
        </w:tblPrEx>
        <w:trPr>
          <w:trHeight w:val="776" w:hRule="atLeast"/>
          <w:jc w:val="center"/>
        </w:trPr>
        <w:tc>
          <w:tcPr>
            <w:tcW w:w="531" w:type="pct"/>
            <w:tcBorders>
              <w:top w:val="single" w:color="E0E0E0" w:sz="4" w:space="0"/>
              <w:left w:val="nil"/>
              <w:bottom w:val="nil"/>
            </w:tcBorders>
            <w:shd w:val="clear" w:color="auto" w:fill="DAE3F3" w:themeFill="accent1" w:themeFillTint="32"/>
            <w:vAlign w:val="center"/>
          </w:tcPr>
          <w:p w14:paraId="03E9CED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Joanne Oi et al.(2018)</w:t>
            </w:r>
          </w:p>
        </w:tc>
        <w:tc>
          <w:tcPr>
            <w:tcW w:w="416" w:type="pct"/>
            <w:tcBorders>
              <w:bottom w:val="nil"/>
            </w:tcBorders>
            <w:shd w:val="clear" w:color="auto" w:fill="FFFFFF"/>
            <w:vAlign w:val="center"/>
          </w:tcPr>
          <w:p w14:paraId="3BB1DA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bottom w:val="nil"/>
            </w:tcBorders>
            <w:shd w:val="clear" w:color="auto" w:fill="FFFFFF"/>
            <w:vAlign w:val="center"/>
          </w:tcPr>
          <w:p w14:paraId="31261D5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bottom w:val="nil"/>
            </w:tcBorders>
            <w:shd w:val="clear" w:color="auto" w:fill="FFFFFF"/>
            <w:vAlign w:val="center"/>
          </w:tcPr>
          <w:p w14:paraId="1E3F556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bottom w:val="nil"/>
            </w:tcBorders>
            <w:shd w:val="clear" w:color="auto" w:fill="FFFFFF"/>
            <w:vAlign w:val="center"/>
          </w:tcPr>
          <w:p w14:paraId="7EBC84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bottom w:val="nil"/>
            </w:tcBorders>
            <w:shd w:val="clear" w:color="auto" w:fill="FFFFFF"/>
            <w:vAlign w:val="center"/>
          </w:tcPr>
          <w:p w14:paraId="213B7B8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bottom w:val="nil"/>
            </w:tcBorders>
            <w:shd w:val="clear" w:color="auto" w:fill="FFFFFF"/>
            <w:vAlign w:val="center"/>
          </w:tcPr>
          <w:p w14:paraId="01FFB6C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tcBorders>
              <w:bottom w:val="nil"/>
            </w:tcBorders>
            <w:shd w:val="clear" w:color="auto" w:fill="FFFFFF"/>
            <w:vAlign w:val="center"/>
          </w:tcPr>
          <w:p w14:paraId="4A14A38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bottom w:val="nil"/>
            </w:tcBorders>
            <w:shd w:val="clear" w:color="auto" w:fill="FFFFFF"/>
            <w:vAlign w:val="center"/>
          </w:tcPr>
          <w:p w14:paraId="14D134D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bottom w:val="nil"/>
            </w:tcBorders>
            <w:shd w:val="clear" w:color="auto" w:fill="FFFFFF"/>
            <w:vAlign w:val="center"/>
          </w:tcPr>
          <w:p w14:paraId="38E5676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bottom w:val="nil"/>
            </w:tcBorders>
            <w:shd w:val="clear" w:color="auto" w:fill="FFFFFF"/>
            <w:vAlign w:val="center"/>
          </w:tcPr>
          <w:p w14:paraId="53BC12C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bottom w:val="nil"/>
              <w:right w:val="nil"/>
            </w:tcBorders>
            <w:noWrap/>
            <w:vAlign w:val="center"/>
          </w:tcPr>
          <w:p w14:paraId="71299058">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419EF339">
        <w:tblPrEx>
          <w:tblCellMar>
            <w:top w:w="0" w:type="dxa"/>
            <w:left w:w="108" w:type="dxa"/>
            <w:bottom w:w="0" w:type="dxa"/>
            <w:right w:w="108" w:type="dxa"/>
          </w:tblCellMar>
        </w:tblPrEx>
        <w:trPr>
          <w:trHeight w:val="796" w:hRule="atLeast"/>
          <w:jc w:val="center"/>
        </w:trPr>
        <w:tc>
          <w:tcPr>
            <w:tcW w:w="531" w:type="pct"/>
            <w:tcBorders>
              <w:top w:val="single" w:color="E0E0E0" w:sz="4" w:space="0"/>
              <w:left w:val="nil"/>
              <w:bottom w:val="nil"/>
            </w:tcBorders>
            <w:shd w:val="clear" w:color="auto" w:fill="DAE3F3" w:themeFill="accent1" w:themeFillTint="32"/>
            <w:vAlign w:val="center"/>
          </w:tcPr>
          <w:p w14:paraId="4CAF2C1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Eva M. Aagaard et al.(2010)</w:t>
            </w:r>
          </w:p>
        </w:tc>
        <w:tc>
          <w:tcPr>
            <w:tcW w:w="416" w:type="pct"/>
            <w:shd w:val="clear" w:color="auto" w:fill="FFFFFF"/>
            <w:vAlign w:val="center"/>
          </w:tcPr>
          <w:p w14:paraId="773ACE2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2602EA8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58EB565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575B3A2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61D2535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5CD314E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28D5D0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2DBB6EA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0A91D75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17FFCF9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4BCAE423">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6615F037">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nil"/>
            </w:tcBorders>
            <w:shd w:val="clear" w:color="auto" w:fill="DAE3F3" w:themeFill="accent1" w:themeFillTint="32"/>
            <w:vAlign w:val="center"/>
          </w:tcPr>
          <w:p w14:paraId="09E5A9C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 Westerling et al.(2020)</w:t>
            </w:r>
          </w:p>
        </w:tc>
        <w:tc>
          <w:tcPr>
            <w:tcW w:w="416" w:type="pct"/>
            <w:shd w:val="clear" w:color="auto" w:fill="FFFFFF"/>
            <w:vAlign w:val="center"/>
          </w:tcPr>
          <w:p w14:paraId="4AADEEA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0DA8AC6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1AEB707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16" w:type="pct"/>
            <w:shd w:val="clear" w:color="auto" w:fill="FFFFFF"/>
            <w:vAlign w:val="center"/>
          </w:tcPr>
          <w:p w14:paraId="55467F2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0C884F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646C853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323F3DB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3F303C5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38870CA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2FFC331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vAlign w:val="center"/>
          </w:tcPr>
          <w:p w14:paraId="7941A2F8">
            <w:pPr>
              <w:widowControl/>
              <w:jc w:val="center"/>
              <w:textAlignment w:val="center"/>
              <w:rPr>
                <w:rFonts w:ascii="Times New Roman" w:hAnsi="Times New Roman" w:eastAsia="宋体" w:cs="Times New Roman"/>
                <w:color w:val="FF0000"/>
                <w:sz w:val="22"/>
              </w:rPr>
            </w:pPr>
            <w:r>
              <w:rPr>
                <w:rFonts w:ascii="Times New Roman" w:hAnsi="Times New Roman" w:eastAsia="宋体" w:cs="Times New Roman"/>
                <w:color w:val="FF0000"/>
                <w:sz w:val="22"/>
              </w:rPr>
              <w:t>Middle</w:t>
            </w:r>
          </w:p>
        </w:tc>
      </w:tr>
      <w:tr w14:paraId="51987D04">
        <w:tblPrEx>
          <w:tblCellMar>
            <w:top w:w="0" w:type="dxa"/>
            <w:left w:w="108" w:type="dxa"/>
            <w:bottom w:w="0" w:type="dxa"/>
            <w:right w:w="108" w:type="dxa"/>
          </w:tblCellMar>
        </w:tblPrEx>
        <w:trPr>
          <w:trHeight w:val="880" w:hRule="atLeast"/>
          <w:jc w:val="center"/>
        </w:trPr>
        <w:tc>
          <w:tcPr>
            <w:tcW w:w="531" w:type="pct"/>
            <w:tcBorders>
              <w:top w:val="nil"/>
              <w:left w:val="nil"/>
              <w:bottom w:val="nil"/>
            </w:tcBorders>
            <w:shd w:val="clear" w:color="auto" w:fill="DAE3F3" w:themeFill="accent1" w:themeFillTint="32"/>
            <w:vAlign w:val="center"/>
          </w:tcPr>
          <w:p w14:paraId="72AD4C0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 Charani et al.(2013)</w:t>
            </w:r>
          </w:p>
        </w:tc>
        <w:tc>
          <w:tcPr>
            <w:tcW w:w="416" w:type="pct"/>
            <w:shd w:val="clear" w:color="auto" w:fill="FFFFFF"/>
            <w:vAlign w:val="center"/>
          </w:tcPr>
          <w:p w14:paraId="7D4A0DB7">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3" w:type="pct"/>
            <w:shd w:val="clear" w:color="auto" w:fill="FFFFFF"/>
            <w:vAlign w:val="center"/>
          </w:tcPr>
          <w:p w14:paraId="1CFD24C9">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16" w:type="pct"/>
            <w:shd w:val="clear" w:color="auto" w:fill="FFFFFF"/>
            <w:vAlign w:val="center"/>
          </w:tcPr>
          <w:p w14:paraId="3678FDE0">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416" w:type="pct"/>
            <w:shd w:val="clear" w:color="auto" w:fill="FFFFFF"/>
            <w:vAlign w:val="center"/>
          </w:tcPr>
          <w:p w14:paraId="5AB03F75">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93" w:type="pct"/>
            <w:shd w:val="clear" w:color="auto" w:fill="FFFFFF"/>
            <w:vAlign w:val="center"/>
          </w:tcPr>
          <w:p w14:paraId="367F577A">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570" w:type="pct"/>
            <w:shd w:val="clear" w:color="auto" w:fill="FFFFFF"/>
            <w:vAlign w:val="center"/>
          </w:tcPr>
          <w:p w14:paraId="4E4BB358">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Can't Tell</w:t>
            </w:r>
          </w:p>
        </w:tc>
        <w:tc>
          <w:tcPr>
            <w:tcW w:w="485" w:type="pct"/>
            <w:shd w:val="clear" w:color="auto" w:fill="FFFFFF"/>
            <w:vAlign w:val="center"/>
          </w:tcPr>
          <w:p w14:paraId="492C1082">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63" w:type="pct"/>
            <w:shd w:val="clear" w:color="auto" w:fill="FFFFFF"/>
            <w:vAlign w:val="center"/>
          </w:tcPr>
          <w:p w14:paraId="3A822764">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59" w:type="pct"/>
            <w:shd w:val="clear" w:color="auto" w:fill="FFFFFF"/>
            <w:vAlign w:val="center"/>
          </w:tcPr>
          <w:p w14:paraId="2E2DEAD7">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46" w:type="pct"/>
            <w:shd w:val="clear" w:color="auto" w:fill="FFFFFF"/>
            <w:vAlign w:val="center"/>
          </w:tcPr>
          <w:p w14:paraId="329706D5">
            <w:pPr>
              <w:widowControl/>
              <w:jc w:val="center"/>
              <w:textAlignment w:val="center"/>
              <w:rPr>
                <w:rFonts w:ascii="Times New Roman" w:hAnsi="Times New Roman" w:eastAsia="Segoe UI" w:cs="Times New Roman"/>
                <w:color w:val="000000"/>
                <w:szCs w:val="21"/>
              </w:rPr>
            </w:pPr>
            <w:r>
              <w:rPr>
                <w:rFonts w:ascii="Times New Roman" w:hAnsi="Times New Roman" w:eastAsia="Segoe UI" w:cs="Times New Roman"/>
                <w:color w:val="000000"/>
                <w:kern w:val="0"/>
                <w:szCs w:val="21"/>
                <w:lang w:bidi="ar"/>
              </w:rPr>
              <w:t>Yes</w:t>
            </w:r>
          </w:p>
        </w:tc>
        <w:tc>
          <w:tcPr>
            <w:tcW w:w="386" w:type="pct"/>
            <w:tcBorders>
              <w:right w:val="nil"/>
            </w:tcBorders>
            <w:shd w:val="clear" w:color="auto" w:fill="FFFFFF"/>
            <w:vAlign w:val="center"/>
          </w:tcPr>
          <w:p w14:paraId="66EDF337">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1012DFED">
        <w:tblPrEx>
          <w:tblCellMar>
            <w:top w:w="0" w:type="dxa"/>
            <w:left w:w="108" w:type="dxa"/>
            <w:bottom w:w="0" w:type="dxa"/>
            <w:right w:w="108" w:type="dxa"/>
          </w:tblCellMar>
        </w:tblPrEx>
        <w:trPr>
          <w:trHeight w:val="560" w:hRule="atLeast"/>
          <w:jc w:val="center"/>
        </w:trPr>
        <w:tc>
          <w:tcPr>
            <w:tcW w:w="531" w:type="pct"/>
            <w:tcBorders>
              <w:top w:val="nil"/>
              <w:left w:val="nil"/>
              <w:bottom w:val="nil"/>
              <w:right w:val="nil"/>
            </w:tcBorders>
            <w:shd w:val="clear" w:color="auto" w:fill="DAE3F3" w:themeFill="accent1" w:themeFillTint="32"/>
            <w:vAlign w:val="center"/>
          </w:tcPr>
          <w:p w14:paraId="6200DBD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 xml:space="preserve">Summita Udas </w:t>
            </w:r>
            <w:bookmarkStart w:id="7" w:name="OLE_LINK2"/>
            <w:r>
              <w:rPr>
                <w:rFonts w:ascii="Times New Roman" w:hAnsi="Times New Roman" w:eastAsia="宋体" w:cs="Times New Roman"/>
                <w:color w:val="000000"/>
                <w:kern w:val="0"/>
                <w:szCs w:val="21"/>
                <w:lang w:bidi="ar"/>
              </w:rPr>
              <w:t>et al.(2024)</w:t>
            </w:r>
            <w:bookmarkEnd w:id="7"/>
          </w:p>
        </w:tc>
        <w:tc>
          <w:tcPr>
            <w:tcW w:w="416" w:type="pct"/>
            <w:tcBorders>
              <w:top w:val="nil"/>
              <w:left w:val="nil"/>
              <w:bottom w:val="nil"/>
              <w:right w:val="nil"/>
            </w:tcBorders>
            <w:shd w:val="clear" w:color="auto" w:fill="FFFFFF"/>
            <w:vAlign w:val="center"/>
          </w:tcPr>
          <w:p w14:paraId="55FEBB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tcBorders>
              <w:top w:val="nil"/>
              <w:left w:val="nil"/>
              <w:bottom w:val="nil"/>
              <w:right w:val="nil"/>
            </w:tcBorders>
            <w:shd w:val="clear" w:color="auto" w:fill="FFFFFF"/>
            <w:vAlign w:val="center"/>
          </w:tcPr>
          <w:p w14:paraId="2873676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tcBorders>
              <w:top w:val="nil"/>
              <w:left w:val="nil"/>
              <w:bottom w:val="nil"/>
              <w:right w:val="nil"/>
            </w:tcBorders>
            <w:shd w:val="clear" w:color="auto" w:fill="FFFFFF"/>
            <w:vAlign w:val="center"/>
          </w:tcPr>
          <w:p w14:paraId="6E533FD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tcBorders>
              <w:top w:val="nil"/>
              <w:left w:val="nil"/>
              <w:bottom w:val="nil"/>
              <w:right w:val="nil"/>
            </w:tcBorders>
            <w:shd w:val="clear" w:color="auto" w:fill="FFFFFF"/>
            <w:vAlign w:val="center"/>
          </w:tcPr>
          <w:p w14:paraId="0AC548B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tcBorders>
              <w:top w:val="nil"/>
              <w:left w:val="nil"/>
              <w:bottom w:val="nil"/>
              <w:right w:val="nil"/>
            </w:tcBorders>
            <w:shd w:val="clear" w:color="auto" w:fill="FFFFFF"/>
            <w:vAlign w:val="center"/>
          </w:tcPr>
          <w:p w14:paraId="4D83691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tcBorders>
              <w:top w:val="nil"/>
              <w:left w:val="nil"/>
              <w:bottom w:val="nil"/>
              <w:right w:val="nil"/>
            </w:tcBorders>
            <w:shd w:val="clear" w:color="auto" w:fill="FFFFFF"/>
            <w:vAlign w:val="center"/>
          </w:tcPr>
          <w:p w14:paraId="4562DA8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85" w:type="pct"/>
            <w:tcBorders>
              <w:top w:val="nil"/>
              <w:left w:val="nil"/>
              <w:bottom w:val="nil"/>
              <w:right w:val="nil"/>
            </w:tcBorders>
            <w:shd w:val="clear" w:color="auto" w:fill="FFFFFF"/>
            <w:vAlign w:val="center"/>
          </w:tcPr>
          <w:p w14:paraId="7C65C0E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tcBorders>
              <w:top w:val="nil"/>
              <w:left w:val="nil"/>
              <w:bottom w:val="nil"/>
              <w:right w:val="nil"/>
            </w:tcBorders>
            <w:shd w:val="clear" w:color="auto" w:fill="FFFFFF"/>
            <w:vAlign w:val="center"/>
          </w:tcPr>
          <w:p w14:paraId="66A6850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tcBorders>
              <w:top w:val="nil"/>
              <w:left w:val="nil"/>
              <w:bottom w:val="nil"/>
              <w:right w:val="nil"/>
            </w:tcBorders>
            <w:shd w:val="clear" w:color="auto" w:fill="FFFFFF"/>
            <w:vAlign w:val="center"/>
          </w:tcPr>
          <w:p w14:paraId="1D4979F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tcBorders>
              <w:top w:val="nil"/>
              <w:left w:val="nil"/>
              <w:bottom w:val="nil"/>
              <w:right w:val="nil"/>
            </w:tcBorders>
            <w:shd w:val="clear" w:color="auto" w:fill="FFFFFF"/>
            <w:vAlign w:val="center"/>
          </w:tcPr>
          <w:p w14:paraId="26D8C33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top w:val="nil"/>
              <w:left w:val="nil"/>
              <w:bottom w:val="nil"/>
              <w:right w:val="nil"/>
            </w:tcBorders>
            <w:noWrap/>
            <w:vAlign w:val="center"/>
          </w:tcPr>
          <w:p w14:paraId="64C5B739">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060AE6C1">
        <w:tblPrEx>
          <w:tblCellMar>
            <w:top w:w="0" w:type="dxa"/>
            <w:left w:w="108" w:type="dxa"/>
            <w:bottom w:w="0" w:type="dxa"/>
            <w:right w:w="108" w:type="dxa"/>
          </w:tblCellMar>
        </w:tblPrEx>
        <w:trPr>
          <w:trHeight w:val="1080" w:hRule="atLeast"/>
          <w:jc w:val="center"/>
        </w:trPr>
        <w:tc>
          <w:tcPr>
            <w:tcW w:w="531" w:type="pct"/>
            <w:tcBorders>
              <w:top w:val="single" w:color="E0E0E0" w:sz="4" w:space="0"/>
              <w:left w:val="nil"/>
              <w:bottom w:val="single" w:color="E0E0E0" w:sz="4" w:space="0"/>
            </w:tcBorders>
            <w:shd w:val="clear" w:color="auto" w:fill="DAE3F3" w:themeFill="accent1" w:themeFillTint="32"/>
            <w:vAlign w:val="center"/>
          </w:tcPr>
          <w:p w14:paraId="3F252E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Chansamouth V et al.(2024)</w:t>
            </w:r>
          </w:p>
        </w:tc>
        <w:tc>
          <w:tcPr>
            <w:tcW w:w="416" w:type="pct"/>
            <w:shd w:val="clear" w:color="auto" w:fill="FFFFFF"/>
            <w:vAlign w:val="center"/>
          </w:tcPr>
          <w:p w14:paraId="10847F4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46128A5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505258D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0227082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2E705DB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27C7188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1C040F7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62D212B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302498B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0703CB6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379FBC63">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r w14:paraId="672FBAB9">
        <w:tblPrEx>
          <w:tblCellMar>
            <w:top w:w="0" w:type="dxa"/>
            <w:left w:w="108" w:type="dxa"/>
            <w:bottom w:w="0" w:type="dxa"/>
            <w:right w:w="108" w:type="dxa"/>
          </w:tblCellMar>
        </w:tblPrEx>
        <w:trPr>
          <w:trHeight w:val="540" w:hRule="atLeast"/>
          <w:jc w:val="center"/>
        </w:trPr>
        <w:tc>
          <w:tcPr>
            <w:tcW w:w="531" w:type="pct"/>
            <w:tcBorders>
              <w:top w:val="single" w:color="E0E0E0" w:sz="4" w:space="0"/>
              <w:left w:val="nil"/>
              <w:bottom w:val="single" w:color="auto" w:sz="4" w:space="0"/>
            </w:tcBorders>
            <w:shd w:val="clear" w:color="auto" w:fill="DAE3F3" w:themeFill="accent1" w:themeFillTint="32"/>
            <w:vAlign w:val="center"/>
          </w:tcPr>
          <w:p w14:paraId="6B4323D9">
            <w:pPr>
              <w:widowControl/>
              <w:jc w:val="center"/>
              <w:textAlignment w:val="center"/>
              <w:rPr>
                <w:rFonts w:ascii="Times New Roman" w:hAnsi="Times New Roman" w:eastAsia="宋体" w:cs="Times New Roman"/>
                <w:color w:val="000000"/>
                <w:szCs w:val="21"/>
              </w:rPr>
            </w:pPr>
            <w:r>
              <w:rPr>
                <w:rFonts w:ascii="Times New Roman" w:hAnsi="Times New Roman" w:eastAsia="Segoe UI" w:cs="Times New Roman"/>
                <w:szCs w:val="21"/>
              </w:rPr>
              <w:t>Livorsi, D</w:t>
            </w:r>
            <w:r>
              <w:rPr>
                <w:rFonts w:ascii="Times New Roman" w:hAnsi="Times New Roman" w:eastAsia="宋体" w:cs="Times New Roman"/>
                <w:szCs w:val="21"/>
              </w:rPr>
              <w:t xml:space="preserve"> </w:t>
            </w:r>
            <w:r>
              <w:rPr>
                <w:rFonts w:ascii="Times New Roman" w:hAnsi="Times New Roman" w:eastAsia="宋体" w:cs="Times New Roman"/>
                <w:color w:val="000000"/>
                <w:kern w:val="0"/>
                <w:szCs w:val="21"/>
                <w:lang w:bidi="ar"/>
              </w:rPr>
              <w:t>et al.</w:t>
            </w:r>
            <w:r>
              <w:rPr>
                <w:rFonts w:ascii="Times New Roman" w:hAnsi="Times New Roman" w:eastAsia="宋体" w:cs="Times New Roman"/>
                <w:szCs w:val="21"/>
              </w:rPr>
              <w:t>(2015)</w:t>
            </w:r>
          </w:p>
        </w:tc>
        <w:tc>
          <w:tcPr>
            <w:tcW w:w="416" w:type="pct"/>
            <w:shd w:val="clear" w:color="auto" w:fill="FFFFFF"/>
            <w:vAlign w:val="center"/>
          </w:tcPr>
          <w:p w14:paraId="09C31C5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3" w:type="pct"/>
            <w:shd w:val="clear" w:color="auto" w:fill="FFFFFF"/>
            <w:vAlign w:val="center"/>
          </w:tcPr>
          <w:p w14:paraId="1D230DA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16" w:type="pct"/>
            <w:shd w:val="clear" w:color="auto" w:fill="FFFFFF"/>
            <w:vAlign w:val="center"/>
          </w:tcPr>
          <w:p w14:paraId="64CF5D3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416" w:type="pct"/>
            <w:shd w:val="clear" w:color="auto" w:fill="FFFFFF"/>
            <w:vAlign w:val="center"/>
          </w:tcPr>
          <w:p w14:paraId="0236EA0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93" w:type="pct"/>
            <w:shd w:val="clear" w:color="auto" w:fill="FFFFFF"/>
            <w:vAlign w:val="center"/>
          </w:tcPr>
          <w:p w14:paraId="0FBC13F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570" w:type="pct"/>
            <w:shd w:val="clear" w:color="auto" w:fill="FFFFFF"/>
            <w:vAlign w:val="center"/>
          </w:tcPr>
          <w:p w14:paraId="3D5697E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Can't Tell</w:t>
            </w:r>
          </w:p>
        </w:tc>
        <w:tc>
          <w:tcPr>
            <w:tcW w:w="485" w:type="pct"/>
            <w:shd w:val="clear" w:color="auto" w:fill="FFFFFF"/>
            <w:vAlign w:val="center"/>
          </w:tcPr>
          <w:p w14:paraId="3E0ECAC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63" w:type="pct"/>
            <w:shd w:val="clear" w:color="auto" w:fill="FFFFFF"/>
            <w:vAlign w:val="center"/>
          </w:tcPr>
          <w:p w14:paraId="58869EF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59" w:type="pct"/>
            <w:shd w:val="clear" w:color="auto" w:fill="FFFFFF"/>
            <w:vAlign w:val="center"/>
          </w:tcPr>
          <w:p w14:paraId="3F8D660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46" w:type="pct"/>
            <w:shd w:val="clear" w:color="auto" w:fill="FFFFFF"/>
            <w:vAlign w:val="center"/>
          </w:tcPr>
          <w:p w14:paraId="2E904E3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Yes</w:t>
            </w:r>
          </w:p>
        </w:tc>
        <w:tc>
          <w:tcPr>
            <w:tcW w:w="386" w:type="pct"/>
            <w:tcBorders>
              <w:right w:val="nil"/>
            </w:tcBorders>
            <w:noWrap/>
            <w:vAlign w:val="center"/>
          </w:tcPr>
          <w:p w14:paraId="7115AA36">
            <w:pPr>
              <w:widowControl/>
              <w:jc w:val="center"/>
              <w:textAlignment w:val="center"/>
              <w:rPr>
                <w:rFonts w:ascii="Times New Roman" w:hAnsi="Times New Roman" w:eastAsia="Segoe UI" w:cs="Times New Roman"/>
                <w:color w:val="FF0000"/>
                <w:szCs w:val="21"/>
              </w:rPr>
            </w:pPr>
            <w:r>
              <w:rPr>
                <w:rFonts w:ascii="Times New Roman" w:hAnsi="Times New Roman" w:eastAsia="Segoe UI" w:cs="Times New Roman"/>
                <w:color w:val="FF0000"/>
                <w:kern w:val="0"/>
                <w:szCs w:val="21"/>
                <w:lang w:bidi="ar"/>
              </w:rPr>
              <w:t>high</w:t>
            </w:r>
          </w:p>
        </w:tc>
      </w:tr>
    </w:tbl>
    <w:p w14:paraId="2D1B34A2">
      <w:pPr>
        <w:rPr>
          <w:rFonts w:ascii="Times New Roman" w:hAnsi="Times New Roman" w:cs="Times New Roman"/>
          <w:b/>
          <w:bCs/>
          <w:sz w:val="28"/>
          <w:szCs w:val="28"/>
        </w:rPr>
      </w:pPr>
    </w:p>
    <w:p w14:paraId="07BEF423">
      <w:pPr>
        <w:rPr>
          <w:rFonts w:ascii="Times New Roman" w:hAnsi="Times New Roman" w:cs="Times New Roman"/>
          <w:b/>
          <w:bCs/>
          <w:sz w:val="28"/>
          <w:szCs w:val="28"/>
        </w:rPr>
        <w:sectPr>
          <w:pgSz w:w="16838" w:h="11906" w:orient="landscape"/>
          <w:pgMar w:top="1800" w:right="1440" w:bottom="1800" w:left="1440" w:header="851" w:footer="992" w:gutter="0"/>
          <w:cols w:space="425" w:num="1"/>
          <w:docGrid w:type="lines" w:linePitch="312" w:charSpace="0"/>
        </w:sectPr>
      </w:pPr>
    </w:p>
    <w:p w14:paraId="09945E40">
      <w:pPr>
        <w:jc w:val="left"/>
        <w:rPr>
          <w:rFonts w:ascii="Times New Roman" w:hAnsi="Times New Roman" w:cs="Times New Roman"/>
          <w:sz w:val="24"/>
          <w:szCs w:val="24"/>
        </w:rPr>
      </w:pPr>
      <w:bookmarkStart w:id="8" w:name="_Hlk205905867"/>
      <w:r>
        <w:rPr>
          <w:rFonts w:hint="eastAsia" w:ascii="Times New Roman" w:hAnsi="Times New Roman" w:cs="Times New Roman"/>
          <w:b/>
          <w:bCs/>
          <w:sz w:val="24"/>
          <w:szCs w:val="24"/>
        </w:rPr>
        <w:t xml:space="preserve">Table A5. </w:t>
      </w:r>
      <w:r>
        <w:rPr>
          <w:rFonts w:ascii="Times New Roman" w:hAnsi="Times New Roman" w:cs="Times New Roman"/>
          <w:sz w:val="24"/>
          <w:szCs w:val="24"/>
        </w:rPr>
        <w:t xml:space="preserve">Quality Assessment of the </w:t>
      </w:r>
      <w:r>
        <w:rPr>
          <w:rFonts w:hint="eastAsia" w:ascii="Times New Roman" w:hAnsi="Times New Roman" w:cs="Times New Roman"/>
          <w:sz w:val="24"/>
          <w:szCs w:val="24"/>
        </w:rPr>
        <w:t>RCT</w:t>
      </w:r>
      <w:r>
        <w:rPr>
          <w:rFonts w:ascii="Times New Roman" w:hAnsi="Times New Roman" w:cs="Times New Roman"/>
          <w:sz w:val="24"/>
          <w:szCs w:val="24"/>
        </w:rPr>
        <w:t xml:space="preserve"> Stud</w:t>
      </w:r>
      <w:r>
        <w:rPr>
          <w:rFonts w:hint="eastAsia" w:ascii="Times New Roman" w:hAnsi="Times New Roman" w:cs="Times New Roman"/>
          <w:sz w:val="24"/>
          <w:szCs w:val="24"/>
        </w:rPr>
        <w:t>y</w:t>
      </w:r>
      <w:r>
        <w:rPr>
          <w:rFonts w:ascii="Times New Roman" w:hAnsi="Times New Roman" w:cs="Times New Roman"/>
          <w:sz w:val="24"/>
          <w:szCs w:val="24"/>
        </w:rPr>
        <w:t xml:space="preserve"> Using</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the </w:t>
      </w:r>
      <w:r>
        <w:rPr>
          <w:rFonts w:hint="eastAsia" w:ascii="Times New Roman" w:hAnsi="Times New Roman" w:cs="Times New Roman"/>
          <w:sz w:val="24"/>
          <w:szCs w:val="24"/>
        </w:rPr>
        <w:t xml:space="preserve">Risk of </w:t>
      </w:r>
      <w:r>
        <w:rPr>
          <w:rFonts w:ascii="Times New Roman" w:hAnsi="Times New Roman" w:cs="Times New Roman"/>
          <w:sz w:val="24"/>
          <w:szCs w:val="24"/>
        </w:rPr>
        <w:t>Bias</w:t>
      </w:r>
      <w:r>
        <w:rPr>
          <w:rFonts w:hint="eastAsia" w:ascii="Times New Roman" w:hAnsi="Times New Roman" w:cs="Times New Roman"/>
          <w:sz w:val="24"/>
          <w:szCs w:val="24"/>
        </w:rPr>
        <w:t xml:space="preserve"> 2 tool</w:t>
      </w:r>
      <w:bookmarkEnd w:id="8"/>
      <w:r>
        <w:rPr>
          <w:rFonts w:hint="eastAsia" w:ascii="Times New Roman" w:hAnsi="Times New Roman" w:cs="Times New Roman"/>
          <w:sz w:val="24"/>
          <w:szCs w:val="24"/>
        </w:rPr>
        <w:t xml:space="preserve"> (ROB-2).[Lucy et al.(2016)]</w:t>
      </w:r>
    </w:p>
    <w:tbl>
      <w:tblPr>
        <w:tblStyle w:val="6"/>
        <w:tblW w:w="9303" w:type="dxa"/>
        <w:jc w:val="center"/>
        <w:shd w:val="clear" w:color="auto" w:fill="292A2D"/>
        <w:tblLayout w:type="autofit"/>
        <w:tblCellMar>
          <w:top w:w="15" w:type="dxa"/>
          <w:left w:w="15" w:type="dxa"/>
          <w:bottom w:w="15" w:type="dxa"/>
          <w:right w:w="15" w:type="dxa"/>
        </w:tblCellMar>
      </w:tblPr>
      <w:tblGrid>
        <w:gridCol w:w="1902"/>
        <w:gridCol w:w="1771"/>
        <w:gridCol w:w="5630"/>
      </w:tblGrid>
      <w:tr w14:paraId="5405E6EB">
        <w:tblPrEx>
          <w:shd w:val="clear" w:color="auto" w:fill="292A2D"/>
          <w:tblCellMar>
            <w:top w:w="15" w:type="dxa"/>
            <w:left w:w="15" w:type="dxa"/>
            <w:bottom w:w="15" w:type="dxa"/>
            <w:right w:w="15" w:type="dxa"/>
          </w:tblCellMar>
        </w:tblPrEx>
        <w:trPr>
          <w:tblHeader/>
          <w:jc w:val="center"/>
        </w:trPr>
        <w:tc>
          <w:tcPr>
            <w:tcW w:w="1902" w:type="dxa"/>
            <w:tcBorders>
              <w:top w:val="single" w:color="auto" w:sz="4" w:space="0"/>
              <w:left w:val="single" w:color="auto" w:sz="4" w:space="0"/>
              <w:bottom w:val="single" w:color="auto" w:sz="4" w:space="0"/>
              <w:right w:val="single" w:color="auto" w:sz="4" w:space="0"/>
            </w:tcBorders>
            <w:shd w:val="clear" w:color="auto" w:fill="DEEBF6" w:themeFill="accent5" w:themeFillTint="32"/>
            <w:tcMar>
              <w:top w:w="100" w:type="dxa"/>
              <w:left w:w="0" w:type="dxa"/>
              <w:bottom w:w="100" w:type="dxa"/>
              <w:right w:w="100" w:type="dxa"/>
            </w:tcMar>
            <w:vAlign w:val="center"/>
          </w:tcPr>
          <w:p w14:paraId="1BF06DA8">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Domain</w:t>
            </w:r>
          </w:p>
        </w:tc>
        <w:tc>
          <w:tcPr>
            <w:tcW w:w="1771" w:type="dxa"/>
            <w:tcBorders>
              <w:top w:val="single" w:color="auto" w:sz="4" w:space="0"/>
              <w:left w:val="single" w:color="auto" w:sz="4" w:space="0"/>
              <w:bottom w:val="single" w:color="auto" w:sz="4" w:space="0"/>
              <w:right w:val="single" w:color="auto" w:sz="4" w:space="0"/>
            </w:tcBorders>
            <w:shd w:val="clear" w:color="auto" w:fill="DEEBF6" w:themeFill="accent5" w:themeFillTint="32"/>
            <w:tcMar>
              <w:top w:w="100" w:type="dxa"/>
              <w:left w:w="100" w:type="dxa"/>
              <w:bottom w:w="100" w:type="dxa"/>
              <w:right w:w="100" w:type="dxa"/>
            </w:tcMar>
            <w:vAlign w:val="center"/>
          </w:tcPr>
          <w:p w14:paraId="71AB868B">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Risk</w:t>
            </w:r>
            <w:r>
              <w:rPr>
                <w:rStyle w:val="9"/>
                <w:rFonts w:hint="eastAsia" w:ascii="Times New Roman" w:hAnsi="Times New Roman" w:eastAsia="Segoe UI" w:cs="Times New Roman"/>
                <w:kern w:val="0"/>
                <w:szCs w:val="21"/>
                <w:lang w:bidi="ar"/>
              </w:rPr>
              <w:t xml:space="preserve"> </w:t>
            </w:r>
            <w:r>
              <w:rPr>
                <w:rStyle w:val="9"/>
                <w:rFonts w:ascii="Times New Roman" w:hAnsi="Times New Roman" w:eastAsia="Segoe UI" w:cs="Times New Roman"/>
                <w:kern w:val="0"/>
                <w:szCs w:val="21"/>
                <w:lang w:bidi="ar"/>
              </w:rPr>
              <w:t>Level</w:t>
            </w:r>
          </w:p>
        </w:tc>
        <w:tc>
          <w:tcPr>
            <w:tcW w:w="5630" w:type="dxa"/>
            <w:tcBorders>
              <w:top w:val="single" w:color="auto" w:sz="4" w:space="0"/>
              <w:left w:val="single" w:color="auto" w:sz="4" w:space="0"/>
              <w:bottom w:val="single" w:color="auto" w:sz="4" w:space="0"/>
              <w:right w:val="single" w:color="auto" w:sz="4" w:space="0"/>
            </w:tcBorders>
            <w:shd w:val="clear" w:color="auto" w:fill="DEEBF6" w:themeFill="accent5" w:themeFillTint="32"/>
            <w:tcMar>
              <w:top w:w="100" w:type="dxa"/>
              <w:left w:w="100" w:type="dxa"/>
              <w:bottom w:w="100" w:type="dxa"/>
              <w:right w:w="100" w:type="dxa"/>
            </w:tcMar>
            <w:vAlign w:val="center"/>
          </w:tcPr>
          <w:p w14:paraId="5C556B65">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Key Rationale</w:t>
            </w:r>
          </w:p>
        </w:tc>
      </w:tr>
      <w:tr w14:paraId="78F02C51">
        <w:tblPrEx>
          <w:tblCellMar>
            <w:top w:w="15" w:type="dxa"/>
            <w:left w:w="15" w:type="dxa"/>
            <w:bottom w:w="15" w:type="dxa"/>
            <w:right w:w="15" w:type="dxa"/>
          </w:tblCellMar>
        </w:tblPrEx>
        <w:trPr>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0178AE6D">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Randomization Process</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0DC8320A">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Low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54346414">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Computer randomization + blinded outcome assessment</w:t>
            </w:r>
          </w:p>
        </w:tc>
      </w:tr>
      <w:tr w14:paraId="10092541">
        <w:tblPrEx>
          <w:shd w:val="clear" w:color="auto" w:fill="292A2D"/>
          <w:tblCellMar>
            <w:top w:w="15" w:type="dxa"/>
            <w:left w:w="15" w:type="dxa"/>
            <w:bottom w:w="15" w:type="dxa"/>
            <w:right w:w="15" w:type="dxa"/>
          </w:tblCellMar>
        </w:tblPrEx>
        <w:trPr>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30E107E1">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Deviations from Intended Interventions</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43F7FE4E">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High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1BE3DFB0">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Low intervention adherence + control group contamination + Hawthorne effect</w:t>
            </w:r>
          </w:p>
        </w:tc>
      </w:tr>
      <w:tr w14:paraId="726AD44C">
        <w:tblPrEx>
          <w:shd w:val="clear" w:color="auto" w:fill="292A2D"/>
          <w:tblCellMar>
            <w:top w:w="15" w:type="dxa"/>
            <w:left w:w="15" w:type="dxa"/>
            <w:bottom w:w="15" w:type="dxa"/>
            <w:right w:w="15" w:type="dxa"/>
          </w:tblCellMar>
        </w:tblPrEx>
        <w:trPr>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49E6D893">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Missing Outcome Data</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380F4E74">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Low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3E4183D2">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No missing data</w:t>
            </w:r>
          </w:p>
        </w:tc>
      </w:tr>
      <w:tr w14:paraId="275F0936">
        <w:tblPrEx>
          <w:shd w:val="clear" w:color="auto" w:fill="292A2D"/>
          <w:tblCellMar>
            <w:top w:w="15" w:type="dxa"/>
            <w:left w:w="15" w:type="dxa"/>
            <w:bottom w:w="15" w:type="dxa"/>
            <w:right w:w="15" w:type="dxa"/>
          </w:tblCellMar>
        </w:tblPrEx>
        <w:trPr>
          <w:trHeight w:val="497" w:hRule="atLeast"/>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075F4C9E">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Measurement of Outcomes</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6E0AF72D">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Moderate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35B978E0">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Subjective outcome definition + non-blinded design may influence behaviors</w:t>
            </w:r>
          </w:p>
        </w:tc>
      </w:tr>
      <w:tr w14:paraId="3BD45D1F">
        <w:tblPrEx>
          <w:tblCellMar>
            <w:top w:w="15" w:type="dxa"/>
            <w:left w:w="15" w:type="dxa"/>
            <w:bottom w:w="15" w:type="dxa"/>
            <w:right w:w="15" w:type="dxa"/>
          </w:tblCellMar>
        </w:tblPrEx>
        <w:trPr>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03F11C4F">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Selection of Reported Results</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53D7C54F">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Low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17B953E6">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Complete reporting of all pre-specified outcomes</w:t>
            </w:r>
          </w:p>
        </w:tc>
      </w:tr>
      <w:tr w14:paraId="3FA901D7">
        <w:tblPrEx>
          <w:shd w:val="clear" w:color="auto" w:fill="292A2D"/>
          <w:tblCellMar>
            <w:top w:w="15" w:type="dxa"/>
            <w:left w:w="15" w:type="dxa"/>
            <w:bottom w:w="15" w:type="dxa"/>
            <w:right w:w="15" w:type="dxa"/>
          </w:tblCellMar>
        </w:tblPrEx>
        <w:trPr>
          <w:jc w:val="center"/>
        </w:trPr>
        <w:tc>
          <w:tcPr>
            <w:tcW w:w="190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op w:w="100" w:type="dxa"/>
              <w:left w:w="0" w:type="dxa"/>
              <w:bottom w:w="100" w:type="dxa"/>
              <w:right w:w="100" w:type="dxa"/>
            </w:tcMar>
            <w:vAlign w:val="center"/>
          </w:tcPr>
          <w:p w14:paraId="5D053B70">
            <w:pPr>
              <w:widowControl/>
              <w:spacing w:line="16" w:lineRule="atLeast"/>
              <w:jc w:val="center"/>
              <w:textAlignment w:val="center"/>
              <w:rPr>
                <w:rFonts w:ascii="Times New Roman" w:hAnsi="Times New Roman" w:eastAsia="宋体" w:cs="Times New Roman"/>
                <w:szCs w:val="21"/>
              </w:rPr>
            </w:pPr>
            <w:r>
              <w:rPr>
                <w:rStyle w:val="9"/>
                <w:rFonts w:ascii="Times New Roman" w:hAnsi="Times New Roman" w:eastAsia="Segoe UI" w:cs="Times New Roman"/>
                <w:kern w:val="0"/>
                <w:szCs w:val="21"/>
                <w:lang w:bidi="ar"/>
              </w:rPr>
              <w:t>Overall Risk</w:t>
            </w:r>
          </w:p>
        </w:tc>
        <w:tc>
          <w:tcPr>
            <w:tcW w:w="1771"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2CC614FA">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color w:val="FF0000"/>
                <w:kern w:val="0"/>
                <w:szCs w:val="21"/>
                <w:lang w:bidi="ar"/>
              </w:rPr>
              <w:t>High risk</w:t>
            </w:r>
          </w:p>
        </w:tc>
        <w:tc>
          <w:tcPr>
            <w:tcW w:w="5630" w:type="dxa"/>
            <w:tcBorders>
              <w:top w:val="single" w:color="auto" w:sz="4" w:space="0"/>
              <w:left w:val="single" w:color="auto" w:sz="4" w:space="0"/>
              <w:bottom w:val="single" w:color="auto" w:sz="4" w:space="0"/>
              <w:right w:val="single" w:color="auto" w:sz="4" w:space="0"/>
            </w:tcBorders>
            <w:shd w:val="clear" w:color="auto" w:fill="292A2D"/>
            <w:tcMar>
              <w:top w:w="100" w:type="dxa"/>
              <w:left w:w="100" w:type="dxa"/>
              <w:bottom w:w="100" w:type="dxa"/>
              <w:right w:w="100" w:type="dxa"/>
            </w:tcMar>
            <w:vAlign w:val="center"/>
          </w:tcPr>
          <w:p w14:paraId="461F73C4">
            <w:pPr>
              <w:widowControl/>
              <w:spacing w:line="16" w:lineRule="atLeast"/>
              <w:jc w:val="center"/>
              <w:textAlignment w:val="center"/>
              <w:rPr>
                <w:rFonts w:ascii="Times New Roman" w:hAnsi="Times New Roman" w:eastAsia="宋体" w:cs="Times New Roman"/>
                <w:szCs w:val="21"/>
              </w:rPr>
            </w:pPr>
            <w:r>
              <w:rPr>
                <w:rFonts w:ascii="Times New Roman" w:hAnsi="Times New Roman" w:eastAsia="Segoe UI" w:cs="Times New Roman"/>
                <w:kern w:val="0"/>
                <w:szCs w:val="21"/>
                <w:lang w:bidi="ar"/>
              </w:rPr>
              <w:t>Driven primarily by:</w:t>
            </w:r>
            <w:r>
              <w:rPr>
                <w:rFonts w:ascii="Times New Roman" w:hAnsi="Times New Roman" w:eastAsia="Segoe UI" w:cs="Times New Roman"/>
                <w:kern w:val="0"/>
                <w:szCs w:val="21"/>
                <w:lang w:bidi="ar"/>
              </w:rPr>
              <w:br w:type="textWrapping"/>
            </w:r>
            <w:r>
              <w:rPr>
                <w:rFonts w:ascii="Times New Roman" w:hAnsi="Times New Roman" w:eastAsia="Segoe UI" w:cs="Times New Roman"/>
                <w:kern w:val="0"/>
                <w:szCs w:val="21"/>
                <w:lang w:bidi="ar"/>
              </w:rPr>
              <w:t>• High risk in Deviations from Intended Interventions</w:t>
            </w:r>
            <w:r>
              <w:rPr>
                <w:rFonts w:ascii="Times New Roman" w:hAnsi="Times New Roman" w:eastAsia="Segoe UI" w:cs="Times New Roman"/>
                <w:kern w:val="0"/>
                <w:szCs w:val="21"/>
                <w:lang w:bidi="ar"/>
              </w:rPr>
              <w:br w:type="textWrapping"/>
            </w:r>
            <w:r>
              <w:rPr>
                <w:rFonts w:ascii="Times New Roman" w:hAnsi="Times New Roman" w:eastAsia="Segoe UI" w:cs="Times New Roman"/>
                <w:kern w:val="0"/>
                <w:szCs w:val="21"/>
                <w:lang w:bidi="ar"/>
              </w:rPr>
              <w:t>• Moderate risk of bias in Measurement of Outcomes</w:t>
            </w:r>
          </w:p>
        </w:tc>
      </w:tr>
    </w:tbl>
    <w:p w14:paraId="51B87490">
      <w:pPr>
        <w:jc w:val="center"/>
        <w:rPr>
          <w:rFonts w:ascii="Times New Roman" w:hAnsi="Times New Roman" w:cs="Times New Roman"/>
        </w:rPr>
      </w:pPr>
      <w:r>
        <w:rPr>
          <w:rFonts w:ascii="Times New Roman" w:hAnsi="Times New Roman" w:cs="Times New Roman"/>
        </w:rPr>
        <w:br w:type="page"/>
      </w:r>
    </w:p>
    <w:p w14:paraId="6EA23841">
      <w:pPr>
        <w:jc w:val="center"/>
        <w:rPr>
          <w:rFonts w:ascii="Times New Roman" w:hAnsi="Times New Roman" w:cs="Times New Roman"/>
        </w:rPr>
      </w:pPr>
    </w:p>
    <w:p w14:paraId="78BB58AE">
      <w:pPr>
        <w:rPr>
          <w:rFonts w:ascii="Times New Roman" w:hAnsi="Times New Roman" w:cs="Times New Roman"/>
          <w:sz w:val="24"/>
          <w:szCs w:val="24"/>
        </w:rPr>
      </w:pPr>
      <w:bookmarkStart w:id="9" w:name="_Hlk205907035"/>
      <w:r>
        <w:rPr>
          <w:rFonts w:hint="eastAsia" w:ascii="Times New Roman" w:hAnsi="Times New Roman" w:cs="Times New Roman"/>
          <w:b/>
          <w:bCs/>
          <w:sz w:val="24"/>
          <w:szCs w:val="24"/>
        </w:rPr>
        <w:t>Table A6</w:t>
      </w:r>
      <w:bookmarkEnd w:id="9"/>
      <w:r>
        <w:rPr>
          <w:rFonts w:hint="eastAsia" w:ascii="Times New Roman" w:hAnsi="Times New Roman" w:cs="Times New Roman"/>
          <w:b/>
          <w:bCs/>
          <w:sz w:val="24"/>
          <w:szCs w:val="24"/>
        </w:rPr>
        <w:t xml:space="preserve">. </w:t>
      </w:r>
      <w:r>
        <w:rPr>
          <w:rFonts w:ascii="Times New Roman" w:hAnsi="Times New Roman" w:cs="Times New Roman"/>
          <w:sz w:val="24"/>
          <w:szCs w:val="24"/>
        </w:rPr>
        <w:t xml:space="preserve">Quality Assessment of the </w:t>
      </w:r>
      <w:r>
        <w:rPr>
          <w:rFonts w:hint="eastAsia" w:ascii="Times New Roman" w:hAnsi="Times New Roman" w:cs="Times New Roman"/>
          <w:sz w:val="24"/>
          <w:szCs w:val="24"/>
        </w:rPr>
        <w:t>Non-RCT quantitative</w:t>
      </w:r>
      <w:r>
        <w:rPr>
          <w:rFonts w:ascii="Times New Roman" w:hAnsi="Times New Roman" w:cs="Times New Roman"/>
          <w:sz w:val="24"/>
          <w:szCs w:val="24"/>
        </w:rPr>
        <w:t xml:space="preserve"> Stud</w:t>
      </w:r>
      <w:r>
        <w:rPr>
          <w:rFonts w:hint="eastAsia" w:ascii="Times New Roman" w:hAnsi="Times New Roman" w:cs="Times New Roman"/>
          <w:sz w:val="24"/>
          <w:szCs w:val="24"/>
        </w:rPr>
        <w:t>y</w:t>
      </w:r>
      <w:r>
        <w:rPr>
          <w:rFonts w:ascii="Times New Roman" w:hAnsi="Times New Roman" w:cs="Times New Roman"/>
          <w:sz w:val="24"/>
          <w:szCs w:val="24"/>
        </w:rPr>
        <w:t xml:space="preserve"> Using</w:t>
      </w:r>
      <w:r>
        <w:rPr>
          <w:rFonts w:hint="eastAsia" w:ascii="Times New Roman" w:hAnsi="Times New Roman" w:cs="Times New Roman"/>
          <w:sz w:val="24"/>
          <w:szCs w:val="24"/>
        </w:rPr>
        <w:t xml:space="preserve"> ROBINS-I-V2 scale</w:t>
      </w:r>
    </w:p>
    <w:tbl>
      <w:tblPr>
        <w:tblStyle w:val="6"/>
        <w:tblW w:w="6088" w:type="pct"/>
        <w:tblInd w:w="-859" w:type="dxa"/>
        <w:tblLayout w:type="fixed"/>
        <w:tblCellMar>
          <w:top w:w="0" w:type="dxa"/>
          <w:left w:w="108" w:type="dxa"/>
          <w:bottom w:w="0" w:type="dxa"/>
          <w:right w:w="108" w:type="dxa"/>
        </w:tblCellMar>
      </w:tblPr>
      <w:tblGrid>
        <w:gridCol w:w="1474"/>
        <w:gridCol w:w="1158"/>
        <w:gridCol w:w="986"/>
        <w:gridCol w:w="1148"/>
        <w:gridCol w:w="1073"/>
        <w:gridCol w:w="1023"/>
        <w:gridCol w:w="1119"/>
        <w:gridCol w:w="1014"/>
        <w:gridCol w:w="1119"/>
      </w:tblGrid>
      <w:tr w14:paraId="4A5B5631">
        <w:tblPrEx>
          <w:tblCellMar>
            <w:top w:w="0" w:type="dxa"/>
            <w:left w:w="108" w:type="dxa"/>
            <w:bottom w:w="0" w:type="dxa"/>
            <w:right w:w="108" w:type="dxa"/>
          </w:tblCellMar>
        </w:tblPrEx>
        <w:trPr>
          <w:trHeight w:val="2240" w:hRule="atLeast"/>
        </w:trPr>
        <w:tc>
          <w:tcPr>
            <w:tcW w:w="727"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4645F589">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study/domain</w:t>
            </w:r>
          </w:p>
        </w:tc>
        <w:tc>
          <w:tcPr>
            <w:tcW w:w="572"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04E95906">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1: Bias due to confounding​​</w:t>
            </w:r>
          </w:p>
        </w:tc>
        <w:tc>
          <w:tcPr>
            <w:tcW w:w="487"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0708DCE7">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2: Bias in classification of interventions​​</w:t>
            </w:r>
          </w:p>
        </w:tc>
        <w:tc>
          <w:tcPr>
            <w:tcW w:w="567"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7A0F335A">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3: Bias in selection of participants into the study​​</w:t>
            </w:r>
          </w:p>
        </w:tc>
        <w:tc>
          <w:tcPr>
            <w:tcW w:w="530"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3431EEB2">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4: Bias due to deviations from intended interventions​​</w:t>
            </w:r>
          </w:p>
        </w:tc>
        <w:tc>
          <w:tcPr>
            <w:tcW w:w="506"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7A9EE4D3">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5: Bias due to missing data​​</w:t>
            </w:r>
          </w:p>
        </w:tc>
        <w:tc>
          <w:tcPr>
            <w:tcW w:w="553"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3CBD5B67">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6: Bias in measurement of the outcome​​</w:t>
            </w:r>
          </w:p>
        </w:tc>
        <w:tc>
          <w:tcPr>
            <w:tcW w:w="501"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476855DC">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Domain 7: Bias in selection of the reported result​​</w:t>
            </w:r>
          </w:p>
        </w:tc>
        <w:tc>
          <w:tcPr>
            <w:tcW w:w="553" w:type="pct"/>
            <w:tcBorders>
              <w:top w:val="single" w:color="000000" w:sz="4" w:space="0"/>
              <w:left w:val="single" w:color="000000" w:sz="4" w:space="0"/>
              <w:bottom w:val="single" w:color="000000" w:sz="4" w:space="0"/>
              <w:right w:val="single" w:color="000000" w:sz="4" w:space="0"/>
            </w:tcBorders>
            <w:shd w:val="clear" w:color="auto" w:fill="2F5496" w:themeFill="accent1" w:themeFillShade="BF"/>
            <w:vAlign w:val="center"/>
          </w:tcPr>
          <w:p w14:paraId="08B2B1CA">
            <w:pPr>
              <w:widowControl/>
              <w:jc w:val="center"/>
              <w:textAlignment w:val="center"/>
              <w:rPr>
                <w:rFonts w:ascii="Times New Roman" w:hAnsi="Times New Roman" w:eastAsia="宋体" w:cs="Times New Roman"/>
                <w:b/>
                <w:bCs/>
                <w:color w:val="FFFFFF" w:themeColor="background1"/>
                <w:szCs w:val="21"/>
                <w14:textFill>
                  <w14:solidFill>
                    <w14:schemeClr w14:val="bg1"/>
                  </w14:solidFill>
                </w14:textFill>
              </w:rPr>
            </w:pPr>
            <w:r>
              <w:rPr>
                <w:rFonts w:ascii="Times New Roman" w:hAnsi="Times New Roman" w:eastAsia="宋体" w:cs="Times New Roman"/>
                <w:b/>
                <w:bCs/>
                <w:color w:val="FFFFFF" w:themeColor="background1"/>
                <w:kern w:val="0"/>
                <w:szCs w:val="21"/>
                <w:lang w:bidi="ar"/>
                <w14:textFill>
                  <w14:solidFill>
                    <w14:schemeClr w14:val="bg1"/>
                  </w14:solidFill>
                </w14:textFill>
              </w:rPr>
              <w:t>Overall Risk​​</w:t>
            </w:r>
          </w:p>
        </w:tc>
      </w:tr>
      <w:tr w14:paraId="2327C075">
        <w:tblPrEx>
          <w:tblCellMar>
            <w:top w:w="0" w:type="dxa"/>
            <w:left w:w="108" w:type="dxa"/>
            <w:bottom w:w="0" w:type="dxa"/>
            <w:right w:w="108" w:type="dxa"/>
          </w:tblCellMar>
        </w:tblPrEx>
        <w:trPr>
          <w:trHeight w:val="92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2D067E67">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Camcioglu et al. (2020)​​</w:t>
            </w:r>
          </w:p>
        </w:tc>
        <w:tc>
          <w:tcPr>
            <w:tcW w:w="572" w:type="pct"/>
            <w:tcBorders>
              <w:top w:val="single" w:color="000000" w:sz="4" w:space="0"/>
              <w:left w:val="single" w:color="000000" w:sz="4" w:space="0"/>
              <w:bottom w:val="single" w:color="000000" w:sz="4" w:space="0"/>
              <w:right w:val="single" w:color="000000" w:sz="4" w:space="0"/>
            </w:tcBorders>
            <w:vAlign w:val="center"/>
          </w:tcPr>
          <w:p w14:paraId="6D2BFEC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487" w:type="pct"/>
            <w:tcBorders>
              <w:top w:val="single" w:color="000000" w:sz="4" w:space="0"/>
              <w:left w:val="single" w:color="000000" w:sz="4" w:space="0"/>
              <w:bottom w:val="single" w:color="000000" w:sz="4" w:space="0"/>
              <w:right w:val="single" w:color="000000" w:sz="4" w:space="0"/>
            </w:tcBorders>
            <w:vAlign w:val="center"/>
          </w:tcPr>
          <w:p w14:paraId="4BD9C51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567" w:type="pct"/>
            <w:tcBorders>
              <w:top w:val="single" w:color="000000" w:sz="4" w:space="0"/>
              <w:left w:val="single" w:color="000000" w:sz="4" w:space="0"/>
              <w:bottom w:val="single" w:color="000000" w:sz="4" w:space="0"/>
              <w:right w:val="single" w:color="000000" w:sz="4" w:space="0"/>
            </w:tcBorders>
            <w:vAlign w:val="center"/>
          </w:tcPr>
          <w:p w14:paraId="7C6B41E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39CBEB0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5F04105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9F36DD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4AC9863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02F56F5">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High</w:t>
            </w:r>
          </w:p>
        </w:tc>
      </w:tr>
      <w:tr w14:paraId="630B6866">
        <w:tblPrEx>
          <w:tblCellMar>
            <w:top w:w="0" w:type="dxa"/>
            <w:left w:w="108" w:type="dxa"/>
            <w:bottom w:w="0" w:type="dxa"/>
            <w:right w:w="108" w:type="dxa"/>
          </w:tblCellMar>
        </w:tblPrEx>
        <w:trPr>
          <w:trHeight w:val="74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470F1EF9">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Jiang et al. (2021)​​</w:t>
            </w:r>
          </w:p>
        </w:tc>
        <w:tc>
          <w:tcPr>
            <w:tcW w:w="572" w:type="pct"/>
            <w:tcBorders>
              <w:top w:val="single" w:color="000000" w:sz="4" w:space="0"/>
              <w:left w:val="single" w:color="000000" w:sz="4" w:space="0"/>
              <w:bottom w:val="single" w:color="000000" w:sz="4" w:space="0"/>
              <w:right w:val="single" w:color="000000" w:sz="4" w:space="0"/>
            </w:tcBorders>
            <w:vAlign w:val="center"/>
          </w:tcPr>
          <w:p w14:paraId="2A24017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487" w:type="pct"/>
            <w:tcBorders>
              <w:top w:val="single" w:color="000000" w:sz="4" w:space="0"/>
              <w:left w:val="single" w:color="000000" w:sz="4" w:space="0"/>
              <w:bottom w:val="single" w:color="000000" w:sz="4" w:space="0"/>
              <w:right w:val="single" w:color="000000" w:sz="4" w:space="0"/>
            </w:tcBorders>
            <w:vAlign w:val="center"/>
          </w:tcPr>
          <w:p w14:paraId="4258DE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567" w:type="pct"/>
            <w:tcBorders>
              <w:top w:val="single" w:color="000000" w:sz="4" w:space="0"/>
              <w:left w:val="single" w:color="000000" w:sz="4" w:space="0"/>
              <w:bottom w:val="single" w:color="000000" w:sz="4" w:space="0"/>
              <w:right w:val="single" w:color="000000" w:sz="4" w:space="0"/>
            </w:tcBorders>
            <w:vAlign w:val="center"/>
          </w:tcPr>
          <w:p w14:paraId="666B8E3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473AE4F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396D9DA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D471BE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6C05C11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3CD38DE">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High</w:t>
            </w:r>
          </w:p>
        </w:tc>
      </w:tr>
      <w:tr w14:paraId="3AB77A06">
        <w:tblPrEx>
          <w:tblCellMar>
            <w:top w:w="0" w:type="dxa"/>
            <w:left w:w="108" w:type="dxa"/>
            <w:bottom w:w="0" w:type="dxa"/>
            <w:right w:w="108" w:type="dxa"/>
          </w:tblCellMar>
        </w:tblPrEx>
        <w:trPr>
          <w:trHeight w:val="56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47B10365">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Ramasubbu et al. (2016)</w:t>
            </w:r>
          </w:p>
        </w:tc>
        <w:tc>
          <w:tcPr>
            <w:tcW w:w="572" w:type="pct"/>
            <w:tcBorders>
              <w:top w:val="single" w:color="000000" w:sz="4" w:space="0"/>
              <w:left w:val="single" w:color="000000" w:sz="4" w:space="0"/>
              <w:bottom w:val="single" w:color="000000" w:sz="4" w:space="0"/>
              <w:right w:val="single" w:color="000000" w:sz="4" w:space="0"/>
            </w:tcBorders>
            <w:vAlign w:val="center"/>
          </w:tcPr>
          <w:p w14:paraId="6CDC1A9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vAlign w:val="center"/>
          </w:tcPr>
          <w:p w14:paraId="52F44DE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Critical</w:t>
            </w:r>
          </w:p>
        </w:tc>
        <w:tc>
          <w:tcPr>
            <w:tcW w:w="567" w:type="pct"/>
            <w:tcBorders>
              <w:top w:val="single" w:color="000000" w:sz="4" w:space="0"/>
              <w:left w:val="single" w:color="000000" w:sz="4" w:space="0"/>
              <w:bottom w:val="single" w:color="000000" w:sz="4" w:space="0"/>
              <w:right w:val="single" w:color="000000" w:sz="4" w:space="0"/>
            </w:tcBorders>
            <w:vAlign w:val="center"/>
          </w:tcPr>
          <w:p w14:paraId="015E2C6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14D9505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6FEB0D6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276E869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1" w:type="pct"/>
            <w:tcBorders>
              <w:top w:val="single" w:color="000000" w:sz="4" w:space="0"/>
              <w:left w:val="single" w:color="000000" w:sz="4" w:space="0"/>
              <w:bottom w:val="single" w:color="000000" w:sz="4" w:space="0"/>
              <w:right w:val="single" w:color="000000" w:sz="4" w:space="0"/>
            </w:tcBorders>
            <w:vAlign w:val="center"/>
          </w:tcPr>
          <w:p w14:paraId="562F3B3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D002C7C">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High</w:t>
            </w:r>
          </w:p>
        </w:tc>
      </w:tr>
      <w:tr w14:paraId="5A7BA2A8">
        <w:tblPrEx>
          <w:tblCellMar>
            <w:top w:w="0" w:type="dxa"/>
            <w:left w:w="108" w:type="dxa"/>
            <w:bottom w:w="0" w:type="dxa"/>
            <w:right w:w="108" w:type="dxa"/>
          </w:tblCellMar>
        </w:tblPrEx>
        <w:trPr>
          <w:trHeight w:val="66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2BD0FE17">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Wiboonchutikula et al. (2023)​​</w:t>
            </w:r>
          </w:p>
        </w:tc>
        <w:tc>
          <w:tcPr>
            <w:tcW w:w="572" w:type="pct"/>
            <w:tcBorders>
              <w:top w:val="single" w:color="000000" w:sz="4" w:space="0"/>
              <w:left w:val="single" w:color="000000" w:sz="4" w:space="0"/>
              <w:bottom w:val="single" w:color="000000" w:sz="4" w:space="0"/>
              <w:right w:val="single" w:color="000000" w:sz="4" w:space="0"/>
            </w:tcBorders>
            <w:vAlign w:val="center"/>
          </w:tcPr>
          <w:p w14:paraId="0BB07DE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487" w:type="pct"/>
            <w:tcBorders>
              <w:top w:val="single" w:color="000000" w:sz="4" w:space="0"/>
              <w:left w:val="single" w:color="000000" w:sz="4" w:space="0"/>
              <w:bottom w:val="single" w:color="000000" w:sz="4" w:space="0"/>
              <w:right w:val="single" w:color="000000" w:sz="4" w:space="0"/>
            </w:tcBorders>
            <w:vAlign w:val="center"/>
          </w:tcPr>
          <w:p w14:paraId="0CDA5C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w:t>
            </w:r>
          </w:p>
        </w:tc>
        <w:tc>
          <w:tcPr>
            <w:tcW w:w="567" w:type="pct"/>
            <w:tcBorders>
              <w:top w:val="single" w:color="000000" w:sz="4" w:space="0"/>
              <w:left w:val="single" w:color="000000" w:sz="4" w:space="0"/>
              <w:bottom w:val="single" w:color="000000" w:sz="4" w:space="0"/>
              <w:right w:val="single" w:color="000000" w:sz="4" w:space="0"/>
            </w:tcBorders>
            <w:vAlign w:val="center"/>
          </w:tcPr>
          <w:p w14:paraId="302A27C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5C443FA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4149CA8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46EB31A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47DC854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71F18B5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High</w:t>
            </w:r>
          </w:p>
        </w:tc>
      </w:tr>
      <w:tr w14:paraId="4ADE7843">
        <w:tblPrEx>
          <w:tblCellMar>
            <w:top w:w="0" w:type="dxa"/>
            <w:left w:w="108" w:type="dxa"/>
            <w:bottom w:w="0" w:type="dxa"/>
            <w:right w:w="108" w:type="dxa"/>
          </w:tblCellMar>
        </w:tblPrEx>
        <w:trPr>
          <w:trHeight w:val="66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41BF241">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Mona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2019</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F297EA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5EDB59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B5C870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7B3CB5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78D89B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BEA520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758E69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936D8B">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Low</w:t>
            </w:r>
          </w:p>
        </w:tc>
      </w:tr>
      <w:tr w14:paraId="628F3832">
        <w:tblPrEx>
          <w:tblCellMar>
            <w:top w:w="0" w:type="dxa"/>
            <w:left w:w="108" w:type="dxa"/>
            <w:bottom w:w="0" w:type="dxa"/>
            <w:right w:w="108" w:type="dxa"/>
          </w:tblCellMar>
        </w:tblPrEx>
        <w:trPr>
          <w:trHeight w:val="4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3B88B77">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Nancy E.et al.</w:t>
            </w:r>
            <w:r>
              <w:rPr>
                <w:rFonts w:hint="eastAsia" w:ascii="宋体" w:hAnsi="宋体" w:eastAsia="宋体" w:cs="宋体"/>
                <w:b/>
                <w:bCs/>
                <w:color w:val="000000"/>
                <w:kern w:val="0"/>
                <w:szCs w:val="21"/>
                <w:lang w:bidi="ar"/>
              </w:rPr>
              <w:t>（</w:t>
            </w:r>
            <w:r>
              <w:rPr>
                <w:rStyle w:val="35"/>
                <w:rFonts w:eastAsia="宋体"/>
                <w:sz w:val="21"/>
                <w:szCs w:val="21"/>
                <w:lang w:bidi="ar"/>
              </w:rPr>
              <w:t>1989</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9CB280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1CA64B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C8581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8D3D18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11A048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E2BA83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BE25B7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5DCCC1C">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Low</w:t>
            </w:r>
          </w:p>
        </w:tc>
      </w:tr>
      <w:tr w14:paraId="618AD181">
        <w:tblPrEx>
          <w:tblCellMar>
            <w:top w:w="0" w:type="dxa"/>
            <w:left w:w="108" w:type="dxa"/>
            <w:bottom w:w="0" w:type="dxa"/>
            <w:right w:w="108" w:type="dxa"/>
          </w:tblCellMar>
        </w:tblPrEx>
        <w:trPr>
          <w:trHeight w:val="36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B6BB0D4">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Talkhan et al. (2022)​​</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D6B869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118077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1E2E5D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898A79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3618D6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07A863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77C48C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60178F9">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Low</w:t>
            </w:r>
          </w:p>
        </w:tc>
      </w:tr>
      <w:tr w14:paraId="6C9F3A24">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25943508">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Carlos et al.</w:t>
            </w:r>
            <w:r>
              <w:rPr>
                <w:rFonts w:hint="eastAsia" w:ascii="宋体" w:hAnsi="宋体" w:eastAsia="宋体" w:cs="宋体"/>
                <w:b/>
                <w:bCs/>
                <w:color w:val="000000"/>
                <w:kern w:val="0"/>
                <w:szCs w:val="21"/>
                <w:lang w:bidi="ar"/>
              </w:rPr>
              <w:t>（</w:t>
            </w:r>
            <w:r>
              <w:rPr>
                <w:rFonts w:ascii="宋体" w:hAnsi="宋体" w:eastAsia="宋体" w:cs="宋体"/>
                <w:b/>
                <w:bCs/>
                <w:color w:val="000000"/>
                <w:kern w:val="0"/>
                <w:szCs w:val="21"/>
                <w:lang w:bidi="ar"/>
              </w:rPr>
              <w:t>2003</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41C32E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77D6003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67D44AA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vAlign w:val="center"/>
          </w:tcPr>
          <w:p w14:paraId="5640B38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0B33E0C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04284C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vAlign w:val="center"/>
          </w:tcPr>
          <w:p w14:paraId="72EDEF9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2D0D270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456860F8">
        <w:tblPrEx>
          <w:tblCellMar>
            <w:top w:w="0" w:type="dxa"/>
            <w:left w:w="108" w:type="dxa"/>
            <w:bottom w:w="0" w:type="dxa"/>
            <w:right w:w="108" w:type="dxa"/>
          </w:tblCellMar>
        </w:tblPrEx>
        <w:trPr>
          <w:trHeight w:val="36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338667E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Fouzia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2021</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464D917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28D3509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4DC66A3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4FE5D23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3EBF5D9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4E75D46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1963356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0E03DE00">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5043D365">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505CE20F">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George F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2021</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16593CB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787B9F4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3999923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538A85A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0436D47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4682209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092A0E2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2D6D2C2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2EDDCD77">
        <w:tblPrEx>
          <w:tblCellMar>
            <w:top w:w="0" w:type="dxa"/>
            <w:left w:w="108" w:type="dxa"/>
            <w:bottom w:w="0" w:type="dxa"/>
            <w:right w:w="108" w:type="dxa"/>
          </w:tblCellMar>
        </w:tblPrEx>
        <w:trPr>
          <w:trHeight w:val="38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5511B3DD">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Muhammad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2024</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232E0D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38D786D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3F5BF97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467DEF2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684D338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74BE223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3D32D0C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1810D0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4B7342F7">
        <w:tblPrEx>
          <w:tblCellMar>
            <w:top w:w="0" w:type="dxa"/>
            <w:left w:w="108" w:type="dxa"/>
            <w:bottom w:w="0" w:type="dxa"/>
            <w:right w:w="108" w:type="dxa"/>
          </w:tblCellMar>
        </w:tblPrEx>
        <w:trPr>
          <w:trHeight w:val="66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0E2014BE">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Seikh F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2009</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7FC86D9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4720953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48093FB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25DE161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vAlign w:val="center"/>
          </w:tcPr>
          <w:p w14:paraId="540141B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4F423A5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vAlign w:val="center"/>
          </w:tcPr>
          <w:p w14:paraId="3AC5961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491BD2D0">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14536A60">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1FDCC98F">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Laka et al. (2021)​​</w:t>
            </w:r>
          </w:p>
        </w:tc>
        <w:tc>
          <w:tcPr>
            <w:tcW w:w="572" w:type="pct"/>
            <w:tcBorders>
              <w:top w:val="single" w:color="000000" w:sz="4" w:space="0"/>
              <w:left w:val="single" w:color="000000" w:sz="4" w:space="0"/>
              <w:bottom w:val="single" w:color="000000" w:sz="4" w:space="0"/>
              <w:right w:val="single" w:color="000000" w:sz="4" w:space="0"/>
            </w:tcBorders>
            <w:vAlign w:val="center"/>
          </w:tcPr>
          <w:p w14:paraId="742D45E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vAlign w:val="center"/>
          </w:tcPr>
          <w:p w14:paraId="07DF3EF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vAlign w:val="center"/>
          </w:tcPr>
          <w:p w14:paraId="1A7EEBB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122478A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1C34B37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2CD4F90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0162488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28430DD">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6EBF3DC2">
        <w:tblPrEx>
          <w:tblCellMar>
            <w:top w:w="0" w:type="dxa"/>
            <w:left w:w="108" w:type="dxa"/>
            <w:bottom w:w="0" w:type="dxa"/>
            <w:right w:w="108" w:type="dxa"/>
          </w:tblCellMar>
        </w:tblPrEx>
        <w:trPr>
          <w:trHeight w:val="30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5F24ACEB">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Campoa et al. (2022)​​</w:t>
            </w:r>
          </w:p>
        </w:tc>
        <w:tc>
          <w:tcPr>
            <w:tcW w:w="572" w:type="pct"/>
            <w:tcBorders>
              <w:top w:val="single" w:color="000000" w:sz="4" w:space="0"/>
              <w:left w:val="single" w:color="000000" w:sz="4" w:space="0"/>
              <w:bottom w:val="single" w:color="000000" w:sz="4" w:space="0"/>
              <w:right w:val="single" w:color="000000" w:sz="4" w:space="0"/>
            </w:tcBorders>
            <w:vAlign w:val="center"/>
          </w:tcPr>
          <w:p w14:paraId="1D0A92D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39B1289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vAlign w:val="center"/>
          </w:tcPr>
          <w:p w14:paraId="5C6DF4F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015B09E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1C97FE3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0E017F1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6A768B2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0C488C1">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6B7CB0BE">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39B14007">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Carol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2000</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5FF20C7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63D4BC0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733DEBA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vAlign w:val="center"/>
          </w:tcPr>
          <w:p w14:paraId="2986255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vAlign w:val="center"/>
          </w:tcPr>
          <w:p w14:paraId="1A53FD3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2324C7D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5513862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90E7A74">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18342C84">
        <w:tblPrEx>
          <w:tblCellMar>
            <w:top w:w="0" w:type="dxa"/>
            <w:left w:w="108" w:type="dxa"/>
            <w:bottom w:w="0" w:type="dxa"/>
            <w:right w:w="108" w:type="dxa"/>
          </w:tblCellMar>
        </w:tblPrEx>
        <w:trPr>
          <w:trHeight w:val="52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29956BDA">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Currie et al. (2014)</w:t>
            </w:r>
          </w:p>
        </w:tc>
        <w:tc>
          <w:tcPr>
            <w:tcW w:w="572" w:type="pct"/>
            <w:tcBorders>
              <w:top w:val="single" w:color="000000" w:sz="4" w:space="0"/>
              <w:left w:val="single" w:color="000000" w:sz="4" w:space="0"/>
              <w:bottom w:val="single" w:color="000000" w:sz="4" w:space="0"/>
              <w:right w:val="single" w:color="000000" w:sz="4" w:space="0"/>
            </w:tcBorders>
            <w:vAlign w:val="center"/>
          </w:tcPr>
          <w:p w14:paraId="6457435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02C0375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2317649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537B9F5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489DE32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6C20B26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3D69D63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204BD4EC">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79D9CAC8">
        <w:tblPrEx>
          <w:tblCellMar>
            <w:top w:w="0" w:type="dxa"/>
            <w:left w:w="108" w:type="dxa"/>
            <w:bottom w:w="0" w:type="dxa"/>
            <w:right w:w="108" w:type="dxa"/>
          </w:tblCellMar>
        </w:tblPrEx>
        <w:trPr>
          <w:trHeight w:val="30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249C8212">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Hamdy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2020</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2336B64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04FB44B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3687FD8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1A1687E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vAlign w:val="center"/>
          </w:tcPr>
          <w:p w14:paraId="6D686A8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59CCA7E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1B52D69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53FF07C4">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17A06EE7">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33456008">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Hong et al. (2024)​​</w:t>
            </w:r>
          </w:p>
        </w:tc>
        <w:tc>
          <w:tcPr>
            <w:tcW w:w="572" w:type="pct"/>
            <w:tcBorders>
              <w:top w:val="single" w:color="000000" w:sz="4" w:space="0"/>
              <w:left w:val="single" w:color="000000" w:sz="4" w:space="0"/>
              <w:bottom w:val="single" w:color="000000" w:sz="4" w:space="0"/>
              <w:right w:val="single" w:color="000000" w:sz="4" w:space="0"/>
            </w:tcBorders>
            <w:vAlign w:val="center"/>
          </w:tcPr>
          <w:p w14:paraId="0781D2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1A7BDA1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vAlign w:val="center"/>
          </w:tcPr>
          <w:p w14:paraId="1C697FE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vAlign w:val="center"/>
          </w:tcPr>
          <w:p w14:paraId="165C0CC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6462AB3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384F726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5AE4212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7CD878D5">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6FD12ED2">
        <w:tblPrEx>
          <w:tblCellMar>
            <w:top w:w="0" w:type="dxa"/>
            <w:left w:w="108" w:type="dxa"/>
            <w:bottom w:w="0" w:type="dxa"/>
            <w:right w:w="108" w:type="dxa"/>
          </w:tblCellMar>
        </w:tblPrEx>
        <w:trPr>
          <w:trHeight w:val="30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00CB6093">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Hurst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2016</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154493E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02EB277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1254D83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vAlign w:val="center"/>
          </w:tcPr>
          <w:p w14:paraId="5BF7234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33119F4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4618D47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419BB95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vAlign w:val="center"/>
          </w:tcPr>
          <w:p w14:paraId="0E23005A">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4D5A3B92">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vAlign w:val="center"/>
          </w:tcPr>
          <w:p w14:paraId="46FE1BF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Kirsty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2008</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vAlign w:val="center"/>
          </w:tcPr>
          <w:p w14:paraId="1D84696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vAlign w:val="center"/>
          </w:tcPr>
          <w:p w14:paraId="7BCBE8C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vAlign w:val="center"/>
          </w:tcPr>
          <w:p w14:paraId="58AF31F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vAlign w:val="center"/>
          </w:tcPr>
          <w:p w14:paraId="541D297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vAlign w:val="center"/>
          </w:tcPr>
          <w:p w14:paraId="7DCDD9A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5D22F64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vAlign w:val="center"/>
          </w:tcPr>
          <w:p w14:paraId="214F580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vAlign w:val="center"/>
          </w:tcPr>
          <w:p w14:paraId="7BF050D7">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Moderate​​</w:t>
            </w:r>
          </w:p>
        </w:tc>
      </w:tr>
      <w:tr w14:paraId="171204E1">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9AC266F">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AnthonyM et al.</w:t>
            </w:r>
            <w:r>
              <w:rPr>
                <w:rFonts w:hint="eastAsia" w:ascii="宋体" w:hAnsi="宋体" w:eastAsia="宋体" w:cs="宋体"/>
                <w:b/>
                <w:bCs/>
                <w:color w:val="000000"/>
                <w:kern w:val="0"/>
                <w:szCs w:val="21"/>
                <w:lang w:bidi="ar"/>
              </w:rPr>
              <w:t>（</w:t>
            </w:r>
            <w:r>
              <w:rPr>
                <w:rStyle w:val="35"/>
                <w:rFonts w:eastAsia="宋体"/>
                <w:sz w:val="21"/>
                <w:szCs w:val="21"/>
                <w:lang w:bidi="ar"/>
              </w:rPr>
              <w:t>2008</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C4B345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C24849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FFE6BB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E78335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4573A6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167225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C9DE0B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FC2966F">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1FCF14E5">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951FC96">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Gonzalo et al.</w:t>
            </w:r>
            <w:r>
              <w:rPr>
                <w:rFonts w:hint="eastAsia" w:ascii="宋体" w:hAnsi="宋体" w:eastAsia="宋体" w:cs="宋体"/>
                <w:b/>
                <w:bCs/>
                <w:color w:val="000000"/>
                <w:kern w:val="0"/>
                <w:szCs w:val="21"/>
                <w:lang w:bidi="ar"/>
              </w:rPr>
              <w:t>（</w:t>
            </w:r>
            <w:r>
              <w:rPr>
                <w:rStyle w:val="35"/>
                <w:rFonts w:eastAsia="宋体"/>
                <w:sz w:val="21"/>
                <w:szCs w:val="21"/>
                <w:lang w:bidi="ar"/>
              </w:rPr>
              <w:t>1994</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953DFF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1C38F3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6595F2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DA4744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90C723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D87C12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C0A3FC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03D6EC4">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6CCCB034">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66157CD">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Kalyan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2021</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F723FA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D01680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A0187E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7C75FD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6B49A6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994B02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8365AE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84A1322">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408F9A5F">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390A538">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Stephen D et al.</w:t>
            </w:r>
            <w:r>
              <w:rPr>
                <w:rFonts w:hint="eastAsia" w:ascii="宋体" w:hAnsi="宋体" w:eastAsia="宋体" w:cs="宋体"/>
                <w:b/>
                <w:bCs/>
                <w:color w:val="000000"/>
                <w:kern w:val="0"/>
                <w:szCs w:val="21"/>
                <w:lang w:bidi="ar"/>
              </w:rPr>
              <w:t>（</w:t>
            </w:r>
            <w:r>
              <w:rPr>
                <w:rStyle w:val="35"/>
                <w:rFonts w:eastAsia="宋体"/>
                <w:sz w:val="21"/>
                <w:szCs w:val="21"/>
                <w:lang w:bidi="ar"/>
              </w:rPr>
              <w:t>2002</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F1EFF3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332428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A2E91C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79A5DB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80B50E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52BE36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FBF70F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E5E3E7A">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7704786D">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022165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Usman et al.</w:t>
            </w:r>
            <w:r>
              <w:rPr>
                <w:rFonts w:hint="eastAsia" w:ascii="宋体" w:hAnsi="宋体" w:eastAsia="宋体" w:cs="宋体"/>
                <w:b/>
                <w:bCs/>
                <w:color w:val="000000"/>
                <w:kern w:val="0"/>
                <w:szCs w:val="21"/>
                <w:lang w:bidi="ar"/>
              </w:rPr>
              <w:t>（</w:t>
            </w:r>
            <w:r>
              <w:rPr>
                <w:rStyle w:val="35"/>
                <w:rFonts w:eastAsia="宋体"/>
                <w:sz w:val="21"/>
                <w:szCs w:val="21"/>
                <w:lang w:bidi="ar"/>
              </w:rPr>
              <w:t>2008</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6C0BE3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B4CE71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04A4B4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D36A84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4E187B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B1FBFD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C0E439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A44A897">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12EF25C3">
        <w:tblPrEx>
          <w:tblCellMar>
            <w:top w:w="0" w:type="dxa"/>
            <w:left w:w="108" w:type="dxa"/>
            <w:bottom w:w="0" w:type="dxa"/>
            <w:right w:w="108" w:type="dxa"/>
          </w:tblCellMar>
        </w:tblPrEx>
        <w:trPr>
          <w:trHeight w:val="31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18CEA0F">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Zongmei al.</w:t>
            </w:r>
            <w:r>
              <w:rPr>
                <w:rFonts w:hint="eastAsia" w:ascii="宋体" w:hAnsi="宋体" w:eastAsia="宋体" w:cs="宋体"/>
                <w:b/>
                <w:bCs/>
                <w:color w:val="000000"/>
                <w:kern w:val="0"/>
                <w:szCs w:val="21"/>
                <w:lang w:bidi="ar"/>
              </w:rPr>
              <w:t>（</w:t>
            </w:r>
            <w:r>
              <w:rPr>
                <w:rStyle w:val="35"/>
                <w:rFonts w:eastAsia="宋体"/>
                <w:sz w:val="21"/>
                <w:szCs w:val="21"/>
                <w:lang w:bidi="ar"/>
              </w:rPr>
              <w:t>2016</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5FBE9B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C40CD2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D0BD3D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9CB6A1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BB13BD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952426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3CA87B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BC65672">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7FE8D5F3">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B887537">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Flora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2008</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D05B4D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EF791A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A9C26B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386DD6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7E984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4873DF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360512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116B9F6">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2BA51E8D">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264C556">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James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1980</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EF34A0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66C144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B53064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B243F0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89412E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3A68D8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78F2FF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B2F964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3AE0F811">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91CB41">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Lilliam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2013</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C2F7A1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46CB45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94ED5C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06C164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D9F533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4496D3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FF0460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FBA5879">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59E0BEDB">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3998368">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 Deuster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2010</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35327D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2B3A2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D62604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2145E8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27B5FF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21DA1C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5D3623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96B0662">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688DC70D">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E06CEE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Tagashira et al. (2019)</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63CF4C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B871CE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96BD27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76A48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A91D14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717CBF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6F9B8B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52F744E">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088C9082">
        <w:tblPrEx>
          <w:tblCellMar>
            <w:top w:w="0" w:type="dxa"/>
            <w:left w:w="108" w:type="dxa"/>
            <w:bottom w:w="0" w:type="dxa"/>
            <w:right w:w="108" w:type="dxa"/>
          </w:tblCellMar>
        </w:tblPrEx>
        <w:trPr>
          <w:trHeight w:val="30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21A1B16">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Choe et al.</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2018</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E8DDAE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313CDC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9CAEAF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8A4059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777E4E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D9614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1AB481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2FA549A">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58B01A45">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39088BF">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Karras et al. (2003)</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ADABFB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4FA598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34A504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4F6E71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F0C771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C423C8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418A1D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0069C89">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647DCFDC">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6ECB57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Ogunleye et al. (2019)</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1FB4FE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134521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F3D1C3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670FD4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7B100E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C7B962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C3C048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587596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69EA9B0F">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99C061C">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Parker &amp; Mattick (2016)</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1A33C3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E48B30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6084F0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7CDD71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EC0F20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B11051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6FD904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8951244">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5ADB281F">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84B7EEA">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Susan A al .</w:t>
            </w:r>
            <w:r>
              <w:rPr>
                <w:rFonts w:hint="eastAsia" w:ascii="宋体" w:hAnsi="宋体" w:eastAsia="宋体" w:cs="宋体"/>
                <w:b/>
                <w:bCs/>
                <w:color w:val="000000"/>
                <w:kern w:val="0"/>
                <w:szCs w:val="21"/>
                <w:lang w:bidi="ar"/>
              </w:rPr>
              <w:t>（</w:t>
            </w:r>
            <w:r>
              <w:rPr>
                <w:rFonts w:ascii="Times New Roman" w:hAnsi="Times New Roman" w:eastAsia="宋体" w:cs="Times New Roman"/>
                <w:b/>
                <w:bCs/>
                <w:color w:val="000000"/>
                <w:kern w:val="0"/>
                <w:szCs w:val="21"/>
                <w:lang w:bidi="ar"/>
              </w:rPr>
              <w:t>2000</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350C98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D4EFBF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A24B24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CD84A8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0B0C74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D9061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8CC904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AC6E20F">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3B47C446">
        <w:tblPrEx>
          <w:tblCellMar>
            <w:top w:w="0" w:type="dxa"/>
            <w:left w:w="108" w:type="dxa"/>
            <w:bottom w:w="0" w:type="dxa"/>
            <w:right w:w="108" w:type="dxa"/>
          </w:tblCellMar>
        </w:tblPrEx>
        <w:trPr>
          <w:trHeight w:val="28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49F22D4">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Tay et al.</w:t>
            </w:r>
            <w:r>
              <w:rPr>
                <w:rFonts w:hint="eastAsia" w:ascii="宋体" w:hAnsi="宋体" w:eastAsia="宋体" w:cs="宋体"/>
                <w:b/>
                <w:bCs/>
                <w:color w:val="000000"/>
                <w:kern w:val="0"/>
                <w:szCs w:val="21"/>
                <w:lang w:bidi="ar"/>
              </w:rPr>
              <w:t>（</w:t>
            </w:r>
            <w:r>
              <w:rPr>
                <w:rStyle w:val="35"/>
                <w:rFonts w:eastAsia="宋体"/>
                <w:sz w:val="21"/>
                <w:szCs w:val="21"/>
                <w:lang w:bidi="ar"/>
              </w:rPr>
              <w:t>2019</w:t>
            </w:r>
            <w:r>
              <w:rPr>
                <w:rFonts w:hint="eastAsia" w:ascii="宋体" w:hAnsi="宋体" w:eastAsia="宋体" w:cs="宋体"/>
                <w:b/>
                <w:bCs/>
                <w:color w:val="000000"/>
                <w:kern w:val="0"/>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0807D24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F1A5DD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18E9A2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6BBD77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F45537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19F92E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1D4B61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785A4CF8">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r w14:paraId="3D0360D8">
        <w:tblPrEx>
          <w:tblCellMar>
            <w:top w:w="0" w:type="dxa"/>
            <w:left w:w="108" w:type="dxa"/>
            <w:bottom w:w="0" w:type="dxa"/>
            <w:right w:w="108" w:type="dxa"/>
          </w:tblCellMar>
        </w:tblPrEx>
        <w:trPr>
          <w:trHeight w:val="290" w:hRule="atLeast"/>
        </w:trPr>
        <w:tc>
          <w:tcPr>
            <w:tcW w:w="72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B4186C6">
            <w:pPr>
              <w:widowControl/>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Willem L et al.</w:t>
            </w:r>
            <w:r>
              <w:rPr>
                <w:rStyle w:val="36"/>
                <w:rFonts w:hint="default"/>
                <w:sz w:val="21"/>
                <w:szCs w:val="21"/>
                <w:lang w:bidi="ar"/>
              </w:rPr>
              <w:t>（</w:t>
            </w:r>
            <w:r>
              <w:rPr>
                <w:rStyle w:val="37"/>
                <w:rFonts w:eastAsia="宋体"/>
                <w:sz w:val="21"/>
                <w:szCs w:val="21"/>
                <w:lang w:bidi="ar"/>
              </w:rPr>
              <w:t>1996</w:t>
            </w:r>
            <w:r>
              <w:rPr>
                <w:rStyle w:val="36"/>
                <w:rFonts w:hint="default"/>
                <w:sz w:val="21"/>
                <w:szCs w:val="21"/>
                <w:lang w:bidi="ar"/>
              </w:rPr>
              <w:t>）</w:t>
            </w:r>
          </w:p>
        </w:tc>
        <w:tc>
          <w:tcPr>
            <w:tcW w:w="572"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2BDC2F8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Serious</w:t>
            </w:r>
          </w:p>
        </w:tc>
        <w:tc>
          <w:tcPr>
            <w:tcW w:w="48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3917059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67"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33F0FC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30"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54D4A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06"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613EE17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445DA8B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w:t>
            </w:r>
          </w:p>
        </w:tc>
        <w:tc>
          <w:tcPr>
            <w:tcW w:w="501"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581E5DA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Moderate</w:t>
            </w:r>
          </w:p>
        </w:tc>
        <w:tc>
          <w:tcPr>
            <w:tcW w:w="553" w:type="pct"/>
            <w:tcBorders>
              <w:top w:val="single" w:color="000000" w:sz="4" w:space="0"/>
              <w:left w:val="single" w:color="000000" w:sz="4" w:space="0"/>
              <w:bottom w:val="single" w:color="000000" w:sz="4" w:space="0"/>
              <w:right w:val="single" w:color="000000" w:sz="4" w:space="0"/>
            </w:tcBorders>
            <w:shd w:val="clear" w:color="auto" w:fill="DAE3F3" w:themeFill="accent1" w:themeFillTint="32"/>
            <w:vAlign w:val="center"/>
          </w:tcPr>
          <w:p w14:paraId="1FFCB6F4">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color w:val="FF0000"/>
                <w:kern w:val="0"/>
                <w:szCs w:val="21"/>
                <w:lang w:bidi="ar"/>
              </w:rPr>
              <w:t>Serious</w:t>
            </w:r>
          </w:p>
        </w:tc>
      </w:tr>
    </w:tbl>
    <w:p w14:paraId="3A8E42BD">
      <w:pPr>
        <w:rPr>
          <w:rFonts w:ascii="Times New Roman" w:hAnsi="Times New Roman" w:cs="Times New Roman"/>
          <w:b/>
          <w:bCs/>
          <w:sz w:val="28"/>
          <w:szCs w:val="28"/>
        </w:rPr>
        <w:sectPr>
          <w:pgSz w:w="11906" w:h="16838"/>
          <w:pgMar w:top="1440" w:right="1800" w:bottom="1440" w:left="1800" w:header="851" w:footer="992" w:gutter="0"/>
          <w:cols w:space="425" w:num="1"/>
          <w:docGrid w:type="lines" w:linePitch="312" w:charSpace="0"/>
        </w:sectPr>
      </w:pPr>
    </w:p>
    <w:p w14:paraId="3930F168">
      <w:pPr>
        <w:rPr>
          <w:rFonts w:ascii="Times New Roman" w:hAnsi="Times New Roman" w:cs="Times New Roman"/>
          <w:sz w:val="28"/>
          <w:szCs w:val="28"/>
        </w:rPr>
      </w:pPr>
      <w:bookmarkStart w:id="10" w:name="_Hlk205976183"/>
      <w:r>
        <w:rPr>
          <w:rFonts w:ascii="Times New Roman" w:hAnsi="Times New Roman" w:cs="Times New Roman"/>
          <w:b/>
          <w:bCs/>
          <w:sz w:val="28"/>
          <w:szCs w:val="28"/>
        </w:rPr>
        <w:t xml:space="preserve">Appendix </w:t>
      </w:r>
      <w:r>
        <w:rPr>
          <w:rFonts w:hint="eastAsia" w:ascii="Times New Roman" w:hAnsi="Times New Roman" w:cs="Times New Roman"/>
          <w:b/>
          <w:bCs/>
          <w:sz w:val="28"/>
          <w:szCs w:val="28"/>
        </w:rPr>
        <w:t>4</w:t>
      </w:r>
      <w:bookmarkEnd w:id="10"/>
      <w:r>
        <w:rPr>
          <w:rFonts w:hint="eastAsia" w:ascii="Times New Roman" w:hAnsi="Times New Roman" w:cs="Times New Roman"/>
          <w:b/>
          <w:bCs/>
          <w:sz w:val="28"/>
          <w:szCs w:val="28"/>
        </w:rPr>
        <w:t xml:space="preserve"> </w:t>
      </w:r>
      <w:r>
        <w:rPr>
          <w:rFonts w:ascii="Times New Roman" w:hAnsi="Times New Roman" w:cs="Times New Roman"/>
          <w:sz w:val="28"/>
          <w:szCs w:val="28"/>
        </w:rPr>
        <w:t>Characteristics of Included Studies in the Systematic Review and Meta-analysis</w:t>
      </w:r>
    </w:p>
    <w:p w14:paraId="5917E697">
      <w:pPr>
        <w:jc w:val="left"/>
        <w:rPr>
          <w:rFonts w:ascii="Times New Roman" w:hAnsi="Times New Roman" w:cs="Times New Roman"/>
          <w:sz w:val="24"/>
          <w:szCs w:val="24"/>
        </w:rPr>
      </w:pPr>
      <w:r>
        <w:rPr>
          <w:rFonts w:hint="eastAsia" w:ascii="Times New Roman" w:hAnsi="Times New Roman" w:cs="Times New Roman"/>
          <w:b/>
          <w:bCs/>
          <w:sz w:val="24"/>
          <w:szCs w:val="24"/>
        </w:rPr>
        <w:t xml:space="preserve">Table A7. </w:t>
      </w:r>
      <w:r>
        <w:rPr>
          <w:rFonts w:hint="eastAsia" w:ascii="Times New Roman" w:hAnsi="Times New Roman" w:cs="Times New Roman"/>
          <w:sz w:val="24"/>
          <w:szCs w:val="24"/>
        </w:rPr>
        <w:t xml:space="preserve">Characteristics of </w:t>
      </w:r>
      <w:r>
        <w:rPr>
          <w:rFonts w:hint="eastAsia" w:ascii="Times New Roman" w:hAnsi="Times New Roman" w:cs="Times New Roman"/>
          <w:b/>
          <w:bCs/>
          <w:sz w:val="24"/>
          <w:szCs w:val="24"/>
        </w:rPr>
        <w:t>qualitative research</w:t>
      </w:r>
      <w:r>
        <w:rPr>
          <w:rFonts w:hint="eastAsia" w:ascii="Times New Roman" w:hAnsi="Times New Roman" w:cs="Times New Roman"/>
          <w:sz w:val="24"/>
          <w:szCs w:val="24"/>
        </w:rPr>
        <w:t xml:space="preserve"> on the influencing factors of antibacterial drug prescriptions</w:t>
      </w:r>
    </w:p>
    <w:tbl>
      <w:tblPr>
        <w:tblStyle w:val="6"/>
        <w:tblW w:w="16252" w:type="dxa"/>
        <w:jc w:val="center"/>
        <w:shd w:val="clear" w:color="auto" w:fill="FFFFFF" w:themeFill="background1"/>
        <w:tblLayout w:type="fixed"/>
        <w:tblCellMar>
          <w:top w:w="0" w:type="dxa"/>
          <w:left w:w="108" w:type="dxa"/>
          <w:bottom w:w="0" w:type="dxa"/>
          <w:right w:w="108" w:type="dxa"/>
        </w:tblCellMar>
      </w:tblPr>
      <w:tblGrid>
        <w:gridCol w:w="1223"/>
        <w:gridCol w:w="1560"/>
        <w:gridCol w:w="2294"/>
        <w:gridCol w:w="1079"/>
        <w:gridCol w:w="1680"/>
        <w:gridCol w:w="1434"/>
        <w:gridCol w:w="1602"/>
        <w:gridCol w:w="2011"/>
        <w:gridCol w:w="1748"/>
        <w:gridCol w:w="1621"/>
      </w:tblGrid>
      <w:tr w14:paraId="7C5DB3ED">
        <w:tblPrEx>
          <w:shd w:val="clear" w:color="auto" w:fill="FFFFFF" w:themeFill="background1"/>
          <w:tblCellMar>
            <w:top w:w="0" w:type="dxa"/>
            <w:left w:w="108" w:type="dxa"/>
            <w:bottom w:w="0" w:type="dxa"/>
            <w:right w:w="108" w:type="dxa"/>
          </w:tblCellMar>
        </w:tblPrEx>
        <w:trPr>
          <w:cantSplit/>
          <w:trHeight w:val="0" w:hRule="atLeast"/>
          <w:tblHeader/>
          <w:jc w:val="center"/>
        </w:trPr>
        <w:tc>
          <w:tcPr>
            <w:tcW w:w="1223" w:type="dxa"/>
            <w:tcBorders>
              <w:top w:val="nil"/>
              <w:left w:val="nil"/>
              <w:bottom w:val="nil"/>
              <w:right w:val="nil"/>
            </w:tcBorders>
            <w:shd w:val="clear" w:color="auto" w:fill="8EAADB" w:themeFill="accent1" w:themeFillTint="99"/>
            <w:vAlign w:val="center"/>
          </w:tcPr>
          <w:p w14:paraId="3B7D1DC5">
            <w:pPr>
              <w:widowControl/>
              <w:snapToGrid w:val="0"/>
              <w:ind w:left="0" w:leftChars="0" w:right="0" w:rightChars="0" w:firstLine="0" w:firstLineChars="0"/>
              <w:jc w:val="center"/>
              <w:textAlignment w:val="center"/>
              <w:rPr>
                <w:rFonts w:ascii="Times New Roman" w:hAnsi="Times New Roman" w:eastAsia="宋体" w:cs="Times New Roman"/>
                <w:b/>
                <w:bCs/>
                <w:color w:val="000000"/>
                <w:kern w:val="0"/>
                <w:sz w:val="22"/>
                <w:lang w:bidi="ar"/>
              </w:rPr>
            </w:pPr>
            <w:r>
              <w:rPr>
                <w:rFonts w:ascii="Times New Roman" w:hAnsi="Times New Roman" w:eastAsia="宋体" w:cs="Times New Roman"/>
                <w:b/>
                <w:bCs/>
                <w:color w:val="000000"/>
                <w:kern w:val="0"/>
                <w:sz w:val="22"/>
                <w:lang w:bidi="ar"/>
              </w:rPr>
              <w:t>Author</w:t>
            </w:r>
          </w:p>
          <w:p w14:paraId="24C6372C">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w:t>
            </w:r>
            <w:r>
              <w:rPr>
                <w:rFonts w:hint="eastAsia" w:ascii="Times New Roman" w:hAnsi="Times New Roman" w:eastAsia="宋体" w:cs="Times New Roman"/>
                <w:b/>
                <w:bCs/>
                <w:color w:val="000000"/>
                <w:kern w:val="0"/>
                <w:sz w:val="22"/>
                <w:lang w:bidi="ar"/>
              </w:rPr>
              <w:t>Year</w:t>
            </w:r>
            <w:r>
              <w:rPr>
                <w:rFonts w:ascii="Times New Roman" w:hAnsi="Times New Roman" w:eastAsia="宋体" w:cs="Times New Roman"/>
                <w:b/>
                <w:bCs/>
                <w:color w:val="000000"/>
                <w:kern w:val="0"/>
                <w:sz w:val="22"/>
                <w:lang w:bidi="ar"/>
              </w:rPr>
              <w:t>)</w:t>
            </w:r>
          </w:p>
        </w:tc>
        <w:tc>
          <w:tcPr>
            <w:tcW w:w="1560" w:type="dxa"/>
            <w:tcBorders>
              <w:top w:val="nil"/>
              <w:left w:val="nil"/>
              <w:bottom w:val="nil"/>
              <w:right w:val="nil"/>
            </w:tcBorders>
            <w:shd w:val="clear" w:color="auto" w:fill="8EAADB" w:themeFill="accent1" w:themeFillTint="99"/>
            <w:vAlign w:val="center"/>
          </w:tcPr>
          <w:p w14:paraId="633F55E5">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Domain of Influence</w:t>
            </w:r>
          </w:p>
        </w:tc>
        <w:tc>
          <w:tcPr>
            <w:tcW w:w="2294" w:type="dxa"/>
            <w:tcBorders>
              <w:top w:val="nil"/>
              <w:left w:val="nil"/>
              <w:bottom w:val="nil"/>
              <w:right w:val="nil"/>
            </w:tcBorders>
            <w:shd w:val="clear" w:color="auto" w:fill="8EAADB" w:themeFill="accent1" w:themeFillTint="99"/>
            <w:vAlign w:val="center"/>
          </w:tcPr>
          <w:p w14:paraId="0FCF13E7">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Influencing Factors</w:t>
            </w:r>
          </w:p>
        </w:tc>
        <w:tc>
          <w:tcPr>
            <w:tcW w:w="1079" w:type="dxa"/>
            <w:tcBorders>
              <w:top w:val="nil"/>
              <w:left w:val="nil"/>
              <w:bottom w:val="nil"/>
              <w:right w:val="nil"/>
            </w:tcBorders>
            <w:shd w:val="clear" w:color="auto" w:fill="8EAADB" w:themeFill="accent1" w:themeFillTint="99"/>
            <w:vAlign w:val="center"/>
          </w:tcPr>
          <w:p w14:paraId="163B3300">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Setting</w:t>
            </w:r>
          </w:p>
        </w:tc>
        <w:tc>
          <w:tcPr>
            <w:tcW w:w="1680" w:type="dxa"/>
            <w:tcBorders>
              <w:top w:val="nil"/>
              <w:left w:val="nil"/>
              <w:bottom w:val="nil"/>
              <w:right w:val="nil"/>
            </w:tcBorders>
            <w:shd w:val="clear" w:color="auto" w:fill="8EAADB" w:themeFill="accent1" w:themeFillTint="99"/>
            <w:vAlign w:val="center"/>
          </w:tcPr>
          <w:p w14:paraId="782055AC">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Data Collection Method</w:t>
            </w:r>
          </w:p>
        </w:tc>
        <w:tc>
          <w:tcPr>
            <w:tcW w:w="1434" w:type="dxa"/>
            <w:tcBorders>
              <w:top w:val="nil"/>
              <w:left w:val="nil"/>
              <w:bottom w:val="nil"/>
              <w:right w:val="nil"/>
            </w:tcBorders>
            <w:shd w:val="clear" w:color="auto" w:fill="8EAADB" w:themeFill="accent1" w:themeFillTint="99"/>
            <w:vAlign w:val="center"/>
          </w:tcPr>
          <w:p w14:paraId="0B839D0D">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Sample Size</w:t>
            </w:r>
          </w:p>
        </w:tc>
        <w:tc>
          <w:tcPr>
            <w:tcW w:w="1602" w:type="dxa"/>
            <w:tcBorders>
              <w:top w:val="nil"/>
              <w:left w:val="nil"/>
              <w:bottom w:val="nil"/>
              <w:right w:val="nil"/>
            </w:tcBorders>
            <w:shd w:val="clear" w:color="auto" w:fill="8EAADB" w:themeFill="accent1" w:themeFillTint="99"/>
            <w:vAlign w:val="center"/>
          </w:tcPr>
          <w:p w14:paraId="532CAF0C">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Disease Diagnosis</w:t>
            </w:r>
          </w:p>
        </w:tc>
        <w:tc>
          <w:tcPr>
            <w:tcW w:w="2011" w:type="dxa"/>
            <w:tcBorders>
              <w:top w:val="nil"/>
              <w:left w:val="nil"/>
              <w:bottom w:val="nil"/>
              <w:right w:val="nil"/>
            </w:tcBorders>
            <w:shd w:val="clear" w:color="auto" w:fill="8EAADB" w:themeFill="accent1" w:themeFillTint="99"/>
            <w:vAlign w:val="center"/>
          </w:tcPr>
          <w:p w14:paraId="74444974">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Key Findings</w:t>
            </w:r>
          </w:p>
        </w:tc>
        <w:tc>
          <w:tcPr>
            <w:tcW w:w="1748" w:type="dxa"/>
            <w:tcBorders>
              <w:top w:val="nil"/>
              <w:left w:val="nil"/>
              <w:bottom w:val="nil"/>
              <w:right w:val="nil"/>
            </w:tcBorders>
            <w:shd w:val="clear" w:color="auto" w:fill="8EAADB" w:themeFill="accent1" w:themeFillTint="99"/>
            <w:vAlign w:val="center"/>
          </w:tcPr>
          <w:p w14:paraId="7AC2EF22">
            <w:pPr>
              <w:widowControl/>
              <w:snapToGrid w:val="0"/>
              <w:ind w:left="0" w:leftChars="0" w:right="0" w:rightChars="0" w:firstLine="0" w:firstLineChars="0"/>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lang w:bidi="ar"/>
              </w:rPr>
              <w:t>Recommended Interventions</w:t>
            </w:r>
          </w:p>
        </w:tc>
        <w:tc>
          <w:tcPr>
            <w:tcW w:w="1621" w:type="dxa"/>
            <w:tcBorders>
              <w:top w:val="nil"/>
              <w:left w:val="nil"/>
              <w:bottom w:val="nil"/>
              <w:right w:val="nil"/>
            </w:tcBorders>
            <w:shd w:val="clear" w:color="auto" w:fill="8EAADB" w:themeFill="accent1" w:themeFillTint="99"/>
            <w:vAlign w:val="center"/>
          </w:tcPr>
          <w:p w14:paraId="66F37A0F">
            <w:pPr>
              <w:widowControl/>
              <w:snapToGrid w:val="0"/>
              <w:ind w:left="0" w:leftChars="0" w:right="0" w:rightChars="0" w:firstLine="0" w:firstLineChars="0"/>
              <w:jc w:val="center"/>
              <w:textAlignment w:val="center"/>
              <w:rPr>
                <w:rFonts w:ascii="Times New Roman" w:hAnsi="Times New Roman" w:eastAsia="宋体" w:cs="Times New Roman"/>
                <w:b/>
                <w:bCs/>
                <w:color w:val="000000"/>
                <w:kern w:val="0"/>
                <w:sz w:val="22"/>
                <w:lang w:bidi="ar"/>
              </w:rPr>
            </w:pPr>
            <w:r>
              <w:rPr>
                <w:rFonts w:hint="eastAsia" w:ascii="Times New Roman" w:hAnsi="Times New Roman" w:eastAsia="宋体" w:cs="Times New Roman"/>
                <w:b/>
                <w:bCs/>
                <w:color w:val="000000"/>
                <w:kern w:val="0"/>
                <w:sz w:val="22"/>
                <w:lang w:bidi="ar"/>
              </w:rPr>
              <w:t>AMS Infrastructure/Support</w:t>
            </w:r>
          </w:p>
        </w:tc>
      </w:tr>
      <w:tr w14:paraId="19657175">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3CEE0D8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Alyssa M Pandolfoet al.</w:t>
            </w:r>
            <w:r>
              <w:rPr>
                <w:rFonts w:hint="eastAsia" w:ascii="Times New Roman" w:hAnsi="Times New Roman" w:eastAsia="宋体" w:cs="Times New Roman"/>
                <w:color w:val="000000"/>
                <w:kern w:val="0"/>
                <w:sz w:val="22"/>
                <w:lang w:bidi="ar"/>
              </w:rPr>
              <w:t>(2022)</w:t>
            </w:r>
          </w:p>
        </w:tc>
        <w:tc>
          <w:tcPr>
            <w:tcW w:w="1560" w:type="dxa"/>
            <w:tcBorders>
              <w:top w:val="nil"/>
              <w:left w:val="nil"/>
              <w:bottom w:val="nil"/>
              <w:right w:val="nil"/>
            </w:tcBorders>
            <w:shd w:val="clear" w:color="auto" w:fill="FFFFFF" w:themeFill="background1"/>
            <w:vAlign w:val="center"/>
          </w:tcPr>
          <w:p w14:paraId="138A5F2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Diagnostic uncertainty</w:t>
            </w:r>
          </w:p>
        </w:tc>
        <w:tc>
          <w:tcPr>
            <w:tcW w:w="2294" w:type="dxa"/>
            <w:tcBorders>
              <w:top w:val="nil"/>
              <w:left w:val="nil"/>
              <w:bottom w:val="nil"/>
              <w:right w:val="nil"/>
            </w:tcBorders>
            <w:shd w:val="clear" w:color="auto" w:fill="FFFFFF" w:themeFill="background1"/>
            <w:vAlign w:val="center"/>
          </w:tcPr>
          <w:p w14:paraId="3E71CE0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2EF9175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 UK ICUs</w:t>
            </w:r>
          </w:p>
        </w:tc>
        <w:tc>
          <w:tcPr>
            <w:tcW w:w="1680" w:type="dxa"/>
            <w:tcBorders>
              <w:top w:val="nil"/>
              <w:left w:val="nil"/>
              <w:bottom w:val="nil"/>
              <w:right w:val="nil"/>
            </w:tcBorders>
            <w:shd w:val="clear" w:color="auto" w:fill="FFFFFF" w:themeFill="background1"/>
            <w:vAlign w:val="center"/>
          </w:tcPr>
          <w:p w14:paraId="25004A2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Focus groups (4), interviews (34)</w:t>
            </w:r>
          </w:p>
        </w:tc>
        <w:tc>
          <w:tcPr>
            <w:tcW w:w="1434" w:type="dxa"/>
            <w:tcBorders>
              <w:top w:val="nil"/>
              <w:left w:val="nil"/>
              <w:bottom w:val="nil"/>
              <w:right w:val="nil"/>
            </w:tcBorders>
            <w:shd w:val="clear" w:color="auto" w:fill="FFFFFF" w:themeFill="background1"/>
            <w:vAlign w:val="center"/>
          </w:tcPr>
          <w:p w14:paraId="172A92B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 focus group, 34 interviews</w:t>
            </w:r>
          </w:p>
        </w:tc>
        <w:tc>
          <w:tcPr>
            <w:tcW w:w="1602" w:type="dxa"/>
            <w:tcBorders>
              <w:top w:val="nil"/>
              <w:left w:val="nil"/>
              <w:bottom w:val="nil"/>
              <w:right w:val="nil"/>
            </w:tcBorders>
            <w:shd w:val="clear" w:color="auto" w:fill="FFFFFF" w:themeFill="background1"/>
            <w:vAlign w:val="center"/>
          </w:tcPr>
          <w:p w14:paraId="574A4AD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Lower respiratory infections</w:t>
            </w:r>
          </w:p>
        </w:tc>
        <w:tc>
          <w:tcPr>
            <w:tcW w:w="2011" w:type="dxa"/>
            <w:tcBorders>
              <w:top w:val="nil"/>
              <w:left w:val="nil"/>
              <w:bottom w:val="nil"/>
              <w:right w:val="nil"/>
            </w:tcBorders>
            <w:shd w:val="clear" w:color="auto" w:fill="FFFFFF" w:themeFill="background1"/>
            <w:vAlign w:val="center"/>
          </w:tcPr>
          <w:p w14:paraId="58252ECF">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Doctors prioritize "safety" when uncertain, outweighing AMR concerns.</w:t>
            </w:r>
          </w:p>
        </w:tc>
        <w:tc>
          <w:tcPr>
            <w:tcW w:w="1748" w:type="dxa"/>
            <w:tcBorders>
              <w:top w:val="nil"/>
              <w:left w:val="nil"/>
              <w:bottom w:val="nil"/>
              <w:right w:val="nil"/>
            </w:tcBorders>
            <w:shd w:val="clear" w:color="auto" w:fill="FFFFFF" w:themeFill="background1"/>
            <w:vAlign w:val="center"/>
          </w:tcPr>
          <w:p w14:paraId="258190D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Target stewardship to protective instincts; promote rapid diagnostics (hours), improve communication.</w:t>
            </w:r>
          </w:p>
        </w:tc>
        <w:tc>
          <w:tcPr>
            <w:tcW w:w="1621" w:type="dxa"/>
            <w:tcBorders>
              <w:top w:val="nil"/>
              <w:left w:val="nil"/>
              <w:bottom w:val="nil"/>
              <w:right w:val="nil"/>
            </w:tcBorders>
            <w:shd w:val="clear" w:color="auto" w:fill="FFFFFF" w:themeFill="background1"/>
            <w:vAlign w:val="center"/>
          </w:tcPr>
          <w:p w14:paraId="17AD69D1">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68FE1DCE">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38A9C9D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Chansamouth V et al.</w:t>
            </w:r>
            <w:r>
              <w:rPr>
                <w:rFonts w:hint="eastAsia" w:ascii="Times New Roman" w:hAnsi="Times New Roman" w:eastAsia="宋体" w:cs="Times New Roman"/>
                <w:color w:val="000000"/>
                <w:kern w:val="0"/>
                <w:sz w:val="22"/>
                <w:lang w:bidi="ar"/>
              </w:rPr>
              <w:t>(2024)</w:t>
            </w:r>
          </w:p>
        </w:tc>
        <w:tc>
          <w:tcPr>
            <w:tcW w:w="1560" w:type="dxa"/>
            <w:tcBorders>
              <w:top w:val="nil"/>
              <w:left w:val="nil"/>
              <w:bottom w:val="nil"/>
              <w:right w:val="nil"/>
            </w:tcBorders>
            <w:shd w:val="clear" w:color="auto" w:fill="FFFFFF" w:themeFill="background1"/>
            <w:vAlign w:val="center"/>
          </w:tcPr>
          <w:p w14:paraId="64B1698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Resources, guideline uptake</w:t>
            </w:r>
          </w:p>
        </w:tc>
        <w:tc>
          <w:tcPr>
            <w:tcW w:w="2294" w:type="dxa"/>
            <w:tcBorders>
              <w:top w:val="nil"/>
              <w:left w:val="nil"/>
              <w:bottom w:val="nil"/>
              <w:right w:val="nil"/>
            </w:tcBorders>
            <w:shd w:val="clear" w:color="auto" w:fill="FFFFFF" w:themeFill="background1"/>
            <w:vAlign w:val="center"/>
          </w:tcPr>
          <w:p w14:paraId="0529C51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2E7A0E6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Lao hospitals</w:t>
            </w:r>
          </w:p>
        </w:tc>
        <w:tc>
          <w:tcPr>
            <w:tcW w:w="1680" w:type="dxa"/>
            <w:tcBorders>
              <w:top w:val="nil"/>
              <w:left w:val="nil"/>
              <w:bottom w:val="nil"/>
              <w:right w:val="nil"/>
            </w:tcBorders>
            <w:shd w:val="clear" w:color="auto" w:fill="FFFFFF" w:themeFill="background1"/>
            <w:vAlign w:val="center"/>
          </w:tcPr>
          <w:p w14:paraId="1B86FDC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In-depth interviews</w:t>
            </w:r>
          </w:p>
        </w:tc>
        <w:tc>
          <w:tcPr>
            <w:tcW w:w="1434" w:type="dxa"/>
            <w:tcBorders>
              <w:top w:val="nil"/>
              <w:left w:val="nil"/>
              <w:bottom w:val="nil"/>
              <w:right w:val="nil"/>
            </w:tcBorders>
            <w:shd w:val="clear" w:color="auto" w:fill="FFFFFF" w:themeFill="background1"/>
            <w:vAlign w:val="center"/>
          </w:tcPr>
          <w:p w14:paraId="24C280E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 prescribers</w:t>
            </w:r>
          </w:p>
        </w:tc>
        <w:tc>
          <w:tcPr>
            <w:tcW w:w="1602" w:type="dxa"/>
            <w:tcBorders>
              <w:top w:val="nil"/>
              <w:left w:val="nil"/>
              <w:bottom w:val="nil"/>
              <w:right w:val="nil"/>
            </w:tcBorders>
            <w:shd w:val="clear" w:color="auto" w:fill="FFFFFF" w:themeFill="background1"/>
            <w:vAlign w:val="center"/>
          </w:tcPr>
          <w:p w14:paraId="54D7EDF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use</w:t>
            </w:r>
          </w:p>
        </w:tc>
        <w:tc>
          <w:tcPr>
            <w:tcW w:w="2011" w:type="dxa"/>
            <w:tcBorders>
              <w:top w:val="nil"/>
              <w:left w:val="nil"/>
              <w:bottom w:val="nil"/>
              <w:right w:val="nil"/>
            </w:tcBorders>
            <w:shd w:val="clear" w:color="auto" w:fill="FFFFFF" w:themeFill="background1"/>
            <w:vAlign w:val="center"/>
          </w:tcPr>
          <w:p w14:paraId="7AD0101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Decisions rely on clinical judgment amid resource constraints; low guideline utilization.</w:t>
            </w:r>
          </w:p>
        </w:tc>
        <w:tc>
          <w:tcPr>
            <w:tcW w:w="1748" w:type="dxa"/>
            <w:tcBorders>
              <w:top w:val="nil"/>
              <w:left w:val="nil"/>
              <w:bottom w:val="nil"/>
              <w:right w:val="nil"/>
            </w:tcBorders>
            <w:shd w:val="clear" w:color="auto" w:fill="FFFFFF" w:themeFill="background1"/>
            <w:vAlign w:val="center"/>
          </w:tcPr>
          <w:p w14:paraId="1B061E8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Enhance ID training; ensure antibiotic supply; guideline updates; leadership monitoring/feedback.</w:t>
            </w:r>
          </w:p>
        </w:tc>
        <w:tc>
          <w:tcPr>
            <w:tcW w:w="1621" w:type="dxa"/>
            <w:tcBorders>
              <w:top w:val="nil"/>
              <w:left w:val="nil"/>
              <w:bottom w:val="nil"/>
              <w:right w:val="nil"/>
            </w:tcBorders>
            <w:shd w:val="clear" w:color="auto" w:fill="FFFFFF" w:themeFill="background1"/>
            <w:vAlign w:val="center"/>
          </w:tcPr>
          <w:p w14:paraId="53AF1644">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32D7406D">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6E4C2C7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 Livorsi et al.</w:t>
            </w:r>
            <w:r>
              <w:rPr>
                <w:rFonts w:hint="eastAsia" w:ascii="Times New Roman" w:hAnsi="Times New Roman" w:eastAsia="宋体" w:cs="Times New Roman"/>
                <w:color w:val="000000"/>
                <w:kern w:val="0"/>
                <w:sz w:val="22"/>
                <w:lang w:bidi="ar"/>
              </w:rPr>
              <w:t>（2015）</w:t>
            </w:r>
          </w:p>
        </w:tc>
        <w:tc>
          <w:tcPr>
            <w:tcW w:w="1560" w:type="dxa"/>
            <w:tcBorders>
              <w:top w:val="nil"/>
              <w:left w:val="nil"/>
              <w:bottom w:val="nil"/>
              <w:right w:val="nil"/>
            </w:tcBorders>
            <w:shd w:val="clear" w:color="auto" w:fill="FFFFFF" w:themeFill="background1"/>
            <w:vAlign w:val="center"/>
          </w:tcPr>
          <w:p w14:paraId="7B5362A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Fear of missed diagnoses, hierarchy, feedback barriers</w:t>
            </w:r>
          </w:p>
        </w:tc>
        <w:tc>
          <w:tcPr>
            <w:tcW w:w="2294" w:type="dxa"/>
            <w:tcBorders>
              <w:top w:val="nil"/>
              <w:left w:val="nil"/>
              <w:bottom w:val="nil"/>
              <w:right w:val="nil"/>
            </w:tcBorders>
            <w:shd w:val="clear" w:color="auto" w:fill="FFFFFF" w:themeFill="background1"/>
            <w:vAlign w:val="center"/>
          </w:tcPr>
          <w:p w14:paraId="48FC267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Prescriber Factors</w:t>
            </w:r>
          </w:p>
        </w:tc>
        <w:tc>
          <w:tcPr>
            <w:tcW w:w="1079" w:type="dxa"/>
            <w:tcBorders>
              <w:top w:val="nil"/>
              <w:left w:val="nil"/>
              <w:bottom w:val="nil"/>
              <w:right w:val="nil"/>
            </w:tcBorders>
            <w:shd w:val="clear" w:color="auto" w:fill="FFFFFF" w:themeFill="background1"/>
            <w:vAlign w:val="center"/>
          </w:tcPr>
          <w:p w14:paraId="0C5B701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 teaching hospitals in Indiana, USA</w:t>
            </w:r>
          </w:p>
        </w:tc>
        <w:tc>
          <w:tcPr>
            <w:tcW w:w="1680" w:type="dxa"/>
            <w:tcBorders>
              <w:top w:val="nil"/>
              <w:left w:val="nil"/>
              <w:bottom w:val="nil"/>
              <w:right w:val="nil"/>
            </w:tcBorders>
            <w:shd w:val="clear" w:color="auto" w:fill="FFFFFF" w:themeFill="background1"/>
            <w:vAlign w:val="center"/>
          </w:tcPr>
          <w:p w14:paraId="2AE77D7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w:t>
            </w:r>
          </w:p>
        </w:tc>
        <w:tc>
          <w:tcPr>
            <w:tcW w:w="1434" w:type="dxa"/>
            <w:tcBorders>
              <w:top w:val="nil"/>
              <w:left w:val="nil"/>
              <w:bottom w:val="nil"/>
              <w:right w:val="nil"/>
            </w:tcBorders>
            <w:shd w:val="clear" w:color="auto" w:fill="FFFFFF" w:themeFill="background1"/>
            <w:vAlign w:val="center"/>
          </w:tcPr>
          <w:p w14:paraId="0DC6168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 residents (10 interns, 20 attending physicians)</w:t>
            </w:r>
          </w:p>
        </w:tc>
        <w:tc>
          <w:tcPr>
            <w:tcW w:w="1602" w:type="dxa"/>
            <w:tcBorders>
              <w:top w:val="nil"/>
              <w:left w:val="nil"/>
              <w:bottom w:val="nil"/>
              <w:right w:val="nil"/>
            </w:tcBorders>
            <w:shd w:val="clear" w:color="auto" w:fill="FFFFFF" w:themeFill="background1"/>
            <w:vAlign w:val="center"/>
          </w:tcPr>
          <w:p w14:paraId="035B050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use decisions (various infections)</w:t>
            </w:r>
          </w:p>
        </w:tc>
        <w:tc>
          <w:tcPr>
            <w:tcW w:w="2011" w:type="dxa"/>
            <w:tcBorders>
              <w:top w:val="nil"/>
              <w:left w:val="nil"/>
              <w:bottom w:val="nil"/>
              <w:right w:val="nil"/>
            </w:tcBorders>
            <w:shd w:val="clear" w:color="auto" w:fill="FFFFFF" w:themeFill="background1"/>
            <w:vAlign w:val="center"/>
          </w:tcPr>
          <w:p w14:paraId="55DC71B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Prescribing influenced by cultural norms: overuse acceptance, side effect neglect, hierarchy, and lack of peer feedback.</w:t>
            </w:r>
          </w:p>
        </w:tc>
        <w:tc>
          <w:tcPr>
            <w:tcW w:w="1748" w:type="dxa"/>
            <w:tcBorders>
              <w:top w:val="nil"/>
              <w:left w:val="nil"/>
              <w:bottom w:val="nil"/>
              <w:right w:val="nil"/>
            </w:tcBorders>
            <w:shd w:val="clear" w:color="auto" w:fill="FFFFFF" w:themeFill="background1"/>
            <w:vAlign w:val="center"/>
          </w:tcPr>
          <w:p w14:paraId="0502B48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Quality team feedback on side effects, patient discussions, peer benchmarks, non-punitive feedback forums, real-time management input.</w:t>
            </w:r>
          </w:p>
        </w:tc>
        <w:tc>
          <w:tcPr>
            <w:tcW w:w="1621" w:type="dxa"/>
            <w:tcBorders>
              <w:top w:val="nil"/>
              <w:left w:val="nil"/>
              <w:bottom w:val="nil"/>
              <w:right w:val="nil"/>
            </w:tcBorders>
            <w:shd w:val="clear" w:color="auto" w:fill="FFFFFF" w:themeFill="background1"/>
            <w:vAlign w:val="center"/>
          </w:tcPr>
          <w:p w14:paraId="58DE758E">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eastAsia" w:ascii="Times New Roman" w:hAnsi="Times New Roman" w:eastAsia="宋体" w:cs="Times New Roman"/>
                <w:color w:val="000000"/>
                <w:kern w:val="0"/>
                <w:sz w:val="22"/>
                <w:lang w:val="en-US" w:eastAsia="zh-CN" w:bidi="ar"/>
              </w:rPr>
              <w:t>Yes</w:t>
            </w:r>
          </w:p>
        </w:tc>
      </w:tr>
      <w:tr w14:paraId="0C23C761">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354C03F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 Charani et al.</w:t>
            </w:r>
            <w:r>
              <w:rPr>
                <w:rFonts w:hint="eastAsia" w:ascii="Times New Roman" w:hAnsi="Times New Roman" w:eastAsia="宋体" w:cs="Times New Roman"/>
                <w:color w:val="000000"/>
                <w:kern w:val="0"/>
                <w:sz w:val="22"/>
                <w:lang w:bidi="ar"/>
              </w:rPr>
              <w:t>（2013）</w:t>
            </w:r>
          </w:p>
        </w:tc>
        <w:tc>
          <w:tcPr>
            <w:tcW w:w="1560" w:type="dxa"/>
            <w:tcBorders>
              <w:top w:val="nil"/>
              <w:left w:val="nil"/>
              <w:bottom w:val="nil"/>
              <w:right w:val="nil"/>
            </w:tcBorders>
            <w:shd w:val="clear" w:color="auto" w:fill="FFFFFF" w:themeFill="background1"/>
            <w:vAlign w:val="center"/>
          </w:tcPr>
          <w:p w14:paraId="40400E8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Prescribing autonomy, EBM limitations, hierarchical culture</w:t>
            </w:r>
          </w:p>
        </w:tc>
        <w:tc>
          <w:tcPr>
            <w:tcW w:w="2294" w:type="dxa"/>
            <w:tcBorders>
              <w:top w:val="nil"/>
              <w:left w:val="nil"/>
              <w:bottom w:val="nil"/>
              <w:right w:val="nil"/>
            </w:tcBorders>
            <w:shd w:val="clear" w:color="auto" w:fill="FFFFFF" w:themeFill="background1"/>
            <w:vAlign w:val="center"/>
          </w:tcPr>
          <w:p w14:paraId="747AA3B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1FE8812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 London hospitals, UK</w:t>
            </w:r>
          </w:p>
        </w:tc>
        <w:tc>
          <w:tcPr>
            <w:tcW w:w="1680" w:type="dxa"/>
            <w:tcBorders>
              <w:top w:val="nil"/>
              <w:left w:val="nil"/>
              <w:bottom w:val="nil"/>
              <w:right w:val="nil"/>
            </w:tcBorders>
            <w:shd w:val="clear" w:color="auto" w:fill="FFFFFF" w:themeFill="background1"/>
            <w:vAlign w:val="center"/>
          </w:tcPr>
          <w:p w14:paraId="35B0440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w:t>
            </w:r>
          </w:p>
        </w:tc>
        <w:tc>
          <w:tcPr>
            <w:tcW w:w="1434" w:type="dxa"/>
            <w:tcBorders>
              <w:top w:val="nil"/>
              <w:left w:val="nil"/>
              <w:bottom w:val="nil"/>
              <w:right w:val="nil"/>
            </w:tcBorders>
            <w:shd w:val="clear" w:color="auto" w:fill="FFFFFF" w:themeFill="background1"/>
            <w:vAlign w:val="center"/>
          </w:tcPr>
          <w:p w14:paraId="462ED8F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39 healthcare professionals (doctors, pharmacists, nurses)</w:t>
            </w:r>
          </w:p>
        </w:tc>
        <w:tc>
          <w:tcPr>
            <w:tcW w:w="1602" w:type="dxa"/>
            <w:tcBorders>
              <w:top w:val="nil"/>
              <w:left w:val="nil"/>
              <w:bottom w:val="nil"/>
              <w:right w:val="nil"/>
            </w:tcBorders>
            <w:shd w:val="clear" w:color="auto" w:fill="FFFFFF" w:themeFill="background1"/>
            <w:vAlign w:val="center"/>
          </w:tcPr>
          <w:p w14:paraId="0E45A74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prescribing behavior</w:t>
            </w:r>
          </w:p>
        </w:tc>
        <w:tc>
          <w:tcPr>
            <w:tcW w:w="2011" w:type="dxa"/>
            <w:tcBorders>
              <w:top w:val="nil"/>
              <w:left w:val="nil"/>
              <w:bottom w:val="nil"/>
              <w:right w:val="nil"/>
            </w:tcBorders>
            <w:shd w:val="clear" w:color="auto" w:fill="FFFFFF" w:themeFill="background1"/>
            <w:vAlign w:val="center"/>
          </w:tcPr>
          <w:p w14:paraId="212F808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Prescribing governed by unwritten cultural norms ("prescribing etiquette") affecting all staff behaviors.</w:t>
            </w:r>
          </w:p>
        </w:tc>
        <w:tc>
          <w:tcPr>
            <w:tcW w:w="1748" w:type="dxa"/>
            <w:tcBorders>
              <w:top w:val="nil"/>
              <w:left w:val="nil"/>
              <w:bottom w:val="nil"/>
              <w:right w:val="nil"/>
            </w:tcBorders>
            <w:shd w:val="clear" w:color="auto" w:fill="FFFFFF" w:themeFill="background1"/>
            <w:vAlign w:val="center"/>
          </w:tcPr>
          <w:p w14:paraId="366268D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Align interventions with etiquette: involve senior doctors in policy-making, leverage clinical social networks.</w:t>
            </w:r>
          </w:p>
        </w:tc>
        <w:tc>
          <w:tcPr>
            <w:tcW w:w="1621" w:type="dxa"/>
            <w:tcBorders>
              <w:top w:val="nil"/>
              <w:left w:val="nil"/>
              <w:bottom w:val="nil"/>
              <w:right w:val="nil"/>
            </w:tcBorders>
            <w:shd w:val="clear" w:color="auto" w:fill="FFFFFF" w:themeFill="background1"/>
            <w:vAlign w:val="center"/>
          </w:tcPr>
          <w:p w14:paraId="641FE5D5">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eastAsia" w:ascii="Times New Roman" w:hAnsi="Times New Roman" w:eastAsia="宋体" w:cs="Times New Roman"/>
                <w:color w:val="000000"/>
                <w:kern w:val="0"/>
                <w:sz w:val="22"/>
                <w:lang w:val="en-US" w:eastAsia="zh-CN" w:bidi="ar"/>
              </w:rPr>
              <w:t>Yes</w:t>
            </w:r>
          </w:p>
        </w:tc>
      </w:tr>
      <w:tr w14:paraId="5B73E295">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0609149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Eva M. Aagaard et al.</w:t>
            </w:r>
            <w:r>
              <w:rPr>
                <w:rFonts w:hint="eastAsia" w:ascii="Times New Roman" w:hAnsi="Times New Roman" w:eastAsia="宋体" w:cs="Times New Roman"/>
                <w:color w:val="000000"/>
                <w:kern w:val="0"/>
                <w:sz w:val="22"/>
                <w:lang w:bidi="ar"/>
              </w:rPr>
              <w:t>（2010）</w:t>
            </w:r>
          </w:p>
        </w:tc>
        <w:tc>
          <w:tcPr>
            <w:tcW w:w="1560" w:type="dxa"/>
            <w:tcBorders>
              <w:top w:val="nil"/>
              <w:left w:val="nil"/>
              <w:bottom w:val="nil"/>
              <w:right w:val="nil"/>
            </w:tcBorders>
            <w:shd w:val="clear" w:color="auto" w:fill="FFFFFF" w:themeFill="background1"/>
            <w:vAlign w:val="center"/>
          </w:tcPr>
          <w:p w14:paraId="25687CD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Physician champions: role models, leadership</w:t>
            </w:r>
          </w:p>
        </w:tc>
        <w:tc>
          <w:tcPr>
            <w:tcW w:w="2294" w:type="dxa"/>
            <w:tcBorders>
              <w:top w:val="nil"/>
              <w:left w:val="nil"/>
              <w:bottom w:val="nil"/>
              <w:right w:val="nil"/>
            </w:tcBorders>
            <w:shd w:val="clear" w:color="auto" w:fill="FFFFFF" w:themeFill="background1"/>
            <w:vAlign w:val="center"/>
          </w:tcPr>
          <w:p w14:paraId="348AFC1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52F67F2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Emergency departments (EDs) across US</w:t>
            </w:r>
          </w:p>
        </w:tc>
        <w:tc>
          <w:tcPr>
            <w:tcW w:w="1680" w:type="dxa"/>
            <w:tcBorders>
              <w:top w:val="nil"/>
              <w:left w:val="nil"/>
              <w:bottom w:val="nil"/>
              <w:right w:val="nil"/>
            </w:tcBorders>
            <w:shd w:val="clear" w:color="auto" w:fill="FFFFFF" w:themeFill="background1"/>
            <w:vAlign w:val="center"/>
          </w:tcPr>
          <w:p w14:paraId="557827B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Focus groups (7 EDs), semi-structured interviews , covert observer assessments</w:t>
            </w:r>
          </w:p>
        </w:tc>
        <w:tc>
          <w:tcPr>
            <w:tcW w:w="1434" w:type="dxa"/>
            <w:tcBorders>
              <w:top w:val="nil"/>
              <w:left w:val="nil"/>
              <w:bottom w:val="nil"/>
              <w:right w:val="nil"/>
            </w:tcBorders>
            <w:shd w:val="clear" w:color="auto" w:fill="FFFFFF" w:themeFill="background1"/>
            <w:vAlign w:val="center"/>
          </w:tcPr>
          <w:p w14:paraId="7D97CA8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 EDs (8 VA + 8 non-VA hospitals)</w:t>
            </w:r>
          </w:p>
        </w:tc>
        <w:tc>
          <w:tcPr>
            <w:tcW w:w="1602" w:type="dxa"/>
            <w:tcBorders>
              <w:top w:val="nil"/>
              <w:left w:val="nil"/>
              <w:bottom w:val="nil"/>
              <w:right w:val="nil"/>
            </w:tcBorders>
            <w:shd w:val="clear" w:color="auto" w:fill="FFFFFF" w:themeFill="background1"/>
            <w:vAlign w:val="center"/>
          </w:tcPr>
          <w:p w14:paraId="4341885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Acute respiratory infections (ARIs)</w:t>
            </w:r>
          </w:p>
        </w:tc>
        <w:tc>
          <w:tcPr>
            <w:tcW w:w="2011" w:type="dxa"/>
            <w:tcBorders>
              <w:top w:val="nil"/>
              <w:left w:val="nil"/>
              <w:bottom w:val="nil"/>
              <w:right w:val="nil"/>
            </w:tcBorders>
            <w:shd w:val="clear" w:color="auto" w:fill="FFFFFF" w:themeFill="background1"/>
            <w:vAlign w:val="center"/>
          </w:tcPr>
          <w:p w14:paraId="44184FA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Physician champions are critical for QI success via expertise, advocacy, and peer modeling.</w:t>
            </w:r>
          </w:p>
        </w:tc>
        <w:tc>
          <w:tcPr>
            <w:tcW w:w="1748" w:type="dxa"/>
            <w:tcBorders>
              <w:top w:val="nil"/>
              <w:left w:val="nil"/>
              <w:bottom w:val="nil"/>
              <w:right w:val="nil"/>
            </w:tcBorders>
            <w:shd w:val="clear" w:color="auto" w:fill="FFFFFF" w:themeFill="background1"/>
            <w:vAlign w:val="center"/>
          </w:tcPr>
          <w:p w14:paraId="73B41ED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Prioritize identifying/developing champions and assessing organizational influences in QI projects.</w:t>
            </w:r>
          </w:p>
        </w:tc>
        <w:tc>
          <w:tcPr>
            <w:tcW w:w="1621" w:type="dxa"/>
            <w:tcBorders>
              <w:top w:val="nil"/>
              <w:left w:val="nil"/>
              <w:bottom w:val="nil"/>
              <w:right w:val="nil"/>
            </w:tcBorders>
            <w:shd w:val="clear" w:color="auto" w:fill="FFFFFF" w:themeFill="background1"/>
            <w:vAlign w:val="center"/>
          </w:tcPr>
          <w:p w14:paraId="62E79E0C">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08BF6BDC">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653F504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Ingrid Christensenet al.</w:t>
            </w:r>
            <w:r>
              <w:rPr>
                <w:rFonts w:hint="eastAsia" w:ascii="Times New Roman" w:hAnsi="Times New Roman" w:eastAsia="宋体" w:cs="Times New Roman"/>
                <w:color w:val="000000"/>
                <w:kern w:val="0"/>
                <w:sz w:val="22"/>
                <w:lang w:bidi="ar"/>
              </w:rPr>
              <w:t>(2022)</w:t>
            </w:r>
          </w:p>
        </w:tc>
        <w:tc>
          <w:tcPr>
            <w:tcW w:w="1560" w:type="dxa"/>
            <w:tcBorders>
              <w:top w:val="nil"/>
              <w:left w:val="nil"/>
              <w:bottom w:val="nil"/>
              <w:right w:val="nil"/>
            </w:tcBorders>
            <w:shd w:val="clear" w:color="auto" w:fill="FFFFFF" w:themeFill="background1"/>
            <w:vAlign w:val="center"/>
          </w:tcPr>
          <w:p w14:paraId="48F6C14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Parental expectations, SES, recovery demands</w:t>
            </w:r>
          </w:p>
        </w:tc>
        <w:tc>
          <w:tcPr>
            <w:tcW w:w="2294" w:type="dxa"/>
            <w:tcBorders>
              <w:top w:val="nil"/>
              <w:left w:val="nil"/>
              <w:bottom w:val="nil"/>
              <w:right w:val="nil"/>
            </w:tcBorders>
            <w:shd w:val="clear" w:color="auto" w:fill="FFFFFF" w:themeFill="background1"/>
            <w:vAlign w:val="center"/>
          </w:tcPr>
          <w:p w14:paraId="3D62923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Patient Factors</w:t>
            </w:r>
          </w:p>
        </w:tc>
        <w:tc>
          <w:tcPr>
            <w:tcW w:w="1079" w:type="dxa"/>
            <w:tcBorders>
              <w:top w:val="nil"/>
              <w:left w:val="nil"/>
              <w:bottom w:val="nil"/>
              <w:right w:val="nil"/>
            </w:tcBorders>
            <w:shd w:val="clear" w:color="auto" w:fill="FFFFFF" w:themeFill="background1"/>
            <w:vAlign w:val="center"/>
          </w:tcPr>
          <w:p w14:paraId="098F5F3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Norwegian hospitals</w:t>
            </w:r>
          </w:p>
        </w:tc>
        <w:tc>
          <w:tcPr>
            <w:tcW w:w="1680" w:type="dxa"/>
            <w:tcBorders>
              <w:top w:val="nil"/>
              <w:left w:val="nil"/>
              <w:bottom w:val="nil"/>
              <w:right w:val="nil"/>
            </w:tcBorders>
            <w:shd w:val="clear" w:color="auto" w:fill="FFFFFF" w:themeFill="background1"/>
            <w:vAlign w:val="center"/>
          </w:tcPr>
          <w:p w14:paraId="5C4536D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Interviews, focus groups</w:t>
            </w:r>
          </w:p>
        </w:tc>
        <w:tc>
          <w:tcPr>
            <w:tcW w:w="1434" w:type="dxa"/>
            <w:tcBorders>
              <w:top w:val="nil"/>
              <w:left w:val="nil"/>
              <w:bottom w:val="nil"/>
              <w:right w:val="nil"/>
            </w:tcBorders>
            <w:shd w:val="clear" w:color="auto" w:fill="FFFFFF" w:themeFill="background1"/>
            <w:vAlign w:val="center"/>
          </w:tcPr>
          <w:p w14:paraId="6654EEB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 hospital doctors</w:t>
            </w:r>
          </w:p>
        </w:tc>
        <w:tc>
          <w:tcPr>
            <w:tcW w:w="1602" w:type="dxa"/>
            <w:tcBorders>
              <w:top w:val="nil"/>
              <w:left w:val="nil"/>
              <w:bottom w:val="nil"/>
              <w:right w:val="nil"/>
            </w:tcBorders>
            <w:shd w:val="clear" w:color="auto" w:fill="FFFFFF" w:themeFill="background1"/>
            <w:vAlign w:val="center"/>
          </w:tcPr>
          <w:p w14:paraId="6356561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prescribing</w:t>
            </w:r>
          </w:p>
        </w:tc>
        <w:tc>
          <w:tcPr>
            <w:tcW w:w="2011" w:type="dxa"/>
            <w:tcBorders>
              <w:top w:val="nil"/>
              <w:left w:val="nil"/>
              <w:bottom w:val="nil"/>
              <w:right w:val="nil"/>
            </w:tcBorders>
            <w:shd w:val="clear" w:color="auto" w:fill="FFFFFF" w:themeFill="background1"/>
            <w:vAlign w:val="center"/>
          </w:tcPr>
          <w:p w14:paraId="023297D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Workflow pressures, certainty needs, and good intentions drive overuse.</w:t>
            </w:r>
          </w:p>
        </w:tc>
        <w:tc>
          <w:tcPr>
            <w:tcW w:w="1748" w:type="dxa"/>
            <w:tcBorders>
              <w:top w:val="nil"/>
              <w:left w:val="nil"/>
              <w:bottom w:val="nil"/>
              <w:right w:val="nil"/>
            </w:tcBorders>
            <w:shd w:val="clear" w:color="auto" w:fill="FFFFFF" w:themeFill="background1"/>
            <w:vAlign w:val="center"/>
          </w:tcPr>
          <w:p w14:paraId="69F8C06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Reduce time pressures (staffing/bed management); improve lab/consultation processes.</w:t>
            </w:r>
          </w:p>
        </w:tc>
        <w:tc>
          <w:tcPr>
            <w:tcW w:w="1621" w:type="dxa"/>
            <w:tcBorders>
              <w:top w:val="nil"/>
              <w:left w:val="nil"/>
              <w:bottom w:val="nil"/>
              <w:right w:val="nil"/>
            </w:tcBorders>
            <w:shd w:val="clear" w:color="auto" w:fill="FFFFFF" w:themeFill="background1"/>
            <w:vAlign w:val="center"/>
          </w:tcPr>
          <w:p w14:paraId="03ACB170">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02E93947">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322D9F5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Jennifer K. Broom et al.</w:t>
            </w:r>
            <w:r>
              <w:rPr>
                <w:rFonts w:hint="eastAsia" w:ascii="Times New Roman" w:hAnsi="Times New Roman" w:eastAsia="宋体" w:cs="Times New Roman"/>
                <w:color w:val="000000"/>
                <w:kern w:val="0"/>
                <w:sz w:val="22"/>
                <w:lang w:bidi="ar"/>
              </w:rPr>
              <w:t>（2018）</w:t>
            </w:r>
          </w:p>
        </w:tc>
        <w:tc>
          <w:tcPr>
            <w:tcW w:w="1560" w:type="dxa"/>
            <w:tcBorders>
              <w:top w:val="nil"/>
              <w:left w:val="nil"/>
              <w:bottom w:val="nil"/>
              <w:right w:val="nil"/>
            </w:tcBorders>
            <w:shd w:val="clear" w:color="auto" w:fill="FFFFFF" w:themeFill="background1"/>
            <w:vAlign w:val="center"/>
          </w:tcPr>
          <w:p w14:paraId="1B4680D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Team dynamics, risk attribution, hierarchy</w:t>
            </w:r>
          </w:p>
        </w:tc>
        <w:tc>
          <w:tcPr>
            <w:tcW w:w="2294" w:type="dxa"/>
            <w:tcBorders>
              <w:top w:val="nil"/>
              <w:left w:val="nil"/>
              <w:bottom w:val="nil"/>
              <w:right w:val="nil"/>
            </w:tcBorders>
            <w:shd w:val="clear" w:color="auto" w:fill="FFFFFF" w:themeFill="background1"/>
            <w:vAlign w:val="center"/>
          </w:tcPr>
          <w:p w14:paraId="7AC9360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1429C14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Australian hospitals</w:t>
            </w:r>
          </w:p>
        </w:tc>
        <w:tc>
          <w:tcPr>
            <w:tcW w:w="1680" w:type="dxa"/>
            <w:tcBorders>
              <w:top w:val="nil"/>
              <w:left w:val="nil"/>
              <w:bottom w:val="nil"/>
              <w:right w:val="nil"/>
            </w:tcBorders>
            <w:shd w:val="clear" w:color="auto" w:fill="FFFFFF" w:themeFill="background1"/>
            <w:vAlign w:val="center"/>
          </w:tcPr>
          <w:p w14:paraId="20E8461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w:t>
            </w:r>
          </w:p>
        </w:tc>
        <w:tc>
          <w:tcPr>
            <w:tcW w:w="1434" w:type="dxa"/>
            <w:tcBorders>
              <w:top w:val="nil"/>
              <w:left w:val="nil"/>
              <w:bottom w:val="nil"/>
              <w:right w:val="nil"/>
            </w:tcBorders>
            <w:shd w:val="clear" w:color="auto" w:fill="FFFFFF" w:themeFill="background1"/>
            <w:vAlign w:val="center"/>
          </w:tcPr>
          <w:p w14:paraId="09D69C6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 (surgeons, anesthetists)</w:t>
            </w:r>
          </w:p>
        </w:tc>
        <w:tc>
          <w:tcPr>
            <w:tcW w:w="1602" w:type="dxa"/>
            <w:tcBorders>
              <w:top w:val="nil"/>
              <w:left w:val="nil"/>
              <w:bottom w:val="nil"/>
              <w:right w:val="nil"/>
            </w:tcBorders>
            <w:shd w:val="clear" w:color="auto" w:fill="FFFFFF" w:themeFill="background1"/>
            <w:vAlign w:val="center"/>
          </w:tcPr>
          <w:p w14:paraId="093AFB6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Surgical antibiotic prophylaxis (SAP)</w:t>
            </w:r>
          </w:p>
        </w:tc>
        <w:tc>
          <w:tcPr>
            <w:tcW w:w="2011" w:type="dxa"/>
            <w:tcBorders>
              <w:top w:val="nil"/>
              <w:left w:val="nil"/>
              <w:bottom w:val="nil"/>
              <w:right w:val="nil"/>
            </w:tcBorders>
            <w:shd w:val="clear" w:color="auto" w:fill="FFFFFF" w:themeFill="background1"/>
            <w:vAlign w:val="center"/>
          </w:tcPr>
          <w:p w14:paraId="36CB6C0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SAP decisions shaped by social factors: risk attribution, hierarchy, team familiarity.</w:t>
            </w:r>
          </w:p>
        </w:tc>
        <w:tc>
          <w:tcPr>
            <w:tcW w:w="1748" w:type="dxa"/>
            <w:tcBorders>
              <w:top w:val="nil"/>
              <w:left w:val="nil"/>
              <w:bottom w:val="nil"/>
              <w:right w:val="nil"/>
            </w:tcBorders>
            <w:shd w:val="clear" w:color="auto" w:fill="FFFFFF" w:themeFill="background1"/>
            <w:vAlign w:val="center"/>
          </w:tcPr>
          <w:p w14:paraId="34FCC2B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Optimize OR workflows, foster surgeon-anesthetist discussions, tailor emergency protocols, align AMS advice with hierarchy.</w:t>
            </w:r>
          </w:p>
        </w:tc>
        <w:tc>
          <w:tcPr>
            <w:tcW w:w="1621" w:type="dxa"/>
            <w:tcBorders>
              <w:top w:val="nil"/>
              <w:left w:val="nil"/>
              <w:bottom w:val="nil"/>
              <w:right w:val="nil"/>
            </w:tcBorders>
            <w:shd w:val="clear" w:color="auto" w:fill="FFFFFF" w:themeFill="background1"/>
            <w:vAlign w:val="center"/>
          </w:tcPr>
          <w:p w14:paraId="4078E1D8">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eastAsia" w:ascii="Times New Roman" w:hAnsi="Times New Roman" w:eastAsia="宋体" w:cs="Times New Roman"/>
                <w:color w:val="000000"/>
                <w:kern w:val="0"/>
                <w:sz w:val="22"/>
                <w:lang w:val="en-US" w:eastAsia="zh-CN" w:bidi="ar"/>
              </w:rPr>
              <w:t>Yes</w:t>
            </w:r>
          </w:p>
        </w:tc>
      </w:tr>
      <w:tr w14:paraId="0019EB64">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7AE913D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Jeroen A Schouten et al.</w:t>
            </w:r>
            <w:r>
              <w:rPr>
                <w:rFonts w:hint="eastAsia" w:ascii="Times New Roman" w:hAnsi="Times New Roman" w:eastAsia="宋体" w:cs="Times New Roman"/>
                <w:color w:val="000000"/>
                <w:kern w:val="0"/>
                <w:sz w:val="22"/>
                <w:lang w:bidi="ar"/>
              </w:rPr>
              <w:t>（2007）</w:t>
            </w:r>
          </w:p>
        </w:tc>
        <w:tc>
          <w:tcPr>
            <w:tcW w:w="1560" w:type="dxa"/>
            <w:tcBorders>
              <w:top w:val="nil"/>
              <w:left w:val="nil"/>
              <w:bottom w:val="nil"/>
              <w:right w:val="nil"/>
            </w:tcBorders>
            <w:shd w:val="clear" w:color="auto" w:fill="FFFFFF" w:themeFill="background1"/>
            <w:vAlign w:val="center"/>
          </w:tcPr>
          <w:p w14:paraId="5AAAE96F">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Knowledge, Attitudes, Practice</w:t>
            </w:r>
          </w:p>
        </w:tc>
        <w:tc>
          <w:tcPr>
            <w:tcW w:w="2294" w:type="dxa"/>
            <w:tcBorders>
              <w:top w:val="nil"/>
              <w:left w:val="nil"/>
              <w:bottom w:val="nil"/>
              <w:right w:val="nil"/>
            </w:tcBorders>
            <w:shd w:val="clear" w:color="auto" w:fill="FFFFFF" w:themeFill="background1"/>
            <w:vAlign w:val="center"/>
          </w:tcPr>
          <w:p w14:paraId="69CA285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Prescriber Factors</w:t>
            </w:r>
          </w:p>
        </w:tc>
        <w:tc>
          <w:tcPr>
            <w:tcW w:w="1079" w:type="dxa"/>
            <w:tcBorders>
              <w:top w:val="nil"/>
              <w:left w:val="nil"/>
              <w:bottom w:val="nil"/>
              <w:right w:val="nil"/>
            </w:tcBorders>
            <w:shd w:val="clear" w:color="auto" w:fill="FFFFFF" w:themeFill="background1"/>
            <w:vAlign w:val="center"/>
          </w:tcPr>
          <w:p w14:paraId="0B7B0D8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 mid-sized hospitals in the Netherlands</w:t>
            </w:r>
          </w:p>
        </w:tc>
        <w:tc>
          <w:tcPr>
            <w:tcW w:w="1680" w:type="dxa"/>
            <w:tcBorders>
              <w:top w:val="nil"/>
              <w:left w:val="nil"/>
              <w:bottom w:val="nil"/>
              <w:right w:val="nil"/>
            </w:tcBorders>
            <w:shd w:val="clear" w:color="auto" w:fill="FFFFFF" w:themeFill="background1"/>
            <w:vAlign w:val="center"/>
          </w:tcPr>
          <w:p w14:paraId="0AC24E5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 (18 doctors), multidisciplinary group interviews (2 groups)</w:t>
            </w:r>
          </w:p>
        </w:tc>
        <w:tc>
          <w:tcPr>
            <w:tcW w:w="1434" w:type="dxa"/>
            <w:tcBorders>
              <w:top w:val="nil"/>
              <w:left w:val="nil"/>
              <w:bottom w:val="nil"/>
              <w:right w:val="nil"/>
            </w:tcBorders>
            <w:shd w:val="clear" w:color="auto" w:fill="FFFFFF" w:themeFill="background1"/>
            <w:vAlign w:val="center"/>
          </w:tcPr>
          <w:p w14:paraId="5B44C4E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 doctors (residents, specialists) + 2 group interviews</w:t>
            </w:r>
          </w:p>
        </w:tc>
        <w:tc>
          <w:tcPr>
            <w:tcW w:w="1602" w:type="dxa"/>
            <w:tcBorders>
              <w:top w:val="nil"/>
              <w:left w:val="nil"/>
              <w:bottom w:val="nil"/>
              <w:right w:val="nil"/>
            </w:tcBorders>
            <w:shd w:val="clear" w:color="auto" w:fill="FFFFFF" w:themeFill="background1"/>
            <w:vAlign w:val="center"/>
          </w:tcPr>
          <w:p w14:paraId="78420B6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Community-acquired pneumonia (CAP)</w:t>
            </w:r>
          </w:p>
        </w:tc>
        <w:tc>
          <w:tcPr>
            <w:tcW w:w="2011" w:type="dxa"/>
            <w:tcBorders>
              <w:top w:val="nil"/>
              <w:left w:val="nil"/>
              <w:bottom w:val="nil"/>
              <w:right w:val="nil"/>
            </w:tcBorders>
            <w:shd w:val="clear" w:color="auto" w:fill="FFFFFF" w:themeFill="background1"/>
            <w:vAlign w:val="center"/>
          </w:tcPr>
          <w:p w14:paraId="18BC97E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CAP antibiotic guidelines face unique barriers across cognitive, attitudinal, and organizational levels.</w:t>
            </w:r>
          </w:p>
        </w:tc>
        <w:tc>
          <w:tcPr>
            <w:tcW w:w="1748" w:type="dxa"/>
            <w:tcBorders>
              <w:top w:val="nil"/>
              <w:left w:val="nil"/>
              <w:bottom w:val="nil"/>
              <w:right w:val="nil"/>
            </w:tcBorders>
            <w:shd w:val="clear" w:color="auto" w:fill="FFFFFF" w:themeFill="background1"/>
            <w:vAlign w:val="center"/>
          </w:tcPr>
          <w:p w14:paraId="161C745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Tailored interventions: change attitudes for empirical treatment, optimize workflows for timely dosing.</w:t>
            </w:r>
          </w:p>
        </w:tc>
        <w:tc>
          <w:tcPr>
            <w:tcW w:w="1621" w:type="dxa"/>
            <w:tcBorders>
              <w:top w:val="nil"/>
              <w:left w:val="nil"/>
              <w:bottom w:val="nil"/>
              <w:right w:val="nil"/>
            </w:tcBorders>
            <w:shd w:val="clear" w:color="auto" w:fill="FFFFFF" w:themeFill="background1"/>
            <w:vAlign w:val="center"/>
          </w:tcPr>
          <w:p w14:paraId="1148A6A0">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1E7ABC34">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1F22103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Joanne Oi Sze Chan et al.</w:t>
            </w:r>
            <w:r>
              <w:rPr>
                <w:rFonts w:hint="eastAsia" w:ascii="Times New Roman" w:hAnsi="Times New Roman" w:eastAsia="宋体" w:cs="Times New Roman"/>
                <w:color w:val="000000"/>
                <w:kern w:val="0"/>
                <w:sz w:val="22"/>
                <w:lang w:bidi="ar"/>
              </w:rPr>
              <w:t>（2018）</w:t>
            </w:r>
          </w:p>
        </w:tc>
        <w:tc>
          <w:tcPr>
            <w:tcW w:w="1560" w:type="dxa"/>
            <w:tcBorders>
              <w:top w:val="nil"/>
              <w:left w:val="nil"/>
              <w:bottom w:val="nil"/>
              <w:right w:val="nil"/>
            </w:tcBorders>
            <w:shd w:val="clear" w:color="auto" w:fill="FFFFFF" w:themeFill="background1"/>
            <w:vAlign w:val="center"/>
          </w:tcPr>
          <w:p w14:paraId="78D4C43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Time constraints, communication gaps, ID support</w:t>
            </w:r>
          </w:p>
        </w:tc>
        <w:tc>
          <w:tcPr>
            <w:tcW w:w="2294" w:type="dxa"/>
            <w:tcBorders>
              <w:top w:val="nil"/>
              <w:left w:val="nil"/>
              <w:bottom w:val="nil"/>
              <w:right w:val="nil"/>
            </w:tcBorders>
            <w:shd w:val="clear" w:color="auto" w:fill="FFFFFF" w:themeFill="background1"/>
            <w:vAlign w:val="center"/>
          </w:tcPr>
          <w:p w14:paraId="1578D26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572C20C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Australian tertiary hospital</w:t>
            </w:r>
          </w:p>
        </w:tc>
        <w:tc>
          <w:tcPr>
            <w:tcW w:w="1680" w:type="dxa"/>
            <w:tcBorders>
              <w:top w:val="nil"/>
              <w:left w:val="nil"/>
              <w:bottom w:val="nil"/>
              <w:right w:val="nil"/>
            </w:tcBorders>
            <w:shd w:val="clear" w:color="auto" w:fill="FFFFFF" w:themeFill="background1"/>
            <w:vAlign w:val="center"/>
          </w:tcPr>
          <w:p w14:paraId="52F1E24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w:t>
            </w:r>
          </w:p>
        </w:tc>
        <w:tc>
          <w:tcPr>
            <w:tcW w:w="1434" w:type="dxa"/>
            <w:tcBorders>
              <w:top w:val="nil"/>
              <w:left w:val="nil"/>
              <w:bottom w:val="nil"/>
              <w:right w:val="nil"/>
            </w:tcBorders>
            <w:shd w:val="clear" w:color="auto" w:fill="FFFFFF" w:themeFill="background1"/>
            <w:vAlign w:val="center"/>
          </w:tcPr>
          <w:p w14:paraId="2481DCC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 prescribers</w:t>
            </w:r>
          </w:p>
        </w:tc>
        <w:tc>
          <w:tcPr>
            <w:tcW w:w="1602" w:type="dxa"/>
            <w:tcBorders>
              <w:top w:val="nil"/>
              <w:left w:val="nil"/>
              <w:bottom w:val="nil"/>
              <w:right w:val="nil"/>
            </w:tcBorders>
            <w:shd w:val="clear" w:color="auto" w:fill="FFFFFF" w:themeFill="background1"/>
            <w:vAlign w:val="center"/>
          </w:tcPr>
          <w:p w14:paraId="24FEF61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Vancomycin appropriateness</w:t>
            </w:r>
          </w:p>
        </w:tc>
        <w:tc>
          <w:tcPr>
            <w:tcW w:w="2011" w:type="dxa"/>
            <w:tcBorders>
              <w:top w:val="nil"/>
              <w:left w:val="nil"/>
              <w:bottom w:val="nil"/>
              <w:right w:val="nil"/>
            </w:tcBorders>
            <w:shd w:val="clear" w:color="auto" w:fill="FFFFFF" w:themeFill="background1"/>
            <w:vAlign w:val="center"/>
          </w:tcPr>
          <w:p w14:paraId="643299C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Guideline non-adherence stems from environmental barriers (communication, time, culture), not knowledge gaps.</w:t>
            </w:r>
          </w:p>
        </w:tc>
        <w:tc>
          <w:tcPr>
            <w:tcW w:w="1748" w:type="dxa"/>
            <w:tcBorders>
              <w:top w:val="nil"/>
              <w:left w:val="nil"/>
              <w:bottom w:val="nil"/>
              <w:right w:val="nil"/>
            </w:tcBorders>
            <w:shd w:val="clear" w:color="auto" w:fill="FFFFFF" w:themeFill="background1"/>
            <w:vAlign w:val="center"/>
          </w:tcPr>
          <w:p w14:paraId="0441681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Dedicated TDM phlebotomy teams, structured handover tools, education on "no dose holds" per guidelines.</w:t>
            </w:r>
          </w:p>
        </w:tc>
        <w:tc>
          <w:tcPr>
            <w:tcW w:w="1621" w:type="dxa"/>
            <w:tcBorders>
              <w:top w:val="nil"/>
              <w:left w:val="nil"/>
              <w:bottom w:val="nil"/>
              <w:right w:val="nil"/>
            </w:tcBorders>
            <w:shd w:val="clear" w:color="auto" w:fill="FFFFFF" w:themeFill="background1"/>
            <w:vAlign w:val="center"/>
          </w:tcPr>
          <w:p w14:paraId="0F07099C">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eastAsia" w:ascii="Times New Roman" w:hAnsi="Times New Roman" w:eastAsia="宋体" w:cs="Times New Roman"/>
                <w:color w:val="000000"/>
                <w:kern w:val="0"/>
                <w:sz w:val="22"/>
                <w:lang w:val="en-US" w:eastAsia="zh-CN" w:bidi="ar"/>
              </w:rPr>
              <w:t>Yes</w:t>
            </w:r>
          </w:p>
        </w:tc>
      </w:tr>
      <w:tr w14:paraId="72974755">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6F797D5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 Rynkiewicz et al.</w:t>
            </w:r>
            <w:r>
              <w:rPr>
                <w:rFonts w:hint="eastAsia" w:ascii="Times New Roman" w:hAnsi="Times New Roman" w:eastAsia="宋体" w:cs="Times New Roman"/>
                <w:color w:val="000000"/>
                <w:kern w:val="0"/>
                <w:sz w:val="22"/>
                <w:lang w:bidi="ar"/>
              </w:rPr>
              <w:t>（2019）</w:t>
            </w:r>
          </w:p>
        </w:tc>
        <w:tc>
          <w:tcPr>
            <w:tcW w:w="1560" w:type="dxa"/>
            <w:tcBorders>
              <w:top w:val="nil"/>
              <w:left w:val="nil"/>
              <w:bottom w:val="nil"/>
              <w:right w:val="nil"/>
            </w:tcBorders>
            <w:shd w:val="clear" w:color="auto" w:fill="FFFFFF" w:themeFill="background1"/>
            <w:vAlign w:val="center"/>
          </w:tcPr>
          <w:p w14:paraId="22C975D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Teamwork, decision autonomy</w:t>
            </w:r>
          </w:p>
        </w:tc>
        <w:tc>
          <w:tcPr>
            <w:tcW w:w="2294" w:type="dxa"/>
            <w:tcBorders>
              <w:top w:val="nil"/>
              <w:left w:val="nil"/>
              <w:bottom w:val="nil"/>
              <w:right w:val="nil"/>
            </w:tcBorders>
            <w:shd w:val="clear" w:color="auto" w:fill="FFFFFF" w:themeFill="background1"/>
            <w:vAlign w:val="center"/>
          </w:tcPr>
          <w:p w14:paraId="25BAF58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106AF56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 US teaching hospitals</w:t>
            </w:r>
          </w:p>
        </w:tc>
        <w:tc>
          <w:tcPr>
            <w:tcW w:w="1680" w:type="dxa"/>
            <w:tcBorders>
              <w:top w:val="nil"/>
              <w:left w:val="nil"/>
              <w:bottom w:val="nil"/>
              <w:right w:val="nil"/>
            </w:tcBorders>
            <w:shd w:val="clear" w:color="auto" w:fill="FFFFFF" w:themeFill="background1"/>
            <w:vAlign w:val="center"/>
          </w:tcPr>
          <w:p w14:paraId="7254EEF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Ethnographic observation (160h), semi-structured interviews (10)</w:t>
            </w:r>
          </w:p>
        </w:tc>
        <w:tc>
          <w:tcPr>
            <w:tcW w:w="1434" w:type="dxa"/>
            <w:tcBorders>
              <w:top w:val="nil"/>
              <w:left w:val="nil"/>
              <w:bottom w:val="nil"/>
              <w:right w:val="nil"/>
            </w:tcBorders>
            <w:shd w:val="clear" w:color="auto" w:fill="FFFFFF" w:themeFill="background1"/>
            <w:vAlign w:val="center"/>
          </w:tcPr>
          <w:p w14:paraId="3F61752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 interviews, 160h observation</w:t>
            </w:r>
          </w:p>
        </w:tc>
        <w:tc>
          <w:tcPr>
            <w:tcW w:w="1602" w:type="dxa"/>
            <w:tcBorders>
              <w:top w:val="nil"/>
              <w:left w:val="nil"/>
              <w:bottom w:val="nil"/>
              <w:right w:val="nil"/>
            </w:tcBorders>
            <w:shd w:val="clear" w:color="auto" w:fill="FFFFFF" w:themeFill="background1"/>
            <w:vAlign w:val="center"/>
          </w:tcPr>
          <w:p w14:paraId="18D8C5DF">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decisions (SICU)</w:t>
            </w:r>
          </w:p>
        </w:tc>
        <w:tc>
          <w:tcPr>
            <w:tcW w:w="2011" w:type="dxa"/>
            <w:tcBorders>
              <w:top w:val="nil"/>
              <w:left w:val="nil"/>
              <w:bottom w:val="nil"/>
              <w:right w:val="nil"/>
            </w:tcBorders>
            <w:shd w:val="clear" w:color="auto" w:fill="FFFFFF" w:themeFill="background1"/>
            <w:vAlign w:val="center"/>
          </w:tcPr>
          <w:p w14:paraId="4F2BA7E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SICU decisions involve multi-team collaboration, proximity, and autonomy debates—distinct from MICU’s closed model.</w:t>
            </w:r>
          </w:p>
        </w:tc>
        <w:tc>
          <w:tcPr>
            <w:tcW w:w="1748" w:type="dxa"/>
            <w:tcBorders>
              <w:top w:val="nil"/>
              <w:left w:val="nil"/>
              <w:bottom w:val="nil"/>
              <w:right w:val="nil"/>
            </w:tcBorders>
            <w:shd w:val="clear" w:color="auto" w:fill="FFFFFF" w:themeFill="background1"/>
            <w:vAlign w:val="center"/>
          </w:tcPr>
          <w:p w14:paraId="58D5CD2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AMS interventions should engage SICU/surgical teams; improve communication (e.g., structured tools), validate SICU judgment.</w:t>
            </w:r>
          </w:p>
        </w:tc>
        <w:tc>
          <w:tcPr>
            <w:tcW w:w="1621" w:type="dxa"/>
            <w:tcBorders>
              <w:top w:val="nil"/>
              <w:left w:val="nil"/>
              <w:bottom w:val="nil"/>
              <w:right w:val="nil"/>
            </w:tcBorders>
            <w:shd w:val="clear" w:color="auto" w:fill="FFFFFF" w:themeFill="background1"/>
            <w:vAlign w:val="center"/>
          </w:tcPr>
          <w:p w14:paraId="110AE993">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2959CE1B">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360CAC9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Katharina Rynkiewiczich</w:t>
            </w:r>
            <w:r>
              <w:rPr>
                <w:rFonts w:hint="eastAsia" w:ascii="Times New Roman" w:hAnsi="Times New Roman" w:eastAsia="宋体" w:cs="Times New Roman"/>
                <w:color w:val="000000"/>
                <w:kern w:val="0"/>
                <w:sz w:val="22"/>
                <w:lang w:bidi="ar"/>
              </w:rPr>
              <w:t xml:space="preserve"> et al.(2020)</w:t>
            </w:r>
          </w:p>
        </w:tc>
        <w:tc>
          <w:tcPr>
            <w:tcW w:w="1560" w:type="dxa"/>
            <w:tcBorders>
              <w:top w:val="nil"/>
              <w:left w:val="nil"/>
              <w:bottom w:val="nil"/>
              <w:right w:val="nil"/>
            </w:tcBorders>
            <w:shd w:val="clear" w:color="auto" w:fill="FFFFFF" w:themeFill="background1"/>
            <w:vAlign w:val="center"/>
          </w:tcPr>
          <w:p w14:paraId="1F44E67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Social dynamics</w:t>
            </w:r>
          </w:p>
        </w:tc>
        <w:tc>
          <w:tcPr>
            <w:tcW w:w="2294" w:type="dxa"/>
            <w:tcBorders>
              <w:top w:val="nil"/>
              <w:left w:val="nil"/>
              <w:bottom w:val="nil"/>
              <w:right w:val="nil"/>
            </w:tcBorders>
            <w:shd w:val="clear" w:color="auto" w:fill="FFFFFF" w:themeFill="background1"/>
            <w:vAlign w:val="center"/>
          </w:tcPr>
          <w:p w14:paraId="314AD22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1E6DEBD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 US Midwest hospitals</w:t>
            </w:r>
          </w:p>
        </w:tc>
        <w:tc>
          <w:tcPr>
            <w:tcW w:w="1680" w:type="dxa"/>
            <w:tcBorders>
              <w:top w:val="nil"/>
              <w:left w:val="nil"/>
              <w:bottom w:val="nil"/>
              <w:right w:val="nil"/>
            </w:tcBorders>
            <w:shd w:val="clear" w:color="auto" w:fill="FFFFFF" w:themeFill="background1"/>
            <w:vAlign w:val="center"/>
          </w:tcPr>
          <w:p w14:paraId="79FDEC6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Participant observation (520h), interviews (39h)</w:t>
            </w:r>
          </w:p>
        </w:tc>
        <w:tc>
          <w:tcPr>
            <w:tcW w:w="1434" w:type="dxa"/>
            <w:tcBorders>
              <w:top w:val="nil"/>
              <w:left w:val="nil"/>
              <w:bottom w:val="nil"/>
              <w:right w:val="nil"/>
            </w:tcBorders>
            <w:shd w:val="clear" w:color="auto" w:fill="FFFFFF" w:themeFill="background1"/>
            <w:vAlign w:val="center"/>
          </w:tcPr>
          <w:p w14:paraId="1D63F07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 (ID/ICU doctors)</w:t>
            </w:r>
          </w:p>
        </w:tc>
        <w:tc>
          <w:tcPr>
            <w:tcW w:w="1602" w:type="dxa"/>
            <w:tcBorders>
              <w:top w:val="nil"/>
              <w:left w:val="nil"/>
              <w:bottom w:val="nil"/>
              <w:right w:val="nil"/>
            </w:tcBorders>
            <w:shd w:val="clear" w:color="auto" w:fill="FFFFFF" w:themeFill="background1"/>
            <w:vAlign w:val="center"/>
          </w:tcPr>
          <w:p w14:paraId="1E0C90D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Antibiotic prescribing</w:t>
            </w:r>
          </w:p>
        </w:tc>
        <w:tc>
          <w:tcPr>
            <w:tcW w:w="2011" w:type="dxa"/>
            <w:tcBorders>
              <w:top w:val="nil"/>
              <w:left w:val="nil"/>
              <w:bottom w:val="nil"/>
              <w:right w:val="nil"/>
            </w:tcBorders>
            <w:shd w:val="clear" w:color="auto" w:fill="FFFFFF" w:themeFill="background1"/>
            <w:vAlign w:val="center"/>
          </w:tcPr>
          <w:p w14:paraId="631D8E3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Prescribing is a collective practice shaped by social interactions, workflows, and EHR systems.</w:t>
            </w:r>
          </w:p>
        </w:tc>
        <w:tc>
          <w:tcPr>
            <w:tcW w:w="1748" w:type="dxa"/>
            <w:tcBorders>
              <w:top w:val="nil"/>
              <w:left w:val="nil"/>
              <w:bottom w:val="nil"/>
              <w:right w:val="nil"/>
            </w:tcBorders>
            <w:shd w:val="clear" w:color="auto" w:fill="FFFFFF" w:themeFill="background1"/>
            <w:vAlign w:val="center"/>
          </w:tcPr>
          <w:p w14:paraId="7FE6262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Shift focus to collective decision-making; observational studies on local dynamics; team-based interventions (e.g., cross-team communication).</w:t>
            </w:r>
          </w:p>
        </w:tc>
        <w:tc>
          <w:tcPr>
            <w:tcW w:w="1621" w:type="dxa"/>
            <w:tcBorders>
              <w:top w:val="nil"/>
              <w:left w:val="nil"/>
              <w:bottom w:val="nil"/>
              <w:right w:val="nil"/>
            </w:tcBorders>
            <w:shd w:val="clear" w:color="auto" w:fill="FFFFFF" w:themeFill="background1"/>
            <w:vAlign w:val="center"/>
          </w:tcPr>
          <w:p w14:paraId="0BAD43E5">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54FE8D8B">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69E85D2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Lucy Reynolds et al.</w:t>
            </w:r>
            <w:r>
              <w:rPr>
                <w:rFonts w:hint="eastAsia" w:ascii="Times New Roman" w:hAnsi="Times New Roman" w:eastAsia="宋体" w:cs="Times New Roman"/>
                <w:color w:val="000000"/>
                <w:kern w:val="0"/>
                <w:sz w:val="22"/>
                <w:lang w:bidi="ar"/>
              </w:rPr>
              <w:t>（2009）</w:t>
            </w:r>
          </w:p>
        </w:tc>
        <w:tc>
          <w:tcPr>
            <w:tcW w:w="1560" w:type="dxa"/>
            <w:tcBorders>
              <w:top w:val="nil"/>
              <w:left w:val="nil"/>
              <w:bottom w:val="nil"/>
              <w:right w:val="nil"/>
            </w:tcBorders>
            <w:shd w:val="clear" w:color="auto" w:fill="FFFFFF" w:themeFill="background1"/>
            <w:vAlign w:val="center"/>
          </w:tcPr>
          <w:p w14:paraId="124AD65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Profit-driven, guideline gaps</w:t>
            </w:r>
          </w:p>
        </w:tc>
        <w:tc>
          <w:tcPr>
            <w:tcW w:w="2294" w:type="dxa"/>
            <w:tcBorders>
              <w:top w:val="nil"/>
              <w:left w:val="nil"/>
              <w:bottom w:val="nil"/>
              <w:right w:val="nil"/>
            </w:tcBorders>
            <w:shd w:val="clear" w:color="auto" w:fill="FFFFFF" w:themeFill="background1"/>
            <w:vAlign w:val="center"/>
          </w:tcPr>
          <w:p w14:paraId="5C0DCFC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18E7D42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Urban/rural clinics in Guizhou, China</w:t>
            </w:r>
          </w:p>
        </w:tc>
        <w:tc>
          <w:tcPr>
            <w:tcW w:w="1680" w:type="dxa"/>
            <w:tcBorders>
              <w:top w:val="nil"/>
              <w:left w:val="nil"/>
              <w:bottom w:val="nil"/>
              <w:right w:val="nil"/>
            </w:tcBorders>
            <w:shd w:val="clear" w:color="auto" w:fill="FFFFFF" w:themeFill="background1"/>
            <w:vAlign w:val="center"/>
          </w:tcPr>
          <w:p w14:paraId="10C319D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 (patients, providers), focus groups (students, pharmacists)</w:t>
            </w:r>
          </w:p>
        </w:tc>
        <w:tc>
          <w:tcPr>
            <w:tcW w:w="1434" w:type="dxa"/>
            <w:tcBorders>
              <w:top w:val="nil"/>
              <w:left w:val="nil"/>
              <w:bottom w:val="nil"/>
              <w:right w:val="nil"/>
            </w:tcBorders>
            <w:shd w:val="clear" w:color="auto" w:fill="FFFFFF" w:themeFill="background1"/>
            <w:vAlign w:val="center"/>
          </w:tcPr>
          <w:p w14:paraId="27C2102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 patients, 11 rural doctors, 4 township doctors, 7 county hospital doctors</w:t>
            </w:r>
          </w:p>
        </w:tc>
        <w:tc>
          <w:tcPr>
            <w:tcW w:w="1602" w:type="dxa"/>
            <w:tcBorders>
              <w:top w:val="nil"/>
              <w:left w:val="nil"/>
              <w:bottom w:val="nil"/>
              <w:right w:val="nil"/>
            </w:tcBorders>
            <w:shd w:val="clear" w:color="auto" w:fill="FFFFFF" w:themeFill="background1"/>
            <w:vAlign w:val="center"/>
          </w:tcPr>
          <w:p w14:paraId="5AF1E4C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Common illnesses (colds, coughs, diarrhea)</w:t>
            </w:r>
          </w:p>
        </w:tc>
        <w:tc>
          <w:tcPr>
            <w:tcW w:w="2011" w:type="dxa"/>
            <w:tcBorders>
              <w:top w:val="nil"/>
              <w:left w:val="nil"/>
              <w:bottom w:val="nil"/>
              <w:right w:val="nil"/>
            </w:tcBorders>
            <w:shd w:val="clear" w:color="auto" w:fill="FFFFFF" w:themeFill="background1"/>
            <w:vAlign w:val="center"/>
          </w:tcPr>
          <w:p w14:paraId="0CE3A7B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Widespread antibiotic misuse (especially injections) increases resistance and bloodborne infection risks; driven by financial incentives, misconceptions, and guideline gaps.</w:t>
            </w:r>
          </w:p>
        </w:tc>
        <w:tc>
          <w:tcPr>
            <w:tcW w:w="1748" w:type="dxa"/>
            <w:tcBorders>
              <w:top w:val="nil"/>
              <w:left w:val="nil"/>
              <w:bottom w:val="nil"/>
              <w:right w:val="nil"/>
            </w:tcBorders>
            <w:shd w:val="clear" w:color="auto" w:fill="FFFFFF" w:themeFill="background1"/>
            <w:vAlign w:val="center"/>
          </w:tcPr>
          <w:p w14:paraId="14A64BD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Targeted education (resistance awareness), remove profit incentives (e.g., abolish 15% profit cap), strengthen guidelines and surveillance.</w:t>
            </w:r>
          </w:p>
        </w:tc>
        <w:tc>
          <w:tcPr>
            <w:tcW w:w="1621" w:type="dxa"/>
            <w:tcBorders>
              <w:top w:val="nil"/>
              <w:left w:val="nil"/>
              <w:bottom w:val="nil"/>
              <w:right w:val="nil"/>
            </w:tcBorders>
            <w:shd w:val="clear" w:color="auto" w:fill="FFFFFF" w:themeFill="background1"/>
            <w:vAlign w:val="center"/>
          </w:tcPr>
          <w:p w14:paraId="4D91895D">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 w:val="22"/>
                <w:lang w:bidi="ar"/>
              </w:rPr>
              <w:t>Not mentioned</w:t>
            </w:r>
          </w:p>
        </w:tc>
      </w:tr>
      <w:tr w14:paraId="3BD8D1FE">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11BA3C2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Mahmoud Attia et al.</w:t>
            </w:r>
            <w:r>
              <w:rPr>
                <w:rFonts w:hint="eastAsia" w:ascii="Times New Roman" w:hAnsi="Times New Roman" w:eastAsia="宋体" w:cs="Times New Roman"/>
                <w:color w:val="000000"/>
                <w:kern w:val="0"/>
                <w:sz w:val="22"/>
                <w:lang w:bidi="ar"/>
              </w:rPr>
              <w:t>(2024)</w:t>
            </w:r>
          </w:p>
        </w:tc>
        <w:tc>
          <w:tcPr>
            <w:tcW w:w="1560" w:type="dxa"/>
            <w:tcBorders>
              <w:top w:val="nil"/>
              <w:left w:val="nil"/>
              <w:bottom w:val="nil"/>
              <w:right w:val="nil"/>
            </w:tcBorders>
            <w:shd w:val="clear" w:color="auto" w:fill="FFFFFF" w:themeFill="background1"/>
            <w:vAlign w:val="center"/>
          </w:tcPr>
          <w:p w14:paraId="30A3772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Patient demands, education, resources</w:t>
            </w:r>
          </w:p>
        </w:tc>
        <w:tc>
          <w:tcPr>
            <w:tcW w:w="2294" w:type="dxa"/>
            <w:tcBorders>
              <w:top w:val="nil"/>
              <w:left w:val="nil"/>
              <w:bottom w:val="nil"/>
              <w:right w:val="nil"/>
            </w:tcBorders>
            <w:shd w:val="clear" w:color="auto" w:fill="FFFFFF" w:themeFill="background1"/>
            <w:vAlign w:val="center"/>
          </w:tcPr>
          <w:p w14:paraId="0A1E966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Patient/Environmental Factors</w:t>
            </w:r>
          </w:p>
        </w:tc>
        <w:tc>
          <w:tcPr>
            <w:tcW w:w="1079" w:type="dxa"/>
            <w:tcBorders>
              <w:top w:val="nil"/>
              <w:left w:val="nil"/>
              <w:bottom w:val="nil"/>
              <w:right w:val="nil"/>
            </w:tcBorders>
            <w:shd w:val="clear" w:color="auto" w:fill="FFFFFF" w:themeFill="background1"/>
            <w:vAlign w:val="center"/>
          </w:tcPr>
          <w:p w14:paraId="527C4CE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Egyptian clinics</w:t>
            </w:r>
          </w:p>
        </w:tc>
        <w:tc>
          <w:tcPr>
            <w:tcW w:w="1680" w:type="dxa"/>
            <w:tcBorders>
              <w:top w:val="nil"/>
              <w:left w:val="nil"/>
              <w:bottom w:val="nil"/>
              <w:right w:val="nil"/>
            </w:tcBorders>
            <w:shd w:val="clear" w:color="auto" w:fill="FFFFFF" w:themeFill="background1"/>
            <w:vAlign w:val="center"/>
          </w:tcPr>
          <w:p w14:paraId="059EF3D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In-depth interviews</w:t>
            </w:r>
          </w:p>
        </w:tc>
        <w:tc>
          <w:tcPr>
            <w:tcW w:w="1434" w:type="dxa"/>
            <w:tcBorders>
              <w:top w:val="nil"/>
              <w:left w:val="nil"/>
              <w:bottom w:val="nil"/>
              <w:right w:val="nil"/>
            </w:tcBorders>
            <w:shd w:val="clear" w:color="auto" w:fill="FFFFFF" w:themeFill="background1"/>
            <w:vAlign w:val="center"/>
          </w:tcPr>
          <w:p w14:paraId="3DFD423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 doctors (pediatricians, infection control)</w:t>
            </w:r>
          </w:p>
        </w:tc>
        <w:tc>
          <w:tcPr>
            <w:tcW w:w="1602" w:type="dxa"/>
            <w:tcBorders>
              <w:top w:val="nil"/>
              <w:left w:val="nil"/>
              <w:bottom w:val="nil"/>
              <w:right w:val="nil"/>
            </w:tcBorders>
            <w:shd w:val="clear" w:color="auto" w:fill="FFFFFF" w:themeFill="background1"/>
            <w:vAlign w:val="center"/>
          </w:tcPr>
          <w:p w14:paraId="37E314C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Upper respiratory infections (URIs)</w:t>
            </w:r>
          </w:p>
        </w:tc>
        <w:tc>
          <w:tcPr>
            <w:tcW w:w="2011" w:type="dxa"/>
            <w:tcBorders>
              <w:top w:val="nil"/>
              <w:left w:val="nil"/>
              <w:bottom w:val="nil"/>
              <w:right w:val="nil"/>
            </w:tcBorders>
            <w:shd w:val="clear" w:color="auto" w:fill="FFFFFF" w:themeFill="background1"/>
            <w:vAlign w:val="center"/>
          </w:tcPr>
          <w:p w14:paraId="1DA0B80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Overprescribing driven by fear, parental pressure, and system gaps.</w:t>
            </w:r>
          </w:p>
        </w:tc>
        <w:tc>
          <w:tcPr>
            <w:tcW w:w="1748" w:type="dxa"/>
            <w:tcBorders>
              <w:top w:val="nil"/>
              <w:left w:val="nil"/>
              <w:bottom w:val="nil"/>
              <w:right w:val="nil"/>
            </w:tcBorders>
            <w:shd w:val="clear" w:color="auto" w:fill="FFFFFF" w:themeFill="background1"/>
            <w:vAlign w:val="center"/>
          </w:tcPr>
          <w:p w14:paraId="39C01AE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Improve communication, national guidelines, pharma regulation, and patient education.</w:t>
            </w:r>
          </w:p>
        </w:tc>
        <w:tc>
          <w:tcPr>
            <w:tcW w:w="1621" w:type="dxa"/>
            <w:tcBorders>
              <w:top w:val="nil"/>
              <w:left w:val="nil"/>
              <w:bottom w:val="nil"/>
              <w:right w:val="nil"/>
            </w:tcBorders>
            <w:shd w:val="clear" w:color="auto" w:fill="FFFFFF" w:themeFill="background1"/>
            <w:vAlign w:val="center"/>
          </w:tcPr>
          <w:p w14:paraId="5DC94545">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2579A689">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03ABD46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 Westerling et al.</w:t>
            </w:r>
            <w:r>
              <w:rPr>
                <w:rFonts w:hint="eastAsia" w:ascii="Times New Roman" w:hAnsi="Times New Roman" w:eastAsia="宋体" w:cs="Times New Roman"/>
                <w:color w:val="000000"/>
                <w:kern w:val="0"/>
                <w:sz w:val="22"/>
                <w:lang w:bidi="ar"/>
              </w:rPr>
              <w:t>(2020)</w:t>
            </w:r>
          </w:p>
        </w:tc>
        <w:tc>
          <w:tcPr>
            <w:tcW w:w="1560" w:type="dxa"/>
            <w:tcBorders>
              <w:top w:val="nil"/>
              <w:left w:val="nil"/>
              <w:bottom w:val="nil"/>
              <w:right w:val="nil"/>
            </w:tcBorders>
            <w:shd w:val="clear" w:color="auto" w:fill="FFFFFF" w:themeFill="background1"/>
            <w:vAlign w:val="center"/>
          </w:tcPr>
          <w:p w14:paraId="71FFE91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Patient-provider trust/communication</w:t>
            </w:r>
          </w:p>
        </w:tc>
        <w:tc>
          <w:tcPr>
            <w:tcW w:w="2294" w:type="dxa"/>
            <w:tcBorders>
              <w:top w:val="nil"/>
              <w:left w:val="nil"/>
              <w:bottom w:val="nil"/>
              <w:right w:val="nil"/>
            </w:tcBorders>
            <w:shd w:val="clear" w:color="auto" w:fill="FFFFFF" w:themeFill="background1"/>
            <w:vAlign w:val="center"/>
          </w:tcPr>
          <w:p w14:paraId="019D7B9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Patient Factors</w:t>
            </w:r>
          </w:p>
        </w:tc>
        <w:tc>
          <w:tcPr>
            <w:tcW w:w="1079" w:type="dxa"/>
            <w:tcBorders>
              <w:top w:val="nil"/>
              <w:left w:val="nil"/>
              <w:bottom w:val="nil"/>
              <w:right w:val="nil"/>
            </w:tcBorders>
            <w:shd w:val="clear" w:color="auto" w:fill="FFFFFF" w:themeFill="background1"/>
            <w:vAlign w:val="center"/>
          </w:tcPr>
          <w:p w14:paraId="1199E7F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Turkey, Germany, Netherlands, Sweden</w:t>
            </w:r>
          </w:p>
        </w:tc>
        <w:tc>
          <w:tcPr>
            <w:tcW w:w="1680" w:type="dxa"/>
            <w:tcBorders>
              <w:top w:val="nil"/>
              <w:left w:val="nil"/>
              <w:bottom w:val="nil"/>
              <w:right w:val="nil"/>
            </w:tcBorders>
            <w:shd w:val="clear" w:color="auto" w:fill="FFFFFF" w:themeFill="background1"/>
            <w:vAlign w:val="center"/>
          </w:tcPr>
          <w:p w14:paraId="58644EA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Focus groups, interviews</w:t>
            </w:r>
          </w:p>
        </w:tc>
        <w:tc>
          <w:tcPr>
            <w:tcW w:w="1434" w:type="dxa"/>
            <w:tcBorders>
              <w:top w:val="nil"/>
              <w:left w:val="nil"/>
              <w:bottom w:val="nil"/>
              <w:right w:val="nil"/>
            </w:tcBorders>
            <w:shd w:val="clear" w:color="auto" w:fill="FFFFFF" w:themeFill="background1"/>
            <w:vAlign w:val="center"/>
          </w:tcPr>
          <w:p w14:paraId="1B2A98A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 (civilians, doctors, pharmacists)</w:t>
            </w:r>
          </w:p>
        </w:tc>
        <w:tc>
          <w:tcPr>
            <w:tcW w:w="1602" w:type="dxa"/>
            <w:tcBorders>
              <w:top w:val="nil"/>
              <w:left w:val="nil"/>
              <w:bottom w:val="nil"/>
              <w:right w:val="nil"/>
            </w:tcBorders>
            <w:shd w:val="clear" w:color="auto" w:fill="FFFFFF" w:themeFill="background1"/>
            <w:vAlign w:val="center"/>
          </w:tcPr>
          <w:p w14:paraId="4C2E119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Appropriate antimicrobial use</w:t>
            </w:r>
          </w:p>
        </w:tc>
        <w:tc>
          <w:tcPr>
            <w:tcW w:w="2011" w:type="dxa"/>
            <w:tcBorders>
              <w:top w:val="nil"/>
              <w:left w:val="nil"/>
              <w:bottom w:val="nil"/>
              <w:right w:val="nil"/>
            </w:tcBorders>
            <w:shd w:val="clear" w:color="auto" w:fill="FFFFFF" w:themeFill="background1"/>
            <w:vAlign w:val="center"/>
          </w:tcPr>
          <w:p w14:paraId="1E656AB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Turkey: persistent misuse despite regulations; EU: stricter controls but migrant-related gaps (e.g., imports from Turkey).</w:t>
            </w:r>
          </w:p>
        </w:tc>
        <w:tc>
          <w:tcPr>
            <w:tcW w:w="1748" w:type="dxa"/>
            <w:tcBorders>
              <w:top w:val="nil"/>
              <w:left w:val="nil"/>
              <w:bottom w:val="nil"/>
              <w:right w:val="nil"/>
            </w:tcBorders>
            <w:shd w:val="clear" w:color="auto" w:fill="FFFFFF" w:themeFill="background1"/>
            <w:vAlign w:val="center"/>
          </w:tcPr>
          <w:p w14:paraId="33BB529C">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Harmonize policies; enforce prescription-only access; public/healthcare education; multilingual materials.</w:t>
            </w:r>
          </w:p>
        </w:tc>
        <w:tc>
          <w:tcPr>
            <w:tcW w:w="1621" w:type="dxa"/>
            <w:tcBorders>
              <w:top w:val="nil"/>
              <w:left w:val="nil"/>
              <w:bottom w:val="nil"/>
              <w:right w:val="nil"/>
            </w:tcBorders>
            <w:shd w:val="clear" w:color="auto" w:fill="FFFFFF" w:themeFill="background1"/>
            <w:vAlign w:val="center"/>
          </w:tcPr>
          <w:p w14:paraId="1219008A">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1D05BC5C">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6C3B8D06">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Ramin Samiet al.</w:t>
            </w:r>
            <w:r>
              <w:rPr>
                <w:rFonts w:hint="eastAsia" w:ascii="Times New Roman" w:hAnsi="Times New Roman" w:eastAsia="宋体" w:cs="Times New Roman"/>
                <w:color w:val="000000"/>
                <w:kern w:val="0"/>
                <w:sz w:val="22"/>
                <w:lang w:bidi="ar"/>
              </w:rPr>
              <w:t>(2022)</w:t>
            </w:r>
          </w:p>
        </w:tc>
        <w:tc>
          <w:tcPr>
            <w:tcW w:w="1560" w:type="dxa"/>
            <w:tcBorders>
              <w:top w:val="nil"/>
              <w:left w:val="nil"/>
              <w:bottom w:val="nil"/>
              <w:right w:val="nil"/>
            </w:tcBorders>
            <w:shd w:val="clear" w:color="auto" w:fill="FFFFFF" w:themeFill="background1"/>
            <w:vAlign w:val="center"/>
          </w:tcPr>
          <w:p w14:paraId="439E06A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Knowledge, resources, culture</w:t>
            </w:r>
          </w:p>
        </w:tc>
        <w:tc>
          <w:tcPr>
            <w:tcW w:w="2294" w:type="dxa"/>
            <w:tcBorders>
              <w:top w:val="nil"/>
              <w:left w:val="nil"/>
              <w:bottom w:val="nil"/>
              <w:right w:val="nil"/>
            </w:tcBorders>
            <w:shd w:val="clear" w:color="auto" w:fill="FFFFFF" w:themeFill="background1"/>
            <w:vAlign w:val="center"/>
          </w:tcPr>
          <w:p w14:paraId="20722F0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5782EAC5">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Iranian specialty hospitals</w:t>
            </w:r>
          </w:p>
        </w:tc>
        <w:tc>
          <w:tcPr>
            <w:tcW w:w="1680" w:type="dxa"/>
            <w:tcBorders>
              <w:top w:val="nil"/>
              <w:left w:val="nil"/>
              <w:bottom w:val="nil"/>
              <w:right w:val="nil"/>
            </w:tcBorders>
            <w:shd w:val="clear" w:color="auto" w:fill="FFFFFF" w:themeFill="background1"/>
            <w:vAlign w:val="center"/>
          </w:tcPr>
          <w:p w14:paraId="54756F7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w:t>
            </w:r>
          </w:p>
        </w:tc>
        <w:tc>
          <w:tcPr>
            <w:tcW w:w="1434" w:type="dxa"/>
            <w:tcBorders>
              <w:top w:val="nil"/>
              <w:left w:val="nil"/>
              <w:bottom w:val="nil"/>
              <w:right w:val="nil"/>
            </w:tcBorders>
            <w:shd w:val="clear" w:color="auto" w:fill="FFFFFF" w:themeFill="background1"/>
            <w:vAlign w:val="center"/>
          </w:tcPr>
          <w:p w14:paraId="38430C2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 (doctors, pharmacologists, microbiologists, nurses)</w:t>
            </w:r>
          </w:p>
        </w:tc>
        <w:tc>
          <w:tcPr>
            <w:tcW w:w="1602" w:type="dxa"/>
            <w:tcBorders>
              <w:top w:val="nil"/>
              <w:left w:val="nil"/>
              <w:bottom w:val="nil"/>
              <w:right w:val="nil"/>
            </w:tcBorders>
            <w:shd w:val="clear" w:color="auto" w:fill="FFFFFF" w:themeFill="background1"/>
            <w:vAlign w:val="center"/>
          </w:tcPr>
          <w:p w14:paraId="7F3592F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appropriateness</w:t>
            </w:r>
          </w:p>
        </w:tc>
        <w:tc>
          <w:tcPr>
            <w:tcW w:w="2011" w:type="dxa"/>
            <w:tcBorders>
              <w:top w:val="nil"/>
              <w:left w:val="nil"/>
              <w:bottom w:val="nil"/>
              <w:right w:val="nil"/>
            </w:tcBorders>
            <w:shd w:val="clear" w:color="auto" w:fill="FFFFFF" w:themeFill="background1"/>
            <w:vAlign w:val="center"/>
          </w:tcPr>
          <w:p w14:paraId="455448C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Barriers are multifaceted (doctor, resource, oversight, environment), aligning with global studies (e.g., knowledge gaps).</w:t>
            </w:r>
          </w:p>
        </w:tc>
        <w:tc>
          <w:tcPr>
            <w:tcW w:w="1748" w:type="dxa"/>
            <w:tcBorders>
              <w:top w:val="nil"/>
              <w:left w:val="nil"/>
              <w:bottom w:val="nil"/>
              <w:right w:val="nil"/>
            </w:tcBorders>
            <w:shd w:val="clear" w:color="auto" w:fill="FFFFFF" w:themeFill="background1"/>
            <w:vAlign w:val="center"/>
          </w:tcPr>
          <w:p w14:paraId="4D77D5F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Culturally adapted guidelines, clinician training, AMS committee strengthening, insurance/pharma regulation, public education.</w:t>
            </w:r>
          </w:p>
        </w:tc>
        <w:tc>
          <w:tcPr>
            <w:tcW w:w="1621" w:type="dxa"/>
            <w:tcBorders>
              <w:top w:val="nil"/>
              <w:left w:val="nil"/>
              <w:bottom w:val="nil"/>
              <w:right w:val="nil"/>
            </w:tcBorders>
            <w:shd w:val="clear" w:color="auto" w:fill="FFFFFF" w:themeFill="background1"/>
            <w:vAlign w:val="center"/>
          </w:tcPr>
          <w:p w14:paraId="59C68497">
            <w:pPr>
              <w:widowControl/>
              <w:snapToGrid w:val="0"/>
              <w:ind w:left="0" w:leftChars="0" w:right="0" w:rightChars="0" w:firstLine="0" w:firstLineChars="0"/>
              <w:jc w:val="center"/>
              <w:textAlignment w:val="center"/>
              <w:rPr>
                <w:rFonts w:hint="default" w:ascii="Times New Roman" w:hAnsi="Times New Roman" w:eastAsia="宋体" w:cs="Times New Roman"/>
                <w:color w:val="000000"/>
                <w:kern w:val="0"/>
                <w:sz w:val="22"/>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2DCF74DE">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28B3287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Summita Udas et al.</w:t>
            </w:r>
            <w:r>
              <w:rPr>
                <w:rFonts w:hint="eastAsia" w:ascii="Times New Roman" w:hAnsi="Times New Roman" w:eastAsia="宋体" w:cs="Times New Roman"/>
                <w:color w:val="000000"/>
                <w:kern w:val="0"/>
                <w:sz w:val="22"/>
                <w:lang w:bidi="ar"/>
              </w:rPr>
              <w:t>(2024)</w:t>
            </w:r>
          </w:p>
        </w:tc>
        <w:tc>
          <w:tcPr>
            <w:tcW w:w="1560" w:type="dxa"/>
            <w:tcBorders>
              <w:top w:val="nil"/>
              <w:left w:val="nil"/>
              <w:bottom w:val="nil"/>
              <w:right w:val="nil"/>
            </w:tcBorders>
            <w:shd w:val="clear" w:color="auto" w:fill="FFFFFF" w:themeFill="background1"/>
            <w:vAlign w:val="center"/>
          </w:tcPr>
          <w:p w14:paraId="7C23407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Resources, training, culture, policy</w:t>
            </w:r>
          </w:p>
        </w:tc>
        <w:tc>
          <w:tcPr>
            <w:tcW w:w="2294" w:type="dxa"/>
            <w:tcBorders>
              <w:top w:val="nil"/>
              <w:left w:val="nil"/>
              <w:bottom w:val="nil"/>
              <w:right w:val="nil"/>
            </w:tcBorders>
            <w:shd w:val="clear" w:color="auto" w:fill="FFFFFF" w:themeFill="background1"/>
            <w:vAlign w:val="center"/>
          </w:tcPr>
          <w:p w14:paraId="6F6D88D2">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5826CDE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Nepalese hospitals</w:t>
            </w:r>
          </w:p>
        </w:tc>
        <w:tc>
          <w:tcPr>
            <w:tcW w:w="1680" w:type="dxa"/>
            <w:tcBorders>
              <w:top w:val="nil"/>
              <w:left w:val="nil"/>
              <w:bottom w:val="nil"/>
              <w:right w:val="nil"/>
            </w:tcBorders>
            <w:shd w:val="clear" w:color="auto" w:fill="FFFFFF" w:themeFill="background1"/>
            <w:vAlign w:val="center"/>
          </w:tcPr>
          <w:p w14:paraId="63B6339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Semi-structured interviews (pre/post-intervention)</w:t>
            </w:r>
          </w:p>
        </w:tc>
        <w:tc>
          <w:tcPr>
            <w:tcW w:w="1434" w:type="dxa"/>
            <w:tcBorders>
              <w:top w:val="nil"/>
              <w:left w:val="nil"/>
              <w:bottom w:val="nil"/>
              <w:right w:val="nil"/>
            </w:tcBorders>
            <w:shd w:val="clear" w:color="auto" w:fill="FFFFFF" w:themeFill="background1"/>
            <w:vAlign w:val="center"/>
          </w:tcPr>
          <w:p w14:paraId="5FE620C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 57 patients/caregivers + 20 providers; Post: 45 intervention + 19 control</w:t>
            </w:r>
          </w:p>
        </w:tc>
        <w:tc>
          <w:tcPr>
            <w:tcW w:w="1602" w:type="dxa"/>
            <w:tcBorders>
              <w:top w:val="nil"/>
              <w:left w:val="nil"/>
              <w:bottom w:val="nil"/>
              <w:right w:val="nil"/>
            </w:tcBorders>
            <w:shd w:val="clear" w:color="auto" w:fill="FFFFFF" w:themeFill="background1"/>
            <w:vAlign w:val="center"/>
          </w:tcPr>
          <w:p w14:paraId="1A84C5A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Acute febrile illnesses (e.g., RTIs)</w:t>
            </w:r>
          </w:p>
        </w:tc>
        <w:tc>
          <w:tcPr>
            <w:tcW w:w="2011" w:type="dxa"/>
            <w:tcBorders>
              <w:top w:val="nil"/>
              <w:left w:val="nil"/>
              <w:bottom w:val="nil"/>
              <w:right w:val="nil"/>
            </w:tcBorders>
            <w:shd w:val="clear" w:color="auto" w:fill="FFFFFF" w:themeFill="background1"/>
            <w:vAlign w:val="center"/>
          </w:tcPr>
          <w:p w14:paraId="729FF44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Adherence influenced by knowledge, communication, beliefs.</w:t>
            </w:r>
          </w:p>
        </w:tc>
        <w:tc>
          <w:tcPr>
            <w:tcW w:w="1748" w:type="dxa"/>
            <w:tcBorders>
              <w:top w:val="nil"/>
              <w:left w:val="nil"/>
              <w:bottom w:val="nil"/>
              <w:right w:val="nil"/>
            </w:tcBorders>
            <w:shd w:val="clear" w:color="auto" w:fill="FFFFFF" w:themeFill="background1"/>
            <w:vAlign w:val="center"/>
          </w:tcPr>
          <w:p w14:paraId="7D6A5839">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Train communication skills, improve patient education on self-medication risks.</w:t>
            </w:r>
          </w:p>
        </w:tc>
        <w:tc>
          <w:tcPr>
            <w:tcW w:w="1621" w:type="dxa"/>
            <w:tcBorders>
              <w:top w:val="nil"/>
              <w:left w:val="nil"/>
              <w:bottom w:val="nil"/>
              <w:right w:val="nil"/>
            </w:tcBorders>
            <w:shd w:val="clear" w:color="auto" w:fill="FFFFFF" w:themeFill="background1"/>
            <w:vAlign w:val="center"/>
          </w:tcPr>
          <w:p w14:paraId="0210A188">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6A156D27">
        <w:tblPrEx>
          <w:shd w:val="clear" w:color="auto" w:fill="FFFFFF" w:themeFill="background1"/>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454F94EA">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Talkhana H et al.</w:t>
            </w:r>
            <w:r>
              <w:rPr>
                <w:rFonts w:hint="eastAsia" w:ascii="Times New Roman" w:hAnsi="Times New Roman" w:eastAsia="宋体" w:cs="Times New Roman"/>
                <w:color w:val="000000"/>
                <w:kern w:val="0"/>
                <w:sz w:val="22"/>
                <w:lang w:bidi="ar"/>
              </w:rPr>
              <w:t>(2024)</w:t>
            </w:r>
          </w:p>
        </w:tc>
        <w:tc>
          <w:tcPr>
            <w:tcW w:w="1560" w:type="dxa"/>
            <w:tcBorders>
              <w:top w:val="nil"/>
              <w:left w:val="nil"/>
              <w:bottom w:val="nil"/>
              <w:right w:val="nil"/>
            </w:tcBorders>
            <w:shd w:val="clear" w:color="auto" w:fill="FFFFFF" w:themeFill="background1"/>
            <w:vAlign w:val="center"/>
          </w:tcPr>
          <w:p w14:paraId="19109C9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Resources, social influences, knowledge</w:t>
            </w:r>
          </w:p>
        </w:tc>
        <w:tc>
          <w:tcPr>
            <w:tcW w:w="2294" w:type="dxa"/>
            <w:tcBorders>
              <w:top w:val="nil"/>
              <w:left w:val="nil"/>
              <w:bottom w:val="nil"/>
              <w:right w:val="nil"/>
            </w:tcBorders>
            <w:shd w:val="clear" w:color="auto" w:fill="FFFFFF" w:themeFill="background1"/>
            <w:vAlign w:val="center"/>
          </w:tcPr>
          <w:p w14:paraId="2D532C10">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6ACE1CE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Qatari hospitals</w:t>
            </w:r>
          </w:p>
        </w:tc>
        <w:tc>
          <w:tcPr>
            <w:tcW w:w="1680" w:type="dxa"/>
            <w:tcBorders>
              <w:top w:val="nil"/>
              <w:left w:val="nil"/>
              <w:bottom w:val="nil"/>
              <w:right w:val="nil"/>
            </w:tcBorders>
            <w:shd w:val="clear" w:color="auto" w:fill="FFFFFF" w:themeFill="background1"/>
            <w:vAlign w:val="center"/>
          </w:tcPr>
          <w:p w14:paraId="0038BC5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Video interviews</w:t>
            </w:r>
          </w:p>
        </w:tc>
        <w:tc>
          <w:tcPr>
            <w:tcW w:w="1434" w:type="dxa"/>
            <w:tcBorders>
              <w:top w:val="nil"/>
              <w:left w:val="nil"/>
              <w:bottom w:val="nil"/>
              <w:right w:val="nil"/>
            </w:tcBorders>
            <w:shd w:val="clear" w:color="auto" w:fill="FFFFFF" w:themeFill="background1"/>
            <w:vAlign w:val="center"/>
          </w:tcPr>
          <w:p w14:paraId="1B9F16D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 (8 doctors + 8 pharmacists)</w:t>
            </w:r>
          </w:p>
        </w:tc>
        <w:tc>
          <w:tcPr>
            <w:tcW w:w="1602" w:type="dxa"/>
            <w:tcBorders>
              <w:top w:val="nil"/>
              <w:left w:val="nil"/>
              <w:bottom w:val="nil"/>
              <w:right w:val="nil"/>
            </w:tcBorders>
            <w:shd w:val="clear" w:color="auto" w:fill="FFFFFF" w:themeFill="background1"/>
            <w:vAlign w:val="center"/>
          </w:tcPr>
          <w:p w14:paraId="413B6ABB">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Antimicrobial prescribing</w:t>
            </w:r>
          </w:p>
        </w:tc>
        <w:tc>
          <w:tcPr>
            <w:tcW w:w="2011" w:type="dxa"/>
            <w:tcBorders>
              <w:top w:val="nil"/>
              <w:left w:val="nil"/>
              <w:bottom w:val="nil"/>
              <w:right w:val="nil"/>
            </w:tcBorders>
            <w:shd w:val="clear" w:color="auto" w:fill="FFFFFF" w:themeFill="background1"/>
            <w:vAlign w:val="center"/>
          </w:tcPr>
          <w:p w14:paraId="1F7A5423">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Behavior is multifactorial; key barriers: resources, social influences; facilitators: guideline adherence.</w:t>
            </w:r>
          </w:p>
        </w:tc>
        <w:tc>
          <w:tcPr>
            <w:tcW w:w="1748" w:type="dxa"/>
            <w:tcBorders>
              <w:top w:val="nil"/>
              <w:left w:val="nil"/>
              <w:bottom w:val="nil"/>
              <w:right w:val="nil"/>
            </w:tcBorders>
            <w:shd w:val="clear" w:color="auto" w:fill="FFFFFF" w:themeFill="background1"/>
            <w:vAlign w:val="center"/>
          </w:tcPr>
          <w:p w14:paraId="32FA922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 findings to behavior change techniques (BCTs) for targeted BCIs to combat AMR.</w:t>
            </w:r>
          </w:p>
        </w:tc>
        <w:tc>
          <w:tcPr>
            <w:tcW w:w="1621" w:type="dxa"/>
            <w:tcBorders>
              <w:top w:val="nil"/>
              <w:left w:val="nil"/>
              <w:bottom w:val="nil"/>
              <w:right w:val="nil"/>
            </w:tcBorders>
            <w:shd w:val="clear" w:color="auto" w:fill="FFFFFF" w:themeFill="background1"/>
            <w:vAlign w:val="center"/>
          </w:tcPr>
          <w:p w14:paraId="6558132A">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70F0FA66">
        <w:tblPrEx>
          <w:tblCellMar>
            <w:top w:w="0" w:type="dxa"/>
            <w:left w:w="108" w:type="dxa"/>
            <w:bottom w:w="0" w:type="dxa"/>
            <w:right w:w="108" w:type="dxa"/>
          </w:tblCellMar>
        </w:tblPrEx>
        <w:trPr>
          <w:cantSplit/>
          <w:trHeight w:val="0" w:hRule="atLeast"/>
          <w:jc w:val="center"/>
        </w:trPr>
        <w:tc>
          <w:tcPr>
            <w:tcW w:w="1223" w:type="dxa"/>
            <w:tcBorders>
              <w:top w:val="nil"/>
              <w:left w:val="nil"/>
              <w:bottom w:val="nil"/>
              <w:right w:val="nil"/>
            </w:tcBorders>
            <w:shd w:val="clear" w:color="auto" w:fill="FFFFFF" w:themeFill="background1"/>
            <w:vAlign w:val="center"/>
          </w:tcPr>
          <w:p w14:paraId="15E4CF9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Vaughn VM et al.</w:t>
            </w:r>
            <w:r>
              <w:rPr>
                <w:rFonts w:hint="eastAsia" w:ascii="Times New Roman" w:hAnsi="Times New Roman" w:eastAsia="宋体" w:cs="Times New Roman"/>
                <w:color w:val="000000"/>
                <w:kern w:val="0"/>
                <w:sz w:val="22"/>
                <w:lang w:bidi="ar"/>
              </w:rPr>
              <w:t>(2024)</w:t>
            </w:r>
          </w:p>
        </w:tc>
        <w:tc>
          <w:tcPr>
            <w:tcW w:w="1560" w:type="dxa"/>
            <w:tcBorders>
              <w:top w:val="nil"/>
              <w:left w:val="nil"/>
              <w:bottom w:val="nil"/>
              <w:right w:val="nil"/>
            </w:tcBorders>
            <w:shd w:val="clear" w:color="auto" w:fill="FFFFFF" w:themeFill="background1"/>
            <w:vAlign w:val="center"/>
          </w:tcPr>
          <w:p w14:paraId="05FBAE31">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Teamwork, guidelines, infrastructure</w:t>
            </w:r>
          </w:p>
        </w:tc>
        <w:tc>
          <w:tcPr>
            <w:tcW w:w="2294" w:type="dxa"/>
            <w:tcBorders>
              <w:top w:val="nil"/>
              <w:left w:val="nil"/>
              <w:bottom w:val="nil"/>
              <w:right w:val="nil"/>
            </w:tcBorders>
            <w:shd w:val="clear" w:color="auto" w:fill="FFFFFF" w:themeFill="background1"/>
            <w:vAlign w:val="center"/>
          </w:tcPr>
          <w:p w14:paraId="23565057">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Environmental Factors</w:t>
            </w:r>
          </w:p>
        </w:tc>
        <w:tc>
          <w:tcPr>
            <w:tcW w:w="1079" w:type="dxa"/>
            <w:tcBorders>
              <w:top w:val="nil"/>
              <w:left w:val="nil"/>
              <w:bottom w:val="nil"/>
              <w:right w:val="nil"/>
            </w:tcBorders>
            <w:shd w:val="clear" w:color="auto" w:fill="FFFFFF" w:themeFill="background1"/>
            <w:vAlign w:val="center"/>
          </w:tcPr>
          <w:p w14:paraId="4154D87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US hospitals (academic, community, rural)</w:t>
            </w:r>
          </w:p>
        </w:tc>
        <w:tc>
          <w:tcPr>
            <w:tcW w:w="1680" w:type="dxa"/>
            <w:tcBorders>
              <w:top w:val="nil"/>
              <w:left w:val="nil"/>
              <w:bottom w:val="nil"/>
              <w:right w:val="nil"/>
            </w:tcBorders>
            <w:shd w:val="clear" w:color="auto" w:fill="FFFFFF" w:themeFill="background1"/>
            <w:vAlign w:val="center"/>
          </w:tcPr>
          <w:p w14:paraId="6F015CA4">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Surveys, interviews, document review</w:t>
            </w:r>
          </w:p>
        </w:tc>
        <w:tc>
          <w:tcPr>
            <w:tcW w:w="1434" w:type="dxa"/>
            <w:tcBorders>
              <w:top w:val="nil"/>
              <w:left w:val="nil"/>
              <w:bottom w:val="nil"/>
              <w:right w:val="nil"/>
            </w:tcBorders>
            <w:shd w:val="clear" w:color="auto" w:fill="FFFFFF" w:themeFill="background1"/>
            <w:vAlign w:val="center"/>
          </w:tcPr>
          <w:p w14:paraId="224BF2BF">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 (doctors, pharmacists, administrators)</w:t>
            </w:r>
          </w:p>
        </w:tc>
        <w:tc>
          <w:tcPr>
            <w:tcW w:w="1602" w:type="dxa"/>
            <w:tcBorders>
              <w:top w:val="nil"/>
              <w:left w:val="nil"/>
              <w:bottom w:val="nil"/>
              <w:right w:val="nil"/>
            </w:tcBorders>
            <w:shd w:val="clear" w:color="auto" w:fill="FFFFFF" w:themeFill="background1"/>
            <w:vAlign w:val="center"/>
          </w:tcPr>
          <w:p w14:paraId="56AC43E8">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Hospital antimicrobial use</w:t>
            </w:r>
          </w:p>
        </w:tc>
        <w:tc>
          <w:tcPr>
            <w:tcW w:w="2011" w:type="dxa"/>
            <w:tcBorders>
              <w:top w:val="nil"/>
              <w:left w:val="nil"/>
              <w:bottom w:val="nil"/>
              <w:right w:val="nil"/>
            </w:tcBorders>
            <w:shd w:val="clear" w:color="auto" w:fill="FFFFFF" w:themeFill="background1"/>
            <w:vAlign w:val="center"/>
          </w:tcPr>
          <w:p w14:paraId="29B5EFCD">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High-performing hospitals excel in knowledge-sharing, teamwork, infrastructure, and ID engagement.</w:t>
            </w:r>
          </w:p>
        </w:tc>
        <w:tc>
          <w:tcPr>
            <w:tcW w:w="1748" w:type="dxa"/>
            <w:tcBorders>
              <w:top w:val="nil"/>
              <w:left w:val="nil"/>
              <w:bottom w:val="nil"/>
              <w:right w:val="nil"/>
            </w:tcBorders>
            <w:shd w:val="clear" w:color="auto" w:fill="FFFFFF" w:themeFill="background1"/>
            <w:vAlign w:val="center"/>
          </w:tcPr>
          <w:p w14:paraId="43BD611E">
            <w:pPr>
              <w:widowControl/>
              <w:snapToGrid w:val="0"/>
              <w:ind w:left="0" w:leftChars="0" w:right="0" w:rightChars="0" w:firstLine="0" w:firstLineChars="0"/>
              <w:jc w:val="left"/>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Update/embed guidelines in decision tools; foster pharmacist-MD interactions; user-centered tool design; ID physician involvement.</w:t>
            </w:r>
          </w:p>
        </w:tc>
        <w:tc>
          <w:tcPr>
            <w:tcW w:w="1621" w:type="dxa"/>
            <w:tcBorders>
              <w:top w:val="nil"/>
              <w:left w:val="nil"/>
              <w:bottom w:val="nil"/>
              <w:right w:val="nil"/>
            </w:tcBorders>
            <w:shd w:val="clear" w:color="auto" w:fill="FFFFFF" w:themeFill="background1"/>
            <w:vAlign w:val="center"/>
          </w:tcPr>
          <w:p w14:paraId="42DB274E">
            <w:pPr>
              <w:widowControl/>
              <w:snapToGrid w:val="0"/>
              <w:ind w:left="0" w:leftChars="0" w:right="0" w:rightChars="0" w:firstLine="0" w:firstLineChars="0"/>
              <w:jc w:val="center"/>
              <w:textAlignment w:val="center"/>
              <w:rPr>
                <w:rFonts w:ascii="Times New Roman" w:hAnsi="Times New Roman" w:eastAsia="宋体"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bl>
    <w:p w14:paraId="5CE3E325">
      <w:pPr>
        <w:spacing w:line="360" w:lineRule="auto"/>
        <w:ind w:firstLine="480" w:firstLineChars="200"/>
        <w:jc w:val="both"/>
        <w:rPr>
          <w:rFonts w:ascii="Times New Roman" w:hAnsi="Times New Roman" w:eastAsia="宋体" w:cs="Times New Roman"/>
          <w:sz w:val="24"/>
          <w:szCs w:val="24"/>
          <w:lang w:bidi="ar"/>
        </w:rPr>
      </w:pPr>
      <w:r>
        <w:rPr>
          <w:rFonts w:hint="eastAsia" w:ascii="Times New Roman" w:hAnsi="Times New Roman" w:eastAsia="宋体" w:cs="Times New Roman"/>
          <w:sz w:val="24"/>
          <w:szCs w:val="24"/>
          <w:lang w:bidi="ar"/>
        </w:rPr>
        <w:t>Eighteen studies were ultimately included in the influencing factors domain, mainly from high-income countries (12 studies), while also covering middle- and low-income countries such as Laos, Nepal, and Egypt (6 studies). The research methods included semi-structured interviews (16 studies), focus groups (4 studies), and in-depth interviews (2 studies), with the samples focusing on medical professionals. The research settings were mainly tertiary hospitals, emergency departments, and ICUs. The analysis of influencing factors revealed that environmental/system factors (14 studies, such as team collaboration, resource constraints, and workload) were the dominant factors; together with prescriber factors (2 studies, such as knowledge/experience and decision-making confidence) and patient factors (3 studies, such as social expectations and communication needs), they formed a multi-factor driving system.</w:t>
      </w:r>
    </w:p>
    <w:p w14:paraId="436D37DC">
      <w:pPr>
        <w:spacing w:line="360" w:lineRule="auto"/>
        <w:ind w:firstLine="480" w:firstLineChars="200"/>
        <w:jc w:val="both"/>
        <w:rPr>
          <w:rFonts w:ascii="Times New Roman" w:hAnsi="Times New Roman" w:eastAsia="宋体" w:cs="Times New Roman"/>
          <w:sz w:val="24"/>
          <w:szCs w:val="24"/>
          <w:lang w:bidi="ar"/>
        </w:rPr>
      </w:pPr>
      <w:r>
        <w:rPr>
          <w:rFonts w:hint="eastAsia" w:ascii="Times New Roman" w:hAnsi="Times New Roman" w:eastAsia="宋体" w:cs="Times New Roman"/>
          <w:sz w:val="24"/>
          <w:szCs w:val="24"/>
          <w:lang w:bidi="ar"/>
        </w:rPr>
        <w:t>Among the prescribing factors, the lack of education and training is a significant issue. Studies have shown that resident doctors have deficiencies in knowledge and skills regarding the rational use of antibacterial drugs, which directly affects their prescribing decisions. At the same time, the personal beliefs, attitudes towards antibacterial drugs, and previous clinical experience of resident doctors further influence their prescribing decisions. Environmental factors are the key factors influencing the use of antibacterial drugs. The AMS policies of hospitals, departmental cultures, as well as the guidance and supervision from senior doctors play a crucial role in shaping the prescribing habits of resident doctors. Time pressure in clinical practice and the limited availability of diagnostic tools are also considered obstacles to optimizing prescriptions. Moreover, patient-related factors also have an impact on prescribing behavior. For instance, the patient's clinical condition, expectations, and communication with the doctor may sometimes lead to unnecessary use of antibacterial drugs. These factors do not exist independently but are intertwined and jointly act on the prescribing behavior of resident doctors regarding antibacterial drugs.</w:t>
      </w:r>
    </w:p>
    <w:p w14:paraId="50724939">
      <w:pPr>
        <w:spacing w:line="360" w:lineRule="auto"/>
        <w:ind w:firstLine="480" w:firstLineChars="200"/>
        <w:jc w:val="both"/>
        <w:rPr>
          <w:rFonts w:ascii="Times New Roman" w:hAnsi="Times New Roman" w:cs="Times New Roman"/>
          <w:b/>
          <w:bCs/>
          <w:sz w:val="24"/>
          <w:szCs w:val="24"/>
        </w:rPr>
      </w:pPr>
      <w:r>
        <w:rPr>
          <w:rFonts w:hint="eastAsia" w:ascii="Times New Roman" w:hAnsi="Times New Roman" w:eastAsia="宋体" w:cs="Times New Roman"/>
          <w:sz w:val="24"/>
          <w:szCs w:val="24"/>
          <w:lang w:bidi="ar"/>
        </w:rPr>
        <w:t>The qualitative intervention measure analysis integrated the results of 2 studies to evaluate the effectiveness of different intervention measures in improving the prescribing behavior of resident physicians regarding antimicrobial drugs. Both studies aimed to enhance the appropriateness of antimicrobial drug use as their core objective, and tailored the intervention measures according to the specific context they were in. For instance, in 2006, a three-level feedback model was introduced at the Hillel Yaffe Medical Center in Israel, integrating management measures, redesigned prescription authorization processes, and the activities of clinical pharmacists in the wards, significantly reducing the use of intravenous antimicrobial drugs. This approach aimed to promote cost-effective antimicrobial drug use while maintaining high-quality care. In contrast, in 2018, a modified Delphi method was adopted, and a multidisciplinary expert group consisting of clinicians was convened to reach consensus on the standards for appropriate antimicrobial drug prescribing in multiple academic hospitals' intensive care units.</w:t>
      </w:r>
      <w:r>
        <w:rPr>
          <w:rFonts w:hint="eastAsia" w:ascii="Times New Roman" w:hAnsi="Times New Roman" w:cs="Times New Roman"/>
          <w:b/>
          <w:bCs/>
          <w:sz w:val="24"/>
          <w:szCs w:val="24"/>
        </w:rPr>
        <w:br w:type="page"/>
      </w:r>
    </w:p>
    <w:p w14:paraId="4B6FF7A2">
      <w:pPr>
        <w:rPr>
          <w:rFonts w:ascii="Times New Roman" w:hAnsi="Times New Roman" w:cs="Times New Roman"/>
          <w:b/>
          <w:bCs/>
          <w:sz w:val="28"/>
          <w:szCs w:val="28"/>
        </w:rPr>
        <w:sectPr>
          <w:pgSz w:w="16838" w:h="11906" w:orient="landscape"/>
          <w:pgMar w:top="1800" w:right="1440" w:bottom="1800" w:left="1440" w:header="851" w:footer="992" w:gutter="0"/>
          <w:cols w:space="425" w:num="1"/>
          <w:docGrid w:type="lines" w:linePitch="312" w:charSpace="0"/>
        </w:sectPr>
      </w:pPr>
    </w:p>
    <w:p w14:paraId="27490B3E">
      <w:pPr>
        <w:rPr>
          <w:rFonts w:ascii="Times New Roman" w:hAnsi="Times New Roman" w:cs="Times New Roman"/>
          <w:szCs w:val="21"/>
        </w:rPr>
      </w:pPr>
      <w:r>
        <w:rPr>
          <w:rFonts w:ascii="Times New Roman" w:hAnsi="Times New Roman" w:cs="Times New Roman"/>
          <w:b/>
          <w:bCs/>
          <w:szCs w:val="21"/>
        </w:rPr>
        <w:t>Table</w:t>
      </w:r>
      <w:r>
        <w:rPr>
          <w:rFonts w:hint="eastAsia" w:ascii="Times New Roman" w:hAnsi="Times New Roman" w:cs="Times New Roman"/>
          <w:b/>
          <w:bCs/>
          <w:szCs w:val="21"/>
        </w:rPr>
        <w:t xml:space="preserve"> A8. </w:t>
      </w:r>
      <w:r>
        <w:rPr>
          <w:rFonts w:hint="eastAsia" w:ascii="Times New Roman" w:hAnsi="Times New Roman" w:cs="Times New Roman"/>
          <w:szCs w:val="21"/>
        </w:rPr>
        <w:t>Characteristics of Quantitative research on the influencing factors of antimicrobial drug prescriptions</w:t>
      </w:r>
    </w:p>
    <w:tbl>
      <w:tblPr>
        <w:tblStyle w:val="6"/>
        <w:tblW w:w="1091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2217"/>
        <w:gridCol w:w="1145"/>
        <w:gridCol w:w="2305"/>
        <w:gridCol w:w="1300"/>
        <w:gridCol w:w="700"/>
        <w:gridCol w:w="1640"/>
        <w:gridCol w:w="1612"/>
      </w:tblGrid>
      <w:tr w14:paraId="723AF1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tblHeader/>
          <w:jc w:val="center"/>
        </w:trPr>
        <w:tc>
          <w:tcPr>
            <w:tcW w:w="2217" w:type="dxa"/>
            <w:tcBorders>
              <w:top w:val="nil"/>
              <w:bottom w:val="nil"/>
            </w:tcBorders>
            <w:shd w:val="clear" w:color="auto" w:fill="B4C6E7" w:themeFill="accent1" w:themeFillTint="66"/>
            <w:vAlign w:val="center"/>
          </w:tcPr>
          <w:p w14:paraId="7F174B6A">
            <w:pPr>
              <w:widowControl/>
              <w:snapToGrid w:val="0"/>
              <w:ind w:left="0" w:leftChars="0" w:right="0" w:rightChars="0" w:firstLine="0" w:firstLineChars="0"/>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Author</w:t>
            </w:r>
          </w:p>
          <w:p w14:paraId="38411175">
            <w:pPr>
              <w:widowControl/>
              <w:snapToGrid w:val="0"/>
              <w:ind w:left="0" w:leftChars="0" w:right="0" w:rightChars="0" w:firstLine="0" w:firstLineChars="0"/>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(Year)</w:t>
            </w:r>
          </w:p>
        </w:tc>
        <w:tc>
          <w:tcPr>
            <w:tcW w:w="1145" w:type="dxa"/>
            <w:tcBorders>
              <w:top w:val="nil"/>
              <w:bottom w:val="nil"/>
            </w:tcBorders>
            <w:shd w:val="clear" w:color="auto" w:fill="B4C6E7" w:themeFill="accent1" w:themeFillTint="66"/>
            <w:vAlign w:val="center"/>
          </w:tcPr>
          <w:p w14:paraId="3347775E">
            <w:pPr>
              <w:widowControl/>
              <w:snapToGrid w:val="0"/>
              <w:ind w:left="0" w:leftChars="0" w:right="0" w:rightChars="0" w:firstLine="0" w:firstLineChars="0"/>
              <w:jc w:val="center"/>
              <w:textAlignment w:val="top"/>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Study Design</w:t>
            </w:r>
          </w:p>
        </w:tc>
        <w:tc>
          <w:tcPr>
            <w:tcW w:w="2305" w:type="dxa"/>
            <w:tcBorders>
              <w:top w:val="nil"/>
              <w:bottom w:val="nil"/>
            </w:tcBorders>
            <w:shd w:val="clear" w:color="auto" w:fill="B4C6E7" w:themeFill="accent1" w:themeFillTint="66"/>
            <w:vAlign w:val="center"/>
          </w:tcPr>
          <w:p w14:paraId="57BB1E06">
            <w:pPr>
              <w:widowControl/>
              <w:snapToGrid w:val="0"/>
              <w:ind w:left="0" w:leftChars="0" w:right="0" w:rightChars="0" w:firstLine="0" w:firstLineChars="0"/>
              <w:jc w:val="center"/>
              <w:textAlignment w:val="top"/>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Area of Influence</w:t>
            </w:r>
          </w:p>
        </w:tc>
        <w:tc>
          <w:tcPr>
            <w:tcW w:w="1300" w:type="dxa"/>
            <w:tcBorders>
              <w:top w:val="nil"/>
              <w:bottom w:val="nil"/>
            </w:tcBorders>
            <w:shd w:val="clear" w:color="auto" w:fill="B4C6E7" w:themeFill="accent1" w:themeFillTint="66"/>
            <w:vAlign w:val="center"/>
          </w:tcPr>
          <w:p w14:paraId="407BB3F5">
            <w:pPr>
              <w:widowControl/>
              <w:snapToGrid w:val="0"/>
              <w:ind w:left="0" w:leftChars="0" w:right="0" w:rightChars="0" w:firstLine="0" w:firstLineChars="0"/>
              <w:jc w:val="center"/>
              <w:textAlignment w:val="top"/>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Classification</w:t>
            </w:r>
          </w:p>
        </w:tc>
        <w:tc>
          <w:tcPr>
            <w:tcW w:w="700" w:type="dxa"/>
            <w:tcBorders>
              <w:top w:val="nil"/>
              <w:bottom w:val="nil"/>
            </w:tcBorders>
            <w:shd w:val="clear" w:color="auto" w:fill="B4C6E7" w:themeFill="accent1" w:themeFillTint="66"/>
            <w:vAlign w:val="center"/>
          </w:tcPr>
          <w:p w14:paraId="64B3876F">
            <w:pPr>
              <w:widowControl/>
              <w:snapToGrid w:val="0"/>
              <w:ind w:left="0" w:leftChars="0" w:right="0" w:rightChars="0" w:firstLine="0" w:firstLineChars="0"/>
              <w:jc w:val="center"/>
              <w:textAlignment w:val="top"/>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Number of Participants</w:t>
            </w:r>
          </w:p>
        </w:tc>
        <w:tc>
          <w:tcPr>
            <w:tcW w:w="1640" w:type="dxa"/>
            <w:tcBorders>
              <w:top w:val="nil"/>
              <w:bottom w:val="nil"/>
            </w:tcBorders>
            <w:shd w:val="clear" w:color="auto" w:fill="B4C6E7" w:themeFill="accent1" w:themeFillTint="66"/>
            <w:vAlign w:val="center"/>
          </w:tcPr>
          <w:p w14:paraId="565F8776">
            <w:pPr>
              <w:widowControl/>
              <w:snapToGrid w:val="0"/>
              <w:ind w:left="0" w:leftChars="0" w:right="0" w:rightChars="0" w:firstLine="0" w:firstLineChars="0"/>
              <w:jc w:val="center"/>
              <w:textAlignment w:val="top"/>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Number of People Who Agree That the Factor Affects Antibiotic Use</w:t>
            </w:r>
          </w:p>
        </w:tc>
        <w:tc>
          <w:tcPr>
            <w:tcW w:w="1612" w:type="dxa"/>
            <w:tcBorders>
              <w:top w:val="nil"/>
              <w:bottom w:val="nil"/>
            </w:tcBorders>
            <w:shd w:val="clear" w:color="auto" w:fill="B4C6E7" w:themeFill="accent1" w:themeFillTint="66"/>
            <w:vAlign w:val="center"/>
          </w:tcPr>
          <w:p w14:paraId="6230A48B">
            <w:pPr>
              <w:widowControl/>
              <w:snapToGrid w:val="0"/>
              <w:ind w:left="0" w:leftChars="0" w:right="0" w:rightChars="0" w:firstLine="0" w:firstLineChars="0"/>
              <w:jc w:val="center"/>
              <w:textAlignment w:val="top"/>
              <w:rPr>
                <w:rFonts w:ascii="Times New Roman" w:hAnsi="Times New Roman" w:eastAsia="宋体" w:cs="Times New Roman"/>
                <w:b/>
                <w:bCs/>
                <w:kern w:val="0"/>
                <w:sz w:val="21"/>
                <w:szCs w:val="21"/>
                <w:lang w:bidi="ar"/>
              </w:rPr>
            </w:pPr>
            <w:r>
              <w:rPr>
                <w:rFonts w:hint="eastAsia" w:ascii="Times New Roman" w:hAnsi="Times New Roman" w:eastAsia="宋体" w:cs="Times New Roman"/>
                <w:b/>
                <w:bCs/>
                <w:kern w:val="0"/>
                <w:sz w:val="21"/>
                <w:szCs w:val="21"/>
                <w:lang w:bidi="ar"/>
              </w:rPr>
              <w:t>AMS Infrastructure/Support</w:t>
            </w:r>
          </w:p>
        </w:tc>
      </w:tr>
      <w:tr w14:paraId="6AAFB9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tcBorders>
              <w:top w:val="nil"/>
            </w:tcBorders>
            <w:shd w:val="clear" w:color="auto" w:fill="FFFFFF" w:themeFill="background1"/>
            <w:vAlign w:val="center"/>
          </w:tcPr>
          <w:p w14:paraId="110F566B">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B. Ramasubbu et al.（2017）</w:t>
            </w:r>
          </w:p>
        </w:tc>
        <w:tc>
          <w:tcPr>
            <w:tcW w:w="1145" w:type="dxa"/>
            <w:tcBorders>
              <w:top w:val="nil"/>
            </w:tcBorders>
            <w:shd w:val="clear" w:color="auto" w:fill="FFFFFF" w:themeFill="background1"/>
            <w:vAlign w:val="center"/>
          </w:tcPr>
          <w:p w14:paraId="1472F03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Multicenter cross-sectional study</w:t>
            </w:r>
          </w:p>
        </w:tc>
        <w:tc>
          <w:tcPr>
            <w:tcW w:w="2305" w:type="dxa"/>
            <w:tcBorders>
              <w:top w:val="nil"/>
            </w:tcBorders>
            <w:shd w:val="clear" w:color="auto" w:fill="FFFFFF" w:themeFill="background1"/>
            <w:vAlign w:val="center"/>
          </w:tcPr>
          <w:p w14:paraId="1876EB7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Local departmental policies</w:t>
            </w:r>
          </w:p>
        </w:tc>
        <w:tc>
          <w:tcPr>
            <w:tcW w:w="1300" w:type="dxa"/>
            <w:tcBorders>
              <w:top w:val="nil"/>
            </w:tcBorders>
            <w:shd w:val="clear" w:color="auto" w:fill="FFFFFF" w:themeFill="background1"/>
            <w:noWrap/>
            <w:vAlign w:val="center"/>
          </w:tcPr>
          <w:p w14:paraId="2533FA8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tcBorders>
              <w:top w:val="nil"/>
            </w:tcBorders>
            <w:shd w:val="clear" w:color="auto" w:fill="FFFFFF" w:themeFill="background1"/>
            <w:vAlign w:val="center"/>
          </w:tcPr>
          <w:p w14:paraId="561E5BF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179</w:t>
            </w:r>
          </w:p>
        </w:tc>
        <w:tc>
          <w:tcPr>
            <w:tcW w:w="1640" w:type="dxa"/>
            <w:tcBorders>
              <w:top w:val="nil"/>
            </w:tcBorders>
            <w:shd w:val="clear" w:color="auto" w:fill="FFFFFF" w:themeFill="background1"/>
            <w:vAlign w:val="center"/>
          </w:tcPr>
          <w:p w14:paraId="65BAED8B">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106</w:t>
            </w:r>
          </w:p>
        </w:tc>
        <w:tc>
          <w:tcPr>
            <w:tcW w:w="1612" w:type="dxa"/>
            <w:tcBorders>
              <w:top w:val="nil"/>
            </w:tcBorders>
            <w:shd w:val="clear" w:color="auto" w:fill="FFFFFF" w:themeFill="background1"/>
            <w:vAlign w:val="center"/>
          </w:tcPr>
          <w:p w14:paraId="0CDC775F">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6CB865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2AC17616">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Chonlanan Wiboonchutikula  et al.（2023）</w:t>
            </w:r>
          </w:p>
        </w:tc>
        <w:tc>
          <w:tcPr>
            <w:tcW w:w="1145" w:type="dxa"/>
            <w:shd w:val="clear" w:color="auto" w:fill="FFFFFF" w:themeFill="background1"/>
            <w:vAlign w:val="center"/>
          </w:tcPr>
          <w:p w14:paraId="5ADBFD16">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4891FB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Initial stage: Appropriate examination</w:t>
            </w:r>
          </w:p>
        </w:tc>
        <w:tc>
          <w:tcPr>
            <w:tcW w:w="1300" w:type="dxa"/>
            <w:shd w:val="clear" w:color="auto" w:fill="FFFFFF" w:themeFill="background1"/>
            <w:noWrap/>
            <w:vAlign w:val="center"/>
          </w:tcPr>
          <w:p w14:paraId="5B9195F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7B32848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367</w:t>
            </w:r>
          </w:p>
        </w:tc>
        <w:tc>
          <w:tcPr>
            <w:tcW w:w="1640" w:type="dxa"/>
            <w:shd w:val="clear" w:color="auto" w:fill="FFFFFF" w:themeFill="background1"/>
            <w:vAlign w:val="center"/>
          </w:tcPr>
          <w:p w14:paraId="5C126B6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271</w:t>
            </w:r>
          </w:p>
        </w:tc>
        <w:tc>
          <w:tcPr>
            <w:tcW w:w="1612" w:type="dxa"/>
            <w:vMerge w:val="restart"/>
            <w:shd w:val="clear" w:color="auto" w:fill="FFFFFF" w:themeFill="background1"/>
            <w:vAlign w:val="center"/>
          </w:tcPr>
          <w:p w14:paraId="632620FD">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41363C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42CCCA04">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Chonlanan Wiboonchutikula  et al.（2023）</w:t>
            </w:r>
          </w:p>
        </w:tc>
        <w:tc>
          <w:tcPr>
            <w:tcW w:w="1145" w:type="dxa"/>
            <w:shd w:val="clear" w:color="auto" w:fill="FFFFFF" w:themeFill="background1"/>
            <w:vAlign w:val="center"/>
          </w:tcPr>
          <w:p w14:paraId="456ED7B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8556BC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Initial stage: Interns</w:t>
            </w:r>
          </w:p>
        </w:tc>
        <w:tc>
          <w:tcPr>
            <w:tcW w:w="1300" w:type="dxa"/>
            <w:shd w:val="clear" w:color="auto" w:fill="FFFFFF" w:themeFill="background1"/>
            <w:noWrap/>
            <w:vAlign w:val="center"/>
          </w:tcPr>
          <w:p w14:paraId="1014A04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0255048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367</w:t>
            </w:r>
          </w:p>
        </w:tc>
        <w:tc>
          <w:tcPr>
            <w:tcW w:w="1640" w:type="dxa"/>
            <w:shd w:val="clear" w:color="auto" w:fill="FFFFFF" w:themeFill="background1"/>
            <w:vAlign w:val="center"/>
          </w:tcPr>
          <w:p w14:paraId="129C89BD">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112</w:t>
            </w:r>
          </w:p>
        </w:tc>
        <w:tc>
          <w:tcPr>
            <w:tcW w:w="1612" w:type="dxa"/>
            <w:vMerge w:val="continue"/>
            <w:shd w:val="clear" w:color="auto" w:fill="FFFFFF" w:themeFill="background1"/>
            <w:vAlign w:val="center"/>
          </w:tcPr>
          <w:p w14:paraId="2304FDD4">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124532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7781E883">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Chonlanan Wiboonchutikula  et al.（2023）</w:t>
            </w:r>
          </w:p>
        </w:tc>
        <w:tc>
          <w:tcPr>
            <w:tcW w:w="1145" w:type="dxa"/>
            <w:shd w:val="clear" w:color="auto" w:fill="FFFFFF" w:themeFill="background1"/>
            <w:vAlign w:val="center"/>
          </w:tcPr>
          <w:p w14:paraId="4DC1E765">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22D6E6A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Initial stage: Influenced by role models</w:t>
            </w:r>
          </w:p>
        </w:tc>
        <w:tc>
          <w:tcPr>
            <w:tcW w:w="1300" w:type="dxa"/>
            <w:shd w:val="clear" w:color="auto" w:fill="FFFFFF" w:themeFill="background1"/>
            <w:noWrap/>
            <w:vAlign w:val="center"/>
          </w:tcPr>
          <w:p w14:paraId="295A9FA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4AAC7F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367</w:t>
            </w:r>
          </w:p>
        </w:tc>
        <w:tc>
          <w:tcPr>
            <w:tcW w:w="1640" w:type="dxa"/>
            <w:shd w:val="clear" w:color="auto" w:fill="FFFFFF" w:themeFill="background1"/>
            <w:vAlign w:val="center"/>
          </w:tcPr>
          <w:p w14:paraId="76C63ED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87</w:t>
            </w:r>
          </w:p>
        </w:tc>
        <w:tc>
          <w:tcPr>
            <w:tcW w:w="1612" w:type="dxa"/>
            <w:vMerge w:val="continue"/>
            <w:shd w:val="clear" w:color="auto" w:fill="FFFFFF" w:themeFill="background1"/>
            <w:vAlign w:val="center"/>
          </w:tcPr>
          <w:p w14:paraId="12FD8D8E">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376567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71FD0B1B">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David J. Karras et al.（2003）</w:t>
            </w:r>
          </w:p>
        </w:tc>
        <w:tc>
          <w:tcPr>
            <w:tcW w:w="1145" w:type="dxa"/>
            <w:shd w:val="clear" w:color="auto" w:fill="FFFFFF" w:themeFill="background1"/>
            <w:vAlign w:val="center"/>
          </w:tcPr>
          <w:p w14:paraId="13A0028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Prospective observational cohort</w:t>
            </w:r>
          </w:p>
        </w:tc>
        <w:tc>
          <w:tcPr>
            <w:tcW w:w="2305" w:type="dxa"/>
            <w:shd w:val="clear" w:color="auto" w:fill="FFFFFF" w:themeFill="background1"/>
            <w:vAlign w:val="center"/>
          </w:tcPr>
          <w:p w14:paraId="7C8E7286">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symptoms and recent experiences (suggesting bacterial enteritis)</w:t>
            </w:r>
          </w:p>
        </w:tc>
        <w:tc>
          <w:tcPr>
            <w:tcW w:w="1300" w:type="dxa"/>
            <w:shd w:val="clear" w:color="auto" w:fill="FFFFFF" w:themeFill="background1"/>
            <w:noWrap/>
            <w:vAlign w:val="center"/>
          </w:tcPr>
          <w:p w14:paraId="7FCC6B5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603E37AD">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104</w:t>
            </w:r>
          </w:p>
        </w:tc>
        <w:tc>
          <w:tcPr>
            <w:tcW w:w="1640" w:type="dxa"/>
            <w:shd w:val="clear" w:color="auto" w:fill="FFFFFF" w:themeFill="background1"/>
            <w:vAlign w:val="center"/>
          </w:tcPr>
          <w:p w14:paraId="4DEAD0A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74</w:t>
            </w:r>
          </w:p>
        </w:tc>
        <w:tc>
          <w:tcPr>
            <w:tcW w:w="1612" w:type="dxa"/>
            <w:vMerge w:val="restart"/>
            <w:shd w:val="clear" w:color="auto" w:fill="FFFFFF" w:themeFill="background1"/>
            <w:vAlign w:val="center"/>
          </w:tcPr>
          <w:p w14:paraId="2C3F2202">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Not mentioned </w:t>
            </w:r>
          </w:p>
        </w:tc>
      </w:tr>
      <w:tr w14:paraId="16EF88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D784A31">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David J. Karras et al.（2003）</w:t>
            </w:r>
          </w:p>
        </w:tc>
        <w:tc>
          <w:tcPr>
            <w:tcW w:w="1145" w:type="dxa"/>
            <w:shd w:val="clear" w:color="auto" w:fill="FFFFFF" w:themeFill="background1"/>
            <w:vAlign w:val="center"/>
          </w:tcPr>
          <w:p w14:paraId="3AC32C9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Prospective observational cohort</w:t>
            </w:r>
          </w:p>
        </w:tc>
        <w:tc>
          <w:tcPr>
            <w:tcW w:w="2305" w:type="dxa"/>
            <w:shd w:val="clear" w:color="auto" w:fill="FFFFFF" w:themeFill="background1"/>
            <w:vAlign w:val="center"/>
          </w:tcPr>
          <w:p w14:paraId="6C92812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expectations</w:t>
            </w:r>
          </w:p>
        </w:tc>
        <w:tc>
          <w:tcPr>
            <w:tcW w:w="1300" w:type="dxa"/>
            <w:shd w:val="clear" w:color="auto" w:fill="FFFFFF" w:themeFill="background1"/>
            <w:noWrap/>
            <w:vAlign w:val="center"/>
          </w:tcPr>
          <w:p w14:paraId="4B72CA3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0DC5117A">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104</w:t>
            </w:r>
          </w:p>
        </w:tc>
        <w:tc>
          <w:tcPr>
            <w:tcW w:w="1640" w:type="dxa"/>
            <w:shd w:val="clear" w:color="auto" w:fill="FFFFFF" w:themeFill="background1"/>
            <w:vAlign w:val="center"/>
          </w:tcPr>
          <w:p w14:paraId="5C3C3934">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72</w:t>
            </w:r>
          </w:p>
        </w:tc>
        <w:tc>
          <w:tcPr>
            <w:tcW w:w="1612" w:type="dxa"/>
            <w:vMerge w:val="continue"/>
            <w:shd w:val="clear" w:color="auto" w:fill="FFFFFF" w:themeFill="background1"/>
            <w:vAlign w:val="center"/>
          </w:tcPr>
          <w:p w14:paraId="73F00B4B">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255E2E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D9FC719">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Dongzhe Hong et al.（2024）</w:t>
            </w:r>
          </w:p>
        </w:tc>
        <w:tc>
          <w:tcPr>
            <w:tcW w:w="1145" w:type="dxa"/>
            <w:shd w:val="clear" w:color="auto" w:fill="FFFFFF" w:themeFill="background1"/>
            <w:vAlign w:val="center"/>
          </w:tcPr>
          <w:p w14:paraId="25A603F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CF3EF2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Antibiotic cure rate</w:t>
            </w:r>
          </w:p>
        </w:tc>
        <w:tc>
          <w:tcPr>
            <w:tcW w:w="1300" w:type="dxa"/>
            <w:shd w:val="clear" w:color="auto" w:fill="FFFFFF" w:themeFill="background1"/>
            <w:noWrap/>
            <w:vAlign w:val="center"/>
          </w:tcPr>
          <w:p w14:paraId="6529A63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09DB900A">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w:t>
            </w:r>
          </w:p>
        </w:tc>
        <w:tc>
          <w:tcPr>
            <w:tcW w:w="1640" w:type="dxa"/>
            <w:shd w:val="clear" w:color="auto" w:fill="FFFFFF" w:themeFill="background1"/>
            <w:vAlign w:val="center"/>
          </w:tcPr>
          <w:p w14:paraId="4731783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w:t>
            </w:r>
          </w:p>
        </w:tc>
        <w:tc>
          <w:tcPr>
            <w:tcW w:w="1612" w:type="dxa"/>
            <w:vMerge w:val="restart"/>
            <w:shd w:val="clear" w:color="auto" w:fill="FFFFFF" w:themeFill="background1"/>
            <w:vAlign w:val="center"/>
          </w:tcPr>
          <w:p w14:paraId="3F6FBBD0">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2498A6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31822FB7">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Dongzhe Hong et al.（2024）</w:t>
            </w:r>
          </w:p>
        </w:tc>
        <w:tc>
          <w:tcPr>
            <w:tcW w:w="1145" w:type="dxa"/>
            <w:shd w:val="clear" w:color="auto" w:fill="FFFFFF" w:themeFill="background1"/>
            <w:vAlign w:val="center"/>
          </w:tcPr>
          <w:p w14:paraId="6A6D3DB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7BE6A00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infection severity</w:t>
            </w:r>
          </w:p>
        </w:tc>
        <w:tc>
          <w:tcPr>
            <w:tcW w:w="1300" w:type="dxa"/>
            <w:shd w:val="clear" w:color="auto" w:fill="FFFFFF" w:themeFill="background1"/>
            <w:noWrap/>
            <w:vAlign w:val="center"/>
          </w:tcPr>
          <w:p w14:paraId="5997007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10FABFA9">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w:t>
            </w:r>
          </w:p>
        </w:tc>
        <w:tc>
          <w:tcPr>
            <w:tcW w:w="1640" w:type="dxa"/>
            <w:shd w:val="clear" w:color="auto" w:fill="FFFFFF" w:themeFill="background1"/>
            <w:vAlign w:val="center"/>
          </w:tcPr>
          <w:p w14:paraId="7E9780B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w:t>
            </w:r>
          </w:p>
        </w:tc>
        <w:tc>
          <w:tcPr>
            <w:tcW w:w="1612" w:type="dxa"/>
            <w:vMerge w:val="continue"/>
            <w:shd w:val="clear" w:color="auto" w:fill="FFFFFF" w:themeFill="background1"/>
            <w:vAlign w:val="center"/>
          </w:tcPr>
          <w:p w14:paraId="3DDE161E">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29EDF7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3E2578B1">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Elsa Campoa et al.（2022）</w:t>
            </w:r>
          </w:p>
        </w:tc>
        <w:tc>
          <w:tcPr>
            <w:tcW w:w="1145" w:type="dxa"/>
            <w:shd w:val="clear" w:color="auto" w:fill="FFFFFF" w:themeFill="background1"/>
            <w:vAlign w:val="center"/>
          </w:tcPr>
          <w:p w14:paraId="3E93F2A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CD1783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Symptom control</w:t>
            </w:r>
          </w:p>
        </w:tc>
        <w:tc>
          <w:tcPr>
            <w:tcW w:w="1300" w:type="dxa"/>
            <w:shd w:val="clear" w:color="auto" w:fill="FFFFFF" w:themeFill="background1"/>
            <w:vAlign w:val="center"/>
          </w:tcPr>
          <w:p w14:paraId="1AFCC32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6DD65580">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197</w:t>
            </w:r>
          </w:p>
        </w:tc>
        <w:tc>
          <w:tcPr>
            <w:tcW w:w="1640" w:type="dxa"/>
            <w:shd w:val="clear" w:color="auto" w:fill="FFFFFF" w:themeFill="background1"/>
            <w:vAlign w:val="center"/>
          </w:tcPr>
          <w:p w14:paraId="529AF62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78</w:t>
            </w:r>
          </w:p>
        </w:tc>
        <w:tc>
          <w:tcPr>
            <w:tcW w:w="1612" w:type="dxa"/>
            <w:vMerge w:val="restart"/>
            <w:shd w:val="clear" w:color="auto" w:fill="FFFFFF" w:themeFill="background1"/>
            <w:vAlign w:val="center"/>
          </w:tcPr>
          <w:p w14:paraId="0AEFEAE5">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065CB2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3B2783B">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Elsa Campoa et al.（2022）</w:t>
            </w:r>
          </w:p>
        </w:tc>
        <w:tc>
          <w:tcPr>
            <w:tcW w:w="1145" w:type="dxa"/>
            <w:shd w:val="clear" w:color="auto" w:fill="FFFFFF" w:themeFill="background1"/>
            <w:vAlign w:val="center"/>
          </w:tcPr>
          <w:p w14:paraId="70BB28C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57174C3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Symptom control</w:t>
            </w:r>
          </w:p>
        </w:tc>
        <w:tc>
          <w:tcPr>
            <w:tcW w:w="1300" w:type="dxa"/>
            <w:shd w:val="clear" w:color="auto" w:fill="FFFFFF" w:themeFill="background1"/>
            <w:vAlign w:val="center"/>
          </w:tcPr>
          <w:p w14:paraId="33D43E4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706661F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197</w:t>
            </w:r>
          </w:p>
        </w:tc>
        <w:tc>
          <w:tcPr>
            <w:tcW w:w="1640" w:type="dxa"/>
            <w:shd w:val="clear" w:color="auto" w:fill="FFFFFF" w:themeFill="background1"/>
            <w:vAlign w:val="center"/>
          </w:tcPr>
          <w:p w14:paraId="22C92CB4">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97</w:t>
            </w:r>
          </w:p>
        </w:tc>
        <w:tc>
          <w:tcPr>
            <w:tcW w:w="1612" w:type="dxa"/>
            <w:vMerge w:val="continue"/>
            <w:shd w:val="clear" w:color="auto" w:fill="FFFFFF" w:themeFill="background1"/>
            <w:vAlign w:val="center"/>
          </w:tcPr>
          <w:p w14:paraId="66879842">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59FD92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9D92CEC">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Elsa Campoa et al.（2022）</w:t>
            </w:r>
          </w:p>
        </w:tc>
        <w:tc>
          <w:tcPr>
            <w:tcW w:w="1145" w:type="dxa"/>
            <w:shd w:val="clear" w:color="auto" w:fill="FFFFFF" w:themeFill="background1"/>
            <w:vAlign w:val="center"/>
          </w:tcPr>
          <w:p w14:paraId="6B9D0B69">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02CBA566">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Symptom control</w:t>
            </w:r>
          </w:p>
        </w:tc>
        <w:tc>
          <w:tcPr>
            <w:tcW w:w="1300" w:type="dxa"/>
            <w:shd w:val="clear" w:color="auto" w:fill="FFFFFF" w:themeFill="background1"/>
            <w:vAlign w:val="center"/>
          </w:tcPr>
          <w:p w14:paraId="5994DD0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3EF0E88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197</w:t>
            </w:r>
          </w:p>
        </w:tc>
        <w:tc>
          <w:tcPr>
            <w:tcW w:w="1640" w:type="dxa"/>
            <w:shd w:val="clear" w:color="auto" w:fill="FFFFFF" w:themeFill="background1"/>
            <w:vAlign w:val="center"/>
          </w:tcPr>
          <w:p w14:paraId="3B158BB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165</w:t>
            </w:r>
          </w:p>
        </w:tc>
        <w:tc>
          <w:tcPr>
            <w:tcW w:w="1612" w:type="dxa"/>
            <w:vMerge w:val="continue"/>
            <w:shd w:val="clear" w:color="auto" w:fill="FFFFFF" w:themeFill="background1"/>
            <w:vAlign w:val="center"/>
          </w:tcPr>
          <w:p w14:paraId="2F7BCBF8">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0231F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FB3D9FB">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61BE6AB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111DEE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Guideline compliance: Consequence awareness</w:t>
            </w:r>
          </w:p>
        </w:tc>
        <w:tc>
          <w:tcPr>
            <w:tcW w:w="1300" w:type="dxa"/>
            <w:shd w:val="clear" w:color="auto" w:fill="FFFFFF" w:themeFill="background1"/>
            <w:noWrap/>
            <w:vAlign w:val="center"/>
          </w:tcPr>
          <w:p w14:paraId="05A122A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1BA44B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31EC071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504</w:t>
            </w:r>
          </w:p>
        </w:tc>
        <w:tc>
          <w:tcPr>
            <w:tcW w:w="1612" w:type="dxa"/>
            <w:vMerge w:val="restart"/>
            <w:shd w:val="clear" w:color="auto" w:fill="FFFFFF" w:themeFill="background1"/>
            <w:vAlign w:val="center"/>
          </w:tcPr>
          <w:p w14:paraId="7796F02A">
            <w:pPr>
              <w:widowControl/>
              <w:snapToGrid w:val="0"/>
              <w:ind w:left="0" w:leftChars="0" w:right="0" w:rightChars="0" w:firstLine="0" w:firstLineChars="0"/>
              <w:jc w:val="center"/>
              <w:textAlignment w:val="bottom"/>
              <w:rPr>
                <w:rFonts w:hint="eastAsia" w:ascii="Times New Roman" w:hAnsi="Times New Roman" w:eastAsia="宋体" w:cs="Times New Roman"/>
                <w:color w:val="000000"/>
                <w:kern w:val="0"/>
                <w:szCs w:val="21"/>
                <w:lang w:val="en-US" w:eastAsia="zh-CN" w:bidi="ar"/>
              </w:rPr>
            </w:pPr>
            <w:r>
              <w:rPr>
                <w:rFonts w:hint="eastAsia" w:ascii="Times New Roman" w:hAnsi="Times New Roman" w:eastAsia="宋体" w:cs="Times New Roman"/>
                <w:color w:val="000000"/>
                <w:kern w:val="0"/>
                <w:szCs w:val="21"/>
                <w:lang w:val="en-US" w:eastAsia="zh-CN" w:bidi="ar"/>
              </w:rPr>
              <w:t>Yes</w:t>
            </w:r>
          </w:p>
          <w:p w14:paraId="2E1EE2EB">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p>
        </w:tc>
      </w:tr>
      <w:tr w14:paraId="4358F6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3ED5712">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4331F686">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ECB5A3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Guideline compliance: Goals</w:t>
            </w:r>
          </w:p>
        </w:tc>
        <w:tc>
          <w:tcPr>
            <w:tcW w:w="1300" w:type="dxa"/>
            <w:shd w:val="clear" w:color="auto" w:fill="FFFFFF" w:themeFill="background1"/>
            <w:noWrap/>
            <w:vAlign w:val="center"/>
          </w:tcPr>
          <w:p w14:paraId="0A51645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6F82845D">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7D1CD72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500</w:t>
            </w:r>
          </w:p>
        </w:tc>
        <w:tc>
          <w:tcPr>
            <w:tcW w:w="1612" w:type="dxa"/>
            <w:vMerge w:val="continue"/>
            <w:shd w:val="clear" w:color="auto" w:fill="FFFFFF" w:themeFill="background1"/>
            <w:vAlign w:val="center"/>
          </w:tcPr>
          <w:p w14:paraId="35D614A0">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080FC8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478F9C4A">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6B6BA4B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1B9BC90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Guideline compliance: Intentions</w:t>
            </w:r>
          </w:p>
        </w:tc>
        <w:tc>
          <w:tcPr>
            <w:tcW w:w="1300" w:type="dxa"/>
            <w:shd w:val="clear" w:color="auto" w:fill="FFFFFF" w:themeFill="background1"/>
            <w:noWrap/>
            <w:vAlign w:val="center"/>
          </w:tcPr>
          <w:p w14:paraId="427C718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3B1B38C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1E5E1F1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495</w:t>
            </w:r>
          </w:p>
        </w:tc>
        <w:tc>
          <w:tcPr>
            <w:tcW w:w="1612" w:type="dxa"/>
            <w:vMerge w:val="continue"/>
            <w:shd w:val="clear" w:color="auto" w:fill="FFFFFF" w:themeFill="background1"/>
            <w:vAlign w:val="center"/>
          </w:tcPr>
          <w:p w14:paraId="5DDAE336">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2E284C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915CE35">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0494A94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562E394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Practice influencing factors: Environmental context and resources</w:t>
            </w:r>
          </w:p>
        </w:tc>
        <w:tc>
          <w:tcPr>
            <w:tcW w:w="1300" w:type="dxa"/>
            <w:shd w:val="clear" w:color="auto" w:fill="FFFFFF" w:themeFill="background1"/>
            <w:noWrap/>
            <w:vAlign w:val="center"/>
          </w:tcPr>
          <w:p w14:paraId="4658D6C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5935472B">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6BF82E8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442</w:t>
            </w:r>
          </w:p>
        </w:tc>
        <w:tc>
          <w:tcPr>
            <w:tcW w:w="1612" w:type="dxa"/>
            <w:vMerge w:val="continue"/>
            <w:shd w:val="clear" w:color="auto" w:fill="FFFFFF" w:themeFill="background1"/>
            <w:vAlign w:val="center"/>
          </w:tcPr>
          <w:p w14:paraId="33F02EEB">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4230DB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A881481">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71874CD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E9C965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Practice influencing factors: Social influence</w:t>
            </w:r>
          </w:p>
        </w:tc>
        <w:tc>
          <w:tcPr>
            <w:tcW w:w="1300" w:type="dxa"/>
            <w:shd w:val="clear" w:color="auto" w:fill="FFFFFF" w:themeFill="background1"/>
            <w:noWrap/>
            <w:vAlign w:val="center"/>
          </w:tcPr>
          <w:p w14:paraId="08419D7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5843C2AA">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3A8FD01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440</w:t>
            </w:r>
          </w:p>
        </w:tc>
        <w:tc>
          <w:tcPr>
            <w:tcW w:w="1612" w:type="dxa"/>
            <w:vMerge w:val="continue"/>
            <w:shd w:val="clear" w:color="auto" w:fill="FFFFFF" w:themeFill="background1"/>
            <w:vAlign w:val="center"/>
          </w:tcPr>
          <w:p w14:paraId="2A26F817">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D71AD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4C19566">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618D1E4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7DCF7AC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Practice influencing factors: Patient pressure</w:t>
            </w:r>
          </w:p>
        </w:tc>
        <w:tc>
          <w:tcPr>
            <w:tcW w:w="1300" w:type="dxa"/>
            <w:shd w:val="clear" w:color="auto" w:fill="FFFFFF" w:themeFill="background1"/>
            <w:noWrap/>
            <w:vAlign w:val="center"/>
          </w:tcPr>
          <w:p w14:paraId="1BA6479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5514315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02B66C4B">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217</w:t>
            </w:r>
          </w:p>
        </w:tc>
        <w:tc>
          <w:tcPr>
            <w:tcW w:w="1612" w:type="dxa"/>
            <w:vMerge w:val="continue"/>
            <w:shd w:val="clear" w:color="auto" w:fill="FFFFFF" w:themeFill="background1"/>
            <w:vAlign w:val="center"/>
          </w:tcPr>
          <w:p w14:paraId="4A7570BE">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p>
        </w:tc>
      </w:tr>
      <w:tr w14:paraId="599DC5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45D3C46">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67DE412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5476CC2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Practice influencing factors: Behavioral regulation</w:t>
            </w:r>
          </w:p>
        </w:tc>
        <w:tc>
          <w:tcPr>
            <w:tcW w:w="1300" w:type="dxa"/>
            <w:shd w:val="clear" w:color="auto" w:fill="FFFFFF" w:themeFill="background1"/>
            <w:noWrap/>
            <w:vAlign w:val="center"/>
          </w:tcPr>
          <w:p w14:paraId="6C82396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5AE1D4DA">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24AF895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431</w:t>
            </w:r>
          </w:p>
        </w:tc>
        <w:tc>
          <w:tcPr>
            <w:tcW w:w="1612" w:type="dxa"/>
            <w:vMerge w:val="continue"/>
            <w:shd w:val="clear" w:color="auto" w:fill="FFFFFF" w:themeFill="background1"/>
            <w:vAlign w:val="center"/>
          </w:tcPr>
          <w:p w14:paraId="41176735">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4194FB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5FA37180">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1C4631A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BEC0B6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Self-efficacy; Knowledge</w:t>
            </w:r>
          </w:p>
        </w:tc>
        <w:tc>
          <w:tcPr>
            <w:tcW w:w="1300" w:type="dxa"/>
            <w:shd w:val="clear" w:color="auto" w:fill="FFFFFF" w:themeFill="background1"/>
            <w:noWrap/>
            <w:vAlign w:val="center"/>
          </w:tcPr>
          <w:p w14:paraId="397DE3D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2D9B0AF2">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2FFFBD35">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500</w:t>
            </w:r>
          </w:p>
        </w:tc>
        <w:tc>
          <w:tcPr>
            <w:tcW w:w="1612" w:type="dxa"/>
            <w:vMerge w:val="continue"/>
            <w:shd w:val="clear" w:color="auto" w:fill="FFFFFF" w:themeFill="background1"/>
            <w:vAlign w:val="center"/>
          </w:tcPr>
          <w:p w14:paraId="2A5C318D">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AB287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6D88821">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3BEB1B7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589F33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Self-efficacy; Skills</w:t>
            </w:r>
          </w:p>
        </w:tc>
        <w:tc>
          <w:tcPr>
            <w:tcW w:w="1300" w:type="dxa"/>
            <w:shd w:val="clear" w:color="auto" w:fill="FFFFFF" w:themeFill="background1"/>
            <w:noWrap/>
            <w:vAlign w:val="center"/>
          </w:tcPr>
          <w:p w14:paraId="5844900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5956FAF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78E7CBEB">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499</w:t>
            </w:r>
          </w:p>
        </w:tc>
        <w:tc>
          <w:tcPr>
            <w:tcW w:w="1612" w:type="dxa"/>
            <w:vMerge w:val="continue"/>
            <w:shd w:val="clear" w:color="auto" w:fill="FFFFFF" w:themeFill="background1"/>
            <w:vAlign w:val="center"/>
          </w:tcPr>
          <w:p w14:paraId="16807DD8">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39EE8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2854EFA6">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5D7A8AE5">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12F59F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Self-efficacy: Social/Professional roles and identities</w:t>
            </w:r>
          </w:p>
        </w:tc>
        <w:tc>
          <w:tcPr>
            <w:tcW w:w="1300" w:type="dxa"/>
            <w:shd w:val="clear" w:color="auto" w:fill="FFFFFF" w:themeFill="background1"/>
            <w:noWrap/>
            <w:vAlign w:val="center"/>
          </w:tcPr>
          <w:p w14:paraId="509C473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6647F3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28722FD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495</w:t>
            </w:r>
          </w:p>
        </w:tc>
        <w:tc>
          <w:tcPr>
            <w:tcW w:w="1612" w:type="dxa"/>
            <w:vMerge w:val="continue"/>
            <w:shd w:val="clear" w:color="auto" w:fill="FFFFFF" w:themeFill="background1"/>
            <w:vAlign w:val="center"/>
          </w:tcPr>
          <w:p w14:paraId="5D9DC15A">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79DCD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43435C3A">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0A35E8C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512ED2C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Self-efficacy: Optimistic attitude</w:t>
            </w:r>
          </w:p>
        </w:tc>
        <w:tc>
          <w:tcPr>
            <w:tcW w:w="1300" w:type="dxa"/>
            <w:shd w:val="clear" w:color="auto" w:fill="FFFFFF" w:themeFill="background1"/>
            <w:noWrap/>
            <w:vAlign w:val="center"/>
          </w:tcPr>
          <w:p w14:paraId="0C58417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30D4DFD4">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719BA12D">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496</w:t>
            </w:r>
          </w:p>
        </w:tc>
        <w:tc>
          <w:tcPr>
            <w:tcW w:w="1612" w:type="dxa"/>
            <w:vMerge w:val="continue"/>
            <w:shd w:val="clear" w:color="auto" w:fill="FFFFFF" w:themeFill="background1"/>
            <w:vAlign w:val="center"/>
          </w:tcPr>
          <w:p w14:paraId="50EA77C1">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088921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87097E2">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 Talkhan  et al.（2020）</w:t>
            </w:r>
          </w:p>
        </w:tc>
        <w:tc>
          <w:tcPr>
            <w:tcW w:w="1145" w:type="dxa"/>
            <w:shd w:val="clear" w:color="auto" w:fill="FFFFFF" w:themeFill="background1"/>
            <w:vAlign w:val="center"/>
          </w:tcPr>
          <w:p w14:paraId="327F8B0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20446E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Self-efficacy: Belief in ability</w:t>
            </w:r>
          </w:p>
        </w:tc>
        <w:tc>
          <w:tcPr>
            <w:tcW w:w="1300" w:type="dxa"/>
            <w:shd w:val="clear" w:color="auto" w:fill="FFFFFF" w:themeFill="background1"/>
            <w:noWrap/>
            <w:vAlign w:val="center"/>
          </w:tcPr>
          <w:p w14:paraId="592200A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08812CD1">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535</w:t>
            </w:r>
          </w:p>
        </w:tc>
        <w:tc>
          <w:tcPr>
            <w:tcW w:w="1640" w:type="dxa"/>
            <w:shd w:val="clear" w:color="auto" w:fill="FFFFFF" w:themeFill="background1"/>
            <w:vAlign w:val="center"/>
          </w:tcPr>
          <w:p w14:paraId="5EA10F5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459</w:t>
            </w:r>
          </w:p>
        </w:tc>
        <w:tc>
          <w:tcPr>
            <w:tcW w:w="1612" w:type="dxa"/>
            <w:vMerge w:val="continue"/>
            <w:shd w:val="clear" w:color="auto" w:fill="FFFFFF" w:themeFill="background1"/>
            <w:vAlign w:val="center"/>
          </w:tcPr>
          <w:p w14:paraId="7B145BA8">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p>
        </w:tc>
      </w:tr>
      <w:tr w14:paraId="23AF1F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2E49A169">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Hazel M. Parker et al.（2016）</w:t>
            </w:r>
          </w:p>
        </w:tc>
        <w:tc>
          <w:tcPr>
            <w:tcW w:w="1145" w:type="dxa"/>
            <w:shd w:val="clear" w:color="auto" w:fill="FFFFFF" w:themeFill="background1"/>
            <w:vAlign w:val="center"/>
          </w:tcPr>
          <w:p w14:paraId="59C2005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02935F6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Autonomy factors</w:t>
            </w:r>
          </w:p>
        </w:tc>
        <w:tc>
          <w:tcPr>
            <w:tcW w:w="1300" w:type="dxa"/>
            <w:shd w:val="clear" w:color="auto" w:fill="FFFFFF" w:themeFill="background1"/>
            <w:noWrap/>
            <w:vAlign w:val="center"/>
          </w:tcPr>
          <w:p w14:paraId="6AC081F5">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7646780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301</w:t>
            </w:r>
          </w:p>
        </w:tc>
        <w:tc>
          <w:tcPr>
            <w:tcW w:w="1640" w:type="dxa"/>
            <w:shd w:val="clear" w:color="auto" w:fill="FFFFFF" w:themeFill="background1"/>
            <w:vAlign w:val="center"/>
          </w:tcPr>
          <w:p w14:paraId="0877CE8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207</w:t>
            </w:r>
          </w:p>
        </w:tc>
        <w:tc>
          <w:tcPr>
            <w:tcW w:w="1612" w:type="dxa"/>
            <w:vMerge w:val="restart"/>
            <w:shd w:val="clear" w:color="auto" w:fill="FFFFFF" w:themeFill="background1"/>
            <w:vAlign w:val="center"/>
          </w:tcPr>
          <w:p w14:paraId="5A0A5A6F">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val="en-US" w:eastAsia="zh-CN" w:bidi="ar"/>
              </w:rPr>
              <w:t>Yes</w:t>
            </w:r>
          </w:p>
        </w:tc>
      </w:tr>
      <w:tr w14:paraId="30146A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536498B3">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Hazel M. Parker et al.（2016）</w:t>
            </w:r>
          </w:p>
        </w:tc>
        <w:tc>
          <w:tcPr>
            <w:tcW w:w="1145" w:type="dxa"/>
            <w:shd w:val="clear" w:color="auto" w:fill="FFFFFF" w:themeFill="background1"/>
            <w:vAlign w:val="center"/>
          </w:tcPr>
          <w:p w14:paraId="5542E65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028C67B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Guideline compliance factors</w:t>
            </w:r>
          </w:p>
        </w:tc>
        <w:tc>
          <w:tcPr>
            <w:tcW w:w="1300" w:type="dxa"/>
            <w:shd w:val="clear" w:color="auto" w:fill="FFFFFF" w:themeFill="background1"/>
            <w:noWrap/>
            <w:vAlign w:val="center"/>
          </w:tcPr>
          <w:p w14:paraId="5F746AF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03967F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301</w:t>
            </w:r>
          </w:p>
        </w:tc>
        <w:tc>
          <w:tcPr>
            <w:tcW w:w="1640" w:type="dxa"/>
            <w:shd w:val="clear" w:color="auto" w:fill="FFFFFF" w:themeFill="background1"/>
            <w:vAlign w:val="center"/>
          </w:tcPr>
          <w:p w14:paraId="05576454">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248</w:t>
            </w:r>
          </w:p>
        </w:tc>
        <w:tc>
          <w:tcPr>
            <w:tcW w:w="1612" w:type="dxa"/>
            <w:vMerge w:val="continue"/>
            <w:shd w:val="clear" w:color="auto" w:fill="FFFFFF" w:themeFill="background1"/>
            <w:vAlign w:val="center"/>
          </w:tcPr>
          <w:p w14:paraId="5D3DC44F">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299657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4B5C174">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Hazel M. Parker et al.（2016）</w:t>
            </w:r>
          </w:p>
        </w:tc>
        <w:tc>
          <w:tcPr>
            <w:tcW w:w="1145" w:type="dxa"/>
            <w:shd w:val="clear" w:color="auto" w:fill="FFFFFF" w:themeFill="background1"/>
            <w:vAlign w:val="center"/>
          </w:tcPr>
          <w:p w14:paraId="4BCB265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B8A3E4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Antibiotic cognitive factors</w:t>
            </w:r>
          </w:p>
        </w:tc>
        <w:tc>
          <w:tcPr>
            <w:tcW w:w="1300" w:type="dxa"/>
            <w:shd w:val="clear" w:color="auto" w:fill="FFFFFF" w:themeFill="background1"/>
            <w:noWrap/>
            <w:vAlign w:val="center"/>
          </w:tcPr>
          <w:p w14:paraId="11841AD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407476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301</w:t>
            </w:r>
          </w:p>
        </w:tc>
        <w:tc>
          <w:tcPr>
            <w:tcW w:w="1640" w:type="dxa"/>
            <w:shd w:val="clear" w:color="auto" w:fill="FFFFFF" w:themeFill="background1"/>
            <w:vAlign w:val="center"/>
          </w:tcPr>
          <w:p w14:paraId="764C3B2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247</w:t>
            </w:r>
          </w:p>
        </w:tc>
        <w:tc>
          <w:tcPr>
            <w:tcW w:w="1612" w:type="dxa"/>
            <w:vMerge w:val="continue"/>
            <w:shd w:val="clear" w:color="auto" w:fill="FFFFFF" w:themeFill="background1"/>
            <w:vAlign w:val="center"/>
          </w:tcPr>
          <w:p w14:paraId="3217ECFB">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2793C5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696407F">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Janet Currie et al.（2014）</w:t>
            </w:r>
          </w:p>
        </w:tc>
        <w:tc>
          <w:tcPr>
            <w:tcW w:w="1145" w:type="dxa"/>
            <w:shd w:val="clear" w:color="auto" w:fill="FFFFFF" w:themeFill="background1"/>
            <w:vAlign w:val="center"/>
          </w:tcPr>
          <w:p w14:paraId="4D350EB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Experimental audit study</w:t>
            </w:r>
          </w:p>
        </w:tc>
        <w:tc>
          <w:tcPr>
            <w:tcW w:w="2305" w:type="dxa"/>
            <w:shd w:val="clear" w:color="auto" w:fill="FFFFFF" w:themeFill="background1"/>
            <w:vAlign w:val="center"/>
          </w:tcPr>
          <w:p w14:paraId="078286B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requests</w:t>
            </w:r>
          </w:p>
        </w:tc>
        <w:tc>
          <w:tcPr>
            <w:tcW w:w="1300" w:type="dxa"/>
            <w:shd w:val="clear" w:color="auto" w:fill="FFFFFF" w:themeFill="background1"/>
            <w:noWrap/>
            <w:vAlign w:val="center"/>
          </w:tcPr>
          <w:p w14:paraId="35777E4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4433B15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120</w:t>
            </w:r>
          </w:p>
        </w:tc>
        <w:tc>
          <w:tcPr>
            <w:tcW w:w="1640" w:type="dxa"/>
            <w:shd w:val="clear" w:color="auto" w:fill="FFFFFF" w:themeFill="background1"/>
            <w:vAlign w:val="center"/>
          </w:tcPr>
          <w:p w14:paraId="0E286BF9">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102</w:t>
            </w:r>
          </w:p>
        </w:tc>
        <w:tc>
          <w:tcPr>
            <w:tcW w:w="1612" w:type="dxa"/>
            <w:shd w:val="clear" w:color="auto" w:fill="FFFFFF" w:themeFill="background1"/>
            <w:vAlign w:val="center"/>
          </w:tcPr>
          <w:p w14:paraId="15C47178">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Not mentioned </w:t>
            </w:r>
          </w:p>
        </w:tc>
      </w:tr>
      <w:tr w14:paraId="464DD3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30AB91F7">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Jiang Li et al.（2021）</w:t>
            </w:r>
          </w:p>
        </w:tc>
        <w:tc>
          <w:tcPr>
            <w:tcW w:w="1145" w:type="dxa"/>
            <w:shd w:val="clear" w:color="auto" w:fill="FFFFFF" w:themeFill="background1"/>
            <w:vAlign w:val="center"/>
          </w:tcPr>
          <w:p w14:paraId="410B83A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71C7609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 xml:space="preserve">Reinforcing factors: Refer to the influencing factors that promote the continuation of the target behavior, including positive reinforcement from senior experts, senior clinical pharmacists, and knowledge training, as well as timely </w:t>
            </w:r>
            <w:r>
              <w:rPr>
                <w:rFonts w:hint="eastAsia" w:ascii="Times New Roman" w:hAnsi="Times New Roman" w:eastAsia="宋体" w:cs="Times New Roman"/>
                <w:color w:val="000000"/>
                <w:kern w:val="0"/>
                <w:szCs w:val="21"/>
                <w:lang w:bidi="ar"/>
              </w:rPr>
              <w:t>Feedback and monitoring</w:t>
            </w:r>
            <w:r>
              <w:rPr>
                <w:rFonts w:ascii="Times New Roman" w:hAnsi="Times New Roman" w:eastAsia="宋体" w:cs="Times New Roman"/>
                <w:color w:val="000000"/>
                <w:kern w:val="0"/>
                <w:szCs w:val="21"/>
                <w:lang w:bidi="ar"/>
              </w:rPr>
              <w:t xml:space="preserve"> from the hospital management department.</w:t>
            </w:r>
          </w:p>
        </w:tc>
        <w:tc>
          <w:tcPr>
            <w:tcW w:w="1300" w:type="dxa"/>
            <w:shd w:val="clear" w:color="auto" w:fill="FFFFFF" w:themeFill="background1"/>
            <w:noWrap/>
            <w:vAlign w:val="center"/>
          </w:tcPr>
          <w:p w14:paraId="08D2159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shd w:val="clear" w:color="auto" w:fill="FFFFFF" w:themeFill="background1"/>
            <w:vAlign w:val="center"/>
          </w:tcPr>
          <w:p w14:paraId="7E922DD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147</w:t>
            </w:r>
          </w:p>
        </w:tc>
        <w:tc>
          <w:tcPr>
            <w:tcW w:w="1640" w:type="dxa"/>
            <w:shd w:val="clear" w:color="auto" w:fill="FFFFFF" w:themeFill="background1"/>
            <w:vAlign w:val="center"/>
          </w:tcPr>
          <w:p w14:paraId="48F6A7D1">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116</w:t>
            </w:r>
          </w:p>
        </w:tc>
        <w:tc>
          <w:tcPr>
            <w:tcW w:w="1612" w:type="dxa"/>
            <w:vMerge w:val="restart"/>
            <w:shd w:val="clear" w:color="auto" w:fill="FFFFFF" w:themeFill="background1"/>
            <w:vAlign w:val="center"/>
          </w:tcPr>
          <w:p w14:paraId="073F9B5F">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596471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43B7280">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Jiang Li et al.（2021）</w:t>
            </w:r>
          </w:p>
        </w:tc>
        <w:tc>
          <w:tcPr>
            <w:tcW w:w="1145" w:type="dxa"/>
            <w:shd w:val="clear" w:color="auto" w:fill="FFFFFF" w:themeFill="background1"/>
            <w:vAlign w:val="center"/>
          </w:tcPr>
          <w:p w14:paraId="77A44BD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74FDC7B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Enabling factors: Refer to those that affect the occurrence of the target behavior by directly or indirectly acting on the environment, including the medical environment, administrative attention and support, etc.</w:t>
            </w:r>
          </w:p>
        </w:tc>
        <w:tc>
          <w:tcPr>
            <w:tcW w:w="1300" w:type="dxa"/>
            <w:shd w:val="clear" w:color="auto" w:fill="FFFFFF" w:themeFill="background1"/>
            <w:noWrap/>
            <w:vAlign w:val="center"/>
          </w:tcPr>
          <w:p w14:paraId="46E4F26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shd w:val="clear" w:color="auto" w:fill="FFFFFF" w:themeFill="background1"/>
            <w:vAlign w:val="center"/>
          </w:tcPr>
          <w:p w14:paraId="5833672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147</w:t>
            </w:r>
          </w:p>
        </w:tc>
        <w:tc>
          <w:tcPr>
            <w:tcW w:w="1640" w:type="dxa"/>
            <w:shd w:val="clear" w:color="auto" w:fill="FFFFFF" w:themeFill="background1"/>
            <w:vAlign w:val="center"/>
          </w:tcPr>
          <w:p w14:paraId="47091CE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100</w:t>
            </w:r>
          </w:p>
        </w:tc>
        <w:tc>
          <w:tcPr>
            <w:tcW w:w="1612" w:type="dxa"/>
            <w:vMerge w:val="continue"/>
            <w:shd w:val="clear" w:color="auto" w:fill="FFFFFF" w:themeFill="background1"/>
            <w:vAlign w:val="center"/>
          </w:tcPr>
          <w:p w14:paraId="6AC34B17">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33F6C8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69E638E">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Mah Laka et al.（2022）</w:t>
            </w:r>
          </w:p>
        </w:tc>
        <w:tc>
          <w:tcPr>
            <w:tcW w:w="1145" w:type="dxa"/>
            <w:shd w:val="clear" w:color="auto" w:fill="FFFFFF" w:themeFill="background1"/>
            <w:vAlign w:val="center"/>
          </w:tcPr>
          <w:p w14:paraId="555E0C6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noWrap/>
            <w:vAlign w:val="center"/>
          </w:tcPr>
          <w:p w14:paraId="140FF3F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Knowledge and cognition</w:t>
            </w:r>
          </w:p>
        </w:tc>
        <w:tc>
          <w:tcPr>
            <w:tcW w:w="1300" w:type="dxa"/>
            <w:shd w:val="clear" w:color="auto" w:fill="FFFFFF" w:themeFill="background1"/>
            <w:noWrap/>
            <w:vAlign w:val="center"/>
          </w:tcPr>
          <w:p w14:paraId="430F04F3">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323DBD4A">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180</w:t>
            </w:r>
          </w:p>
        </w:tc>
        <w:tc>
          <w:tcPr>
            <w:tcW w:w="1640" w:type="dxa"/>
            <w:shd w:val="clear" w:color="auto" w:fill="FFFFFF" w:themeFill="background1"/>
            <w:vAlign w:val="center"/>
          </w:tcPr>
          <w:p w14:paraId="05937FA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99</w:t>
            </w:r>
          </w:p>
        </w:tc>
        <w:tc>
          <w:tcPr>
            <w:tcW w:w="1612" w:type="dxa"/>
            <w:vMerge w:val="restart"/>
            <w:shd w:val="clear" w:color="auto" w:fill="FFFFFF" w:themeFill="background1"/>
            <w:vAlign w:val="center"/>
          </w:tcPr>
          <w:p w14:paraId="2396FCB9">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48424C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584E22E">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Mah Laka et al.（2022）</w:t>
            </w:r>
          </w:p>
        </w:tc>
        <w:tc>
          <w:tcPr>
            <w:tcW w:w="1145" w:type="dxa"/>
            <w:shd w:val="clear" w:color="auto" w:fill="FFFFFF" w:themeFill="background1"/>
            <w:vAlign w:val="center"/>
          </w:tcPr>
          <w:p w14:paraId="25E5BDA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79A97952">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Antibiotic prescribing guidelines</w:t>
            </w:r>
          </w:p>
        </w:tc>
        <w:tc>
          <w:tcPr>
            <w:tcW w:w="1300" w:type="dxa"/>
            <w:shd w:val="clear" w:color="auto" w:fill="FFFFFF" w:themeFill="background1"/>
            <w:noWrap/>
            <w:vAlign w:val="center"/>
          </w:tcPr>
          <w:p w14:paraId="75A02DD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1D0B25B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180</w:t>
            </w:r>
          </w:p>
        </w:tc>
        <w:tc>
          <w:tcPr>
            <w:tcW w:w="1640" w:type="dxa"/>
            <w:shd w:val="clear" w:color="auto" w:fill="FFFFFF" w:themeFill="background1"/>
            <w:vAlign w:val="center"/>
          </w:tcPr>
          <w:p w14:paraId="4FB28F2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95</w:t>
            </w:r>
          </w:p>
        </w:tc>
        <w:tc>
          <w:tcPr>
            <w:tcW w:w="1612" w:type="dxa"/>
            <w:vMerge w:val="continue"/>
            <w:shd w:val="clear" w:color="auto" w:fill="FFFFFF" w:themeFill="background1"/>
            <w:vAlign w:val="center"/>
          </w:tcPr>
          <w:p w14:paraId="51B495D7">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FA7C3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573E50DC">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Mah Laka et al.（2022）</w:t>
            </w:r>
          </w:p>
        </w:tc>
        <w:tc>
          <w:tcPr>
            <w:tcW w:w="1145" w:type="dxa"/>
            <w:shd w:val="clear" w:color="auto" w:fill="FFFFFF" w:themeFill="background1"/>
            <w:vAlign w:val="center"/>
          </w:tcPr>
          <w:p w14:paraId="0CB0F386">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noWrap/>
            <w:vAlign w:val="center"/>
          </w:tcPr>
          <w:p w14:paraId="7B7B08DC">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expectations</w:t>
            </w:r>
          </w:p>
        </w:tc>
        <w:tc>
          <w:tcPr>
            <w:tcW w:w="1300" w:type="dxa"/>
            <w:shd w:val="clear" w:color="auto" w:fill="FFFFFF" w:themeFill="background1"/>
            <w:noWrap/>
            <w:vAlign w:val="center"/>
          </w:tcPr>
          <w:p w14:paraId="3A0FCE1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0B613C9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180</w:t>
            </w:r>
          </w:p>
        </w:tc>
        <w:tc>
          <w:tcPr>
            <w:tcW w:w="1640" w:type="dxa"/>
            <w:shd w:val="clear" w:color="auto" w:fill="FFFFFF" w:themeFill="background1"/>
            <w:vAlign w:val="center"/>
          </w:tcPr>
          <w:p w14:paraId="2C5F361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76</w:t>
            </w:r>
          </w:p>
        </w:tc>
        <w:tc>
          <w:tcPr>
            <w:tcW w:w="1612" w:type="dxa"/>
            <w:vMerge w:val="continue"/>
            <w:shd w:val="clear" w:color="auto" w:fill="FFFFFF" w:themeFill="background1"/>
            <w:vAlign w:val="center"/>
          </w:tcPr>
          <w:p w14:paraId="08B4A989">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0FE864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47A5094D">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Olayinka O. Ogunleye et al.（2019）</w:t>
            </w:r>
          </w:p>
        </w:tc>
        <w:tc>
          <w:tcPr>
            <w:tcW w:w="1145" w:type="dxa"/>
            <w:shd w:val="clear" w:color="auto" w:fill="FFFFFF" w:themeFill="background1"/>
            <w:vAlign w:val="center"/>
          </w:tcPr>
          <w:p w14:paraId="2162A4E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605D8BF5">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Clinical experience</w:t>
            </w:r>
          </w:p>
        </w:tc>
        <w:tc>
          <w:tcPr>
            <w:tcW w:w="1300" w:type="dxa"/>
            <w:shd w:val="clear" w:color="auto" w:fill="FFFFFF" w:themeFill="background1"/>
            <w:noWrap/>
            <w:vAlign w:val="center"/>
          </w:tcPr>
          <w:p w14:paraId="7FCF25D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48ECBD1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1640" w:type="dxa"/>
            <w:shd w:val="clear" w:color="auto" w:fill="FFFFFF" w:themeFill="background1"/>
            <w:vAlign w:val="center"/>
          </w:tcPr>
          <w:p w14:paraId="3D201153">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92</w:t>
            </w:r>
          </w:p>
        </w:tc>
        <w:tc>
          <w:tcPr>
            <w:tcW w:w="1612" w:type="dxa"/>
            <w:vMerge w:val="restart"/>
            <w:shd w:val="clear" w:color="auto" w:fill="FFFFFF" w:themeFill="background1"/>
            <w:vAlign w:val="center"/>
          </w:tcPr>
          <w:p w14:paraId="329DE91B">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6AE176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B777C88">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Olayinka O. Ogunleye et al.（2019）</w:t>
            </w:r>
          </w:p>
        </w:tc>
        <w:tc>
          <w:tcPr>
            <w:tcW w:w="1145" w:type="dxa"/>
            <w:shd w:val="clear" w:color="auto" w:fill="FFFFFF" w:themeFill="background1"/>
            <w:vAlign w:val="center"/>
          </w:tcPr>
          <w:p w14:paraId="01F11679">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Institutional cross-sectional study</w:t>
            </w:r>
          </w:p>
        </w:tc>
        <w:tc>
          <w:tcPr>
            <w:tcW w:w="2305" w:type="dxa"/>
            <w:shd w:val="clear" w:color="auto" w:fill="FFFFFF" w:themeFill="background1"/>
            <w:vAlign w:val="center"/>
          </w:tcPr>
          <w:p w14:paraId="18F7C1C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Professional experience</w:t>
            </w:r>
          </w:p>
        </w:tc>
        <w:tc>
          <w:tcPr>
            <w:tcW w:w="1300" w:type="dxa"/>
            <w:shd w:val="clear" w:color="auto" w:fill="FFFFFF" w:themeFill="background1"/>
            <w:noWrap/>
            <w:vAlign w:val="center"/>
          </w:tcPr>
          <w:p w14:paraId="73D0B98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2969FAD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1640" w:type="dxa"/>
            <w:shd w:val="clear" w:color="auto" w:fill="FFFFFF" w:themeFill="background1"/>
            <w:vAlign w:val="center"/>
          </w:tcPr>
          <w:p w14:paraId="61C89D36">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86</w:t>
            </w:r>
          </w:p>
        </w:tc>
        <w:tc>
          <w:tcPr>
            <w:tcW w:w="1612" w:type="dxa"/>
            <w:vMerge w:val="continue"/>
            <w:shd w:val="clear" w:color="auto" w:fill="FFFFFF" w:themeFill="background1"/>
            <w:vAlign w:val="center"/>
          </w:tcPr>
          <w:p w14:paraId="123D7701">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4528A7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14C0B719">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Olayinka O. Ogunleye et al.（2019）</w:t>
            </w:r>
          </w:p>
        </w:tc>
        <w:tc>
          <w:tcPr>
            <w:tcW w:w="1145" w:type="dxa"/>
            <w:shd w:val="clear" w:color="auto" w:fill="FFFFFF" w:themeFill="background1"/>
            <w:vAlign w:val="center"/>
          </w:tcPr>
          <w:p w14:paraId="403CFFE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Institutional cross-sectional study</w:t>
            </w:r>
          </w:p>
        </w:tc>
        <w:tc>
          <w:tcPr>
            <w:tcW w:w="2305" w:type="dxa"/>
            <w:shd w:val="clear" w:color="auto" w:fill="FFFFFF" w:themeFill="background1"/>
            <w:vAlign w:val="center"/>
          </w:tcPr>
          <w:p w14:paraId="7F3298E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Drug cost</w:t>
            </w:r>
          </w:p>
        </w:tc>
        <w:tc>
          <w:tcPr>
            <w:tcW w:w="1300" w:type="dxa"/>
            <w:shd w:val="clear" w:color="auto" w:fill="FFFFFF" w:themeFill="background1"/>
            <w:noWrap/>
            <w:vAlign w:val="center"/>
          </w:tcPr>
          <w:p w14:paraId="5321FC5D">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shd w:val="clear" w:color="auto" w:fill="FFFFFF" w:themeFill="background1"/>
            <w:vAlign w:val="center"/>
          </w:tcPr>
          <w:p w14:paraId="59DB593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1640" w:type="dxa"/>
            <w:shd w:val="clear" w:color="auto" w:fill="FFFFFF" w:themeFill="background1"/>
            <w:vAlign w:val="center"/>
          </w:tcPr>
          <w:p w14:paraId="4EFAA69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80</w:t>
            </w:r>
          </w:p>
        </w:tc>
        <w:tc>
          <w:tcPr>
            <w:tcW w:w="1612" w:type="dxa"/>
            <w:vMerge w:val="continue"/>
            <w:shd w:val="clear" w:color="auto" w:fill="FFFFFF" w:themeFill="background1"/>
            <w:vAlign w:val="center"/>
          </w:tcPr>
          <w:p w14:paraId="77B2D5BD">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09B3B1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2389F176">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Olayinka O. Ogunleye et al.（2019）</w:t>
            </w:r>
          </w:p>
        </w:tc>
        <w:tc>
          <w:tcPr>
            <w:tcW w:w="1145" w:type="dxa"/>
            <w:shd w:val="clear" w:color="auto" w:fill="FFFFFF" w:themeFill="background1"/>
            <w:vAlign w:val="center"/>
          </w:tcPr>
          <w:p w14:paraId="7E00F80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Institutional cross-sectional study</w:t>
            </w:r>
          </w:p>
        </w:tc>
        <w:tc>
          <w:tcPr>
            <w:tcW w:w="2305" w:type="dxa"/>
            <w:shd w:val="clear" w:color="auto" w:fill="FFFFFF" w:themeFill="background1"/>
            <w:vAlign w:val="center"/>
          </w:tcPr>
          <w:p w14:paraId="06385125">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Pharmaceutical company promotional activities</w:t>
            </w:r>
          </w:p>
        </w:tc>
        <w:tc>
          <w:tcPr>
            <w:tcW w:w="1300" w:type="dxa"/>
            <w:shd w:val="clear" w:color="auto" w:fill="FFFFFF" w:themeFill="background1"/>
            <w:noWrap/>
            <w:vAlign w:val="center"/>
          </w:tcPr>
          <w:p w14:paraId="398DA879">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shd w:val="clear" w:color="auto" w:fill="FFFFFF" w:themeFill="background1"/>
            <w:vAlign w:val="center"/>
          </w:tcPr>
          <w:p w14:paraId="0A84EDFF">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1640" w:type="dxa"/>
            <w:shd w:val="clear" w:color="auto" w:fill="FFFFFF" w:themeFill="background1"/>
            <w:vAlign w:val="center"/>
          </w:tcPr>
          <w:p w14:paraId="28AB006B">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96</w:t>
            </w:r>
          </w:p>
        </w:tc>
        <w:tc>
          <w:tcPr>
            <w:tcW w:w="1612" w:type="dxa"/>
            <w:vMerge w:val="continue"/>
            <w:shd w:val="clear" w:color="auto" w:fill="FFFFFF" w:themeFill="background1"/>
            <w:vAlign w:val="center"/>
          </w:tcPr>
          <w:p w14:paraId="05619D80">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384BB3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67228394">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Olayinka O. Ogunleye et al.（2019）</w:t>
            </w:r>
          </w:p>
        </w:tc>
        <w:tc>
          <w:tcPr>
            <w:tcW w:w="1145" w:type="dxa"/>
            <w:shd w:val="clear" w:color="auto" w:fill="FFFFFF" w:themeFill="background1"/>
            <w:vAlign w:val="center"/>
          </w:tcPr>
          <w:p w14:paraId="321EABD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Institutional cross-sectional study</w:t>
            </w:r>
          </w:p>
        </w:tc>
        <w:tc>
          <w:tcPr>
            <w:tcW w:w="2305" w:type="dxa"/>
            <w:shd w:val="clear" w:color="auto" w:fill="FFFFFF" w:themeFill="background1"/>
            <w:vAlign w:val="center"/>
          </w:tcPr>
          <w:p w14:paraId="5DB43B1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Drug availability</w:t>
            </w:r>
          </w:p>
        </w:tc>
        <w:tc>
          <w:tcPr>
            <w:tcW w:w="1300" w:type="dxa"/>
            <w:shd w:val="clear" w:color="auto" w:fill="FFFFFF" w:themeFill="background1"/>
            <w:noWrap/>
            <w:vAlign w:val="center"/>
          </w:tcPr>
          <w:p w14:paraId="664BBA3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Environmental factors</w:t>
            </w:r>
          </w:p>
        </w:tc>
        <w:tc>
          <w:tcPr>
            <w:tcW w:w="700" w:type="dxa"/>
            <w:shd w:val="clear" w:color="auto" w:fill="FFFFFF" w:themeFill="background1"/>
            <w:vAlign w:val="center"/>
          </w:tcPr>
          <w:p w14:paraId="0233E085">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1640" w:type="dxa"/>
            <w:shd w:val="clear" w:color="auto" w:fill="FFFFFF" w:themeFill="background1"/>
            <w:vAlign w:val="center"/>
          </w:tcPr>
          <w:p w14:paraId="1B39108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80</w:t>
            </w:r>
          </w:p>
        </w:tc>
        <w:tc>
          <w:tcPr>
            <w:tcW w:w="1612" w:type="dxa"/>
            <w:vMerge w:val="continue"/>
            <w:shd w:val="clear" w:color="auto" w:fill="FFFFFF" w:themeFill="background1"/>
            <w:vAlign w:val="center"/>
          </w:tcPr>
          <w:p w14:paraId="439B5A4D">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A3C0E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758E67B9">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 Camcioglu et al.（2020）</w:t>
            </w:r>
          </w:p>
        </w:tc>
        <w:tc>
          <w:tcPr>
            <w:tcW w:w="1145" w:type="dxa"/>
            <w:shd w:val="clear" w:color="auto" w:fill="FFFFFF" w:themeFill="background1"/>
            <w:vAlign w:val="center"/>
          </w:tcPr>
          <w:p w14:paraId="732E0CE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48B10A80">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Family's socioeconomic status</w:t>
            </w:r>
          </w:p>
        </w:tc>
        <w:tc>
          <w:tcPr>
            <w:tcW w:w="1300" w:type="dxa"/>
            <w:shd w:val="clear" w:color="auto" w:fill="FFFFFF" w:themeFill="background1"/>
            <w:noWrap/>
            <w:vAlign w:val="center"/>
          </w:tcPr>
          <w:p w14:paraId="4AECA698">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73BFE3BE">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w:t>
            </w:r>
          </w:p>
        </w:tc>
        <w:tc>
          <w:tcPr>
            <w:tcW w:w="1640" w:type="dxa"/>
            <w:shd w:val="clear" w:color="auto" w:fill="FFFFFF" w:themeFill="background1"/>
            <w:vAlign w:val="center"/>
          </w:tcPr>
          <w:p w14:paraId="2390D7A7">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w:t>
            </w:r>
          </w:p>
        </w:tc>
        <w:tc>
          <w:tcPr>
            <w:tcW w:w="1612" w:type="dxa"/>
            <w:vMerge w:val="restart"/>
            <w:shd w:val="clear" w:color="auto" w:fill="FFFFFF" w:themeFill="background1"/>
            <w:vAlign w:val="center"/>
          </w:tcPr>
          <w:p w14:paraId="4F2468AB">
            <w:pPr>
              <w:widowControl/>
              <w:snapToGrid w:val="0"/>
              <w:ind w:left="0" w:leftChars="0" w:right="0" w:rightChars="0" w:firstLine="0" w:firstLineChars="0"/>
              <w:jc w:val="center"/>
              <w:textAlignment w:val="bottom"/>
              <w:rPr>
                <w:rFonts w:hint="default" w:ascii="Times New Roman" w:hAnsi="Times New Roman" w:eastAsia="宋体" w:cs="Times New Roman"/>
                <w:color w:val="000000"/>
                <w:kern w:val="0"/>
                <w:szCs w:val="21"/>
                <w:lang w:val="en-US" w:eastAsia="zh-CN" w:bidi="ar"/>
              </w:rPr>
            </w:pPr>
            <w:r>
              <w:rPr>
                <w:rFonts w:hint="default" w:ascii="Times New Roman" w:hAnsi="Times New Roman" w:eastAsia="宋体" w:cs="Times New Roman"/>
                <w:color w:val="000000"/>
                <w:kern w:val="0"/>
                <w:sz w:val="22"/>
                <w:lang w:val="en-US" w:eastAsia="zh-CN" w:bidi="ar"/>
              </w:rPr>
              <w:t>Not mentioned</w:t>
            </w:r>
          </w:p>
        </w:tc>
      </w:tr>
      <w:tr w14:paraId="5BC0E3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570D3025">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 Camcioglu et al.（2020）</w:t>
            </w:r>
          </w:p>
        </w:tc>
        <w:tc>
          <w:tcPr>
            <w:tcW w:w="1145" w:type="dxa"/>
            <w:shd w:val="clear" w:color="auto" w:fill="FFFFFF" w:themeFill="background1"/>
            <w:vAlign w:val="center"/>
          </w:tcPr>
          <w:p w14:paraId="2FFCE41E">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Cross-sectional study</w:t>
            </w:r>
          </w:p>
        </w:tc>
        <w:tc>
          <w:tcPr>
            <w:tcW w:w="2305" w:type="dxa"/>
            <w:shd w:val="clear" w:color="auto" w:fill="FFFFFF" w:themeFill="background1"/>
            <w:vAlign w:val="center"/>
          </w:tcPr>
          <w:p w14:paraId="13C82339">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presentation: Purulent nasal discharge</w:t>
            </w:r>
          </w:p>
        </w:tc>
        <w:tc>
          <w:tcPr>
            <w:tcW w:w="1300" w:type="dxa"/>
            <w:shd w:val="clear" w:color="auto" w:fill="FFFFFF" w:themeFill="background1"/>
            <w:noWrap/>
            <w:vAlign w:val="center"/>
          </w:tcPr>
          <w:p w14:paraId="7FFC10C1">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shd w:val="clear" w:color="auto" w:fill="FFFFFF" w:themeFill="background1"/>
            <w:vAlign w:val="center"/>
          </w:tcPr>
          <w:p w14:paraId="041BAE28">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w:t>
            </w:r>
          </w:p>
        </w:tc>
        <w:tc>
          <w:tcPr>
            <w:tcW w:w="1640" w:type="dxa"/>
            <w:shd w:val="clear" w:color="auto" w:fill="FFFFFF" w:themeFill="background1"/>
            <w:vAlign w:val="center"/>
          </w:tcPr>
          <w:p w14:paraId="34F4F9B1">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w:t>
            </w:r>
          </w:p>
        </w:tc>
        <w:tc>
          <w:tcPr>
            <w:tcW w:w="1612" w:type="dxa"/>
            <w:vMerge w:val="continue"/>
            <w:shd w:val="clear" w:color="auto" w:fill="FFFFFF" w:themeFill="background1"/>
            <w:vAlign w:val="center"/>
          </w:tcPr>
          <w:p w14:paraId="532C90EE">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r w14:paraId="6F5649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0" w:hRule="atLeast"/>
          <w:jc w:val="center"/>
        </w:trPr>
        <w:tc>
          <w:tcPr>
            <w:tcW w:w="2217" w:type="dxa"/>
            <w:shd w:val="clear" w:color="auto" w:fill="FFFFFF" w:themeFill="background1"/>
            <w:vAlign w:val="center"/>
          </w:tcPr>
          <w:p w14:paraId="05CFCEA5">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Yasuaki Tagashira et al.（2019）</w:t>
            </w:r>
          </w:p>
        </w:tc>
        <w:tc>
          <w:tcPr>
            <w:tcW w:w="1145" w:type="dxa"/>
            <w:shd w:val="clear" w:color="auto" w:fill="FFFFFF" w:themeFill="background1"/>
            <w:vAlign w:val="center"/>
          </w:tcPr>
          <w:p w14:paraId="1037437F">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Retrospective cohort study</w:t>
            </w:r>
          </w:p>
        </w:tc>
        <w:tc>
          <w:tcPr>
            <w:tcW w:w="2305" w:type="dxa"/>
            <w:shd w:val="clear" w:color="auto" w:fill="FFFFFF" w:themeFill="background1"/>
            <w:vAlign w:val="center"/>
          </w:tcPr>
          <w:p w14:paraId="3325116A">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Prescribing doctor's postgraduate year (PGY) ≥ 8 years</w:t>
            </w:r>
          </w:p>
        </w:tc>
        <w:tc>
          <w:tcPr>
            <w:tcW w:w="1300" w:type="dxa"/>
            <w:shd w:val="clear" w:color="auto" w:fill="FFFFFF" w:themeFill="background1"/>
            <w:noWrap/>
            <w:vAlign w:val="center"/>
          </w:tcPr>
          <w:p w14:paraId="3019E4C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Prescriber factors</w:t>
            </w:r>
          </w:p>
        </w:tc>
        <w:tc>
          <w:tcPr>
            <w:tcW w:w="700" w:type="dxa"/>
            <w:shd w:val="clear" w:color="auto" w:fill="FFFFFF" w:themeFill="background1"/>
            <w:vAlign w:val="center"/>
          </w:tcPr>
          <w:p w14:paraId="6C6A74E4">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1555</w:t>
            </w:r>
          </w:p>
        </w:tc>
        <w:tc>
          <w:tcPr>
            <w:tcW w:w="1640" w:type="dxa"/>
            <w:shd w:val="clear" w:color="auto" w:fill="FFFFFF" w:themeFill="background1"/>
            <w:vAlign w:val="center"/>
          </w:tcPr>
          <w:p w14:paraId="4B133D6C">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993</w:t>
            </w:r>
          </w:p>
        </w:tc>
        <w:tc>
          <w:tcPr>
            <w:tcW w:w="1612" w:type="dxa"/>
            <w:vMerge w:val="restart"/>
            <w:shd w:val="clear" w:color="auto" w:fill="FFFFFF" w:themeFill="background1"/>
            <w:vAlign w:val="center"/>
          </w:tcPr>
          <w:p w14:paraId="61E7D7F7">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Not mentioned</w:t>
            </w:r>
          </w:p>
        </w:tc>
      </w:tr>
      <w:tr w14:paraId="0A01AA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217" w:type="dxa"/>
            <w:tcBorders>
              <w:bottom w:val="nil"/>
            </w:tcBorders>
            <w:shd w:val="clear" w:color="auto" w:fill="FFFFFF" w:themeFill="background1"/>
            <w:vAlign w:val="center"/>
          </w:tcPr>
          <w:p w14:paraId="6DAB4DD9">
            <w:pPr>
              <w:widowControl/>
              <w:snapToGrid w:val="0"/>
              <w:ind w:left="0" w:leftChars="0" w:right="0" w:rightChars="0" w:firstLine="0" w:firstLineChars="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Yasuaki Tagashira et al.（2019）</w:t>
            </w:r>
          </w:p>
        </w:tc>
        <w:tc>
          <w:tcPr>
            <w:tcW w:w="1145" w:type="dxa"/>
            <w:tcBorders>
              <w:bottom w:val="nil"/>
            </w:tcBorders>
            <w:shd w:val="clear" w:color="auto" w:fill="FFFFFF" w:themeFill="background1"/>
            <w:vAlign w:val="center"/>
          </w:tcPr>
          <w:p w14:paraId="5FD6671B">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Retrospective cohort study</w:t>
            </w:r>
          </w:p>
        </w:tc>
        <w:tc>
          <w:tcPr>
            <w:tcW w:w="2305" w:type="dxa"/>
            <w:tcBorders>
              <w:bottom w:val="nil"/>
            </w:tcBorders>
            <w:shd w:val="clear" w:color="auto" w:fill="FFFFFF" w:themeFill="background1"/>
            <w:vAlign w:val="center"/>
          </w:tcPr>
          <w:p w14:paraId="3F3E5897">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Specific infectious disease diagnosis (such as intra-abdominal infection, urinary tract infection, etc.)</w:t>
            </w:r>
          </w:p>
        </w:tc>
        <w:tc>
          <w:tcPr>
            <w:tcW w:w="1300" w:type="dxa"/>
            <w:tcBorders>
              <w:bottom w:val="nil"/>
            </w:tcBorders>
            <w:shd w:val="clear" w:color="auto" w:fill="FFFFFF" w:themeFill="background1"/>
            <w:noWrap/>
            <w:vAlign w:val="center"/>
          </w:tcPr>
          <w:p w14:paraId="55D97444">
            <w:pPr>
              <w:widowControl/>
              <w:snapToGrid w:val="0"/>
              <w:ind w:left="0" w:leftChars="0" w:right="0" w:rightChars="0" w:firstLine="0" w:firstLineChars="0"/>
              <w:jc w:val="left"/>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Patient factors</w:t>
            </w:r>
          </w:p>
        </w:tc>
        <w:tc>
          <w:tcPr>
            <w:tcW w:w="700" w:type="dxa"/>
            <w:tcBorders>
              <w:bottom w:val="nil"/>
            </w:tcBorders>
            <w:shd w:val="clear" w:color="auto" w:fill="FFFFFF" w:themeFill="background1"/>
            <w:vAlign w:val="center"/>
          </w:tcPr>
          <w:p w14:paraId="124E45A0">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1555</w:t>
            </w:r>
          </w:p>
        </w:tc>
        <w:tc>
          <w:tcPr>
            <w:tcW w:w="1640" w:type="dxa"/>
            <w:tcBorders>
              <w:bottom w:val="nil"/>
            </w:tcBorders>
            <w:shd w:val="clear" w:color="auto" w:fill="FFFFFF" w:themeFill="background1"/>
            <w:vAlign w:val="center"/>
          </w:tcPr>
          <w:p w14:paraId="5FD1B455">
            <w:pPr>
              <w:widowControl/>
              <w:snapToGrid w:val="0"/>
              <w:ind w:left="0" w:leftChars="0" w:right="0" w:rightChars="0" w:firstLine="0" w:firstLineChars="0"/>
              <w:jc w:val="center"/>
              <w:textAlignment w:val="bottom"/>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945</w:t>
            </w:r>
          </w:p>
        </w:tc>
        <w:tc>
          <w:tcPr>
            <w:tcW w:w="1612" w:type="dxa"/>
            <w:vMerge w:val="continue"/>
            <w:tcBorders>
              <w:bottom w:val="nil"/>
            </w:tcBorders>
            <w:shd w:val="clear" w:color="auto" w:fill="FFFFFF" w:themeFill="background1"/>
            <w:vAlign w:val="center"/>
          </w:tcPr>
          <w:p w14:paraId="023E4BC9">
            <w:pPr>
              <w:widowControl/>
              <w:snapToGrid w:val="0"/>
              <w:ind w:left="0" w:leftChars="0" w:right="0" w:rightChars="0" w:firstLine="0" w:firstLineChars="0"/>
              <w:jc w:val="center"/>
              <w:textAlignment w:val="bottom"/>
              <w:rPr>
                <w:rFonts w:ascii="Times New Roman" w:hAnsi="Times New Roman" w:eastAsia="宋体" w:cs="Times New Roman"/>
                <w:color w:val="000000"/>
                <w:kern w:val="0"/>
                <w:szCs w:val="21"/>
                <w:lang w:bidi="ar"/>
              </w:rPr>
            </w:pPr>
          </w:p>
        </w:tc>
      </w:tr>
    </w:tbl>
    <w:p w14:paraId="426D9EDF">
      <w:pPr>
        <w:rPr>
          <w:rFonts w:ascii="Times New Roman" w:hAnsi="Times New Roman" w:cs="Times New Roman"/>
          <w:b/>
          <w:bCs/>
          <w:sz w:val="28"/>
          <w:szCs w:val="28"/>
        </w:rPr>
      </w:pPr>
    </w:p>
    <w:p w14:paraId="653AD27A">
      <w:pPr>
        <w:rPr>
          <w:rFonts w:ascii="Times New Roman" w:hAnsi="Times New Roman" w:cs="Times New Roman"/>
          <w:b/>
          <w:bCs/>
          <w:sz w:val="28"/>
          <w:szCs w:val="28"/>
        </w:rPr>
      </w:pPr>
    </w:p>
    <w:p w14:paraId="0655BF84">
      <w:pPr>
        <w:rPr>
          <w:rFonts w:hint="eastAsia" w:ascii="Times New Roman" w:hAnsi="Times New Roman" w:cs="Times New Roman"/>
          <w:b/>
          <w:bCs/>
          <w:sz w:val="24"/>
          <w:szCs w:val="24"/>
        </w:rPr>
        <w:sectPr>
          <w:pgSz w:w="11906" w:h="16838"/>
          <w:pgMar w:top="1440" w:right="1800" w:bottom="1440" w:left="1800" w:header="851" w:footer="992" w:gutter="0"/>
          <w:cols w:space="425" w:num="1"/>
          <w:docGrid w:type="lines" w:linePitch="312" w:charSpace="0"/>
        </w:sectPr>
      </w:pPr>
    </w:p>
    <w:p w14:paraId="6E56E5CF">
      <w:pPr>
        <w:rPr>
          <w:rFonts w:ascii="Times New Roman" w:hAnsi="Times New Roman" w:cs="Times New Roman"/>
          <w:b/>
          <w:bCs/>
          <w:sz w:val="28"/>
          <w:szCs w:val="28"/>
        </w:rPr>
      </w:pPr>
      <w:r>
        <w:rPr>
          <w:rFonts w:hint="eastAsia" w:ascii="Times New Roman" w:hAnsi="Times New Roman" w:cs="Times New Roman"/>
          <w:b/>
          <w:bCs/>
          <w:sz w:val="24"/>
          <w:szCs w:val="24"/>
        </w:rPr>
        <w:t xml:space="preserve">Table A9. </w:t>
      </w:r>
      <w:r>
        <w:rPr>
          <w:rFonts w:hint="eastAsia" w:ascii="Times New Roman" w:hAnsi="Times New Roman" w:cs="Times New Roman"/>
          <w:sz w:val="24"/>
          <w:szCs w:val="24"/>
        </w:rPr>
        <w:t xml:space="preserve">The characteristics of quantitative literature analyzing the changes in the </w:t>
      </w:r>
      <w:r>
        <w:rPr>
          <w:rFonts w:hint="eastAsia" w:ascii="Times New Roman" w:hAnsi="Times New Roman" w:cs="Times New Roman"/>
          <w:b/>
          <w:bCs/>
          <w:sz w:val="24"/>
          <w:szCs w:val="24"/>
        </w:rPr>
        <w:t>reasonable prescription rate</w:t>
      </w:r>
      <w:r>
        <w:rPr>
          <w:rFonts w:hint="eastAsia" w:ascii="Times New Roman" w:hAnsi="Times New Roman" w:cs="Times New Roman"/>
          <w:sz w:val="24"/>
          <w:szCs w:val="24"/>
        </w:rPr>
        <w:t xml:space="preserve"> caused by antibiotic prescription intervention measures</w:t>
      </w:r>
    </w:p>
    <w:tbl>
      <w:tblPr>
        <w:tblStyle w:val="6"/>
        <w:tblpPr w:leftFromText="180" w:rightFromText="180" w:vertAnchor="text" w:horzAnchor="page" w:tblpXSpec="center" w:tblpY="606"/>
        <w:tblOverlap w:val="never"/>
        <w:tblW w:w="15891" w:type="dxa"/>
        <w:jc w:val="center"/>
        <w:tblLayout w:type="fixed"/>
        <w:tblCellMar>
          <w:top w:w="0" w:type="dxa"/>
          <w:left w:w="108" w:type="dxa"/>
          <w:bottom w:w="0" w:type="dxa"/>
          <w:right w:w="108" w:type="dxa"/>
        </w:tblCellMar>
      </w:tblPr>
      <w:tblGrid>
        <w:gridCol w:w="1280"/>
        <w:gridCol w:w="1279"/>
        <w:gridCol w:w="1076"/>
        <w:gridCol w:w="1682"/>
        <w:gridCol w:w="2061"/>
        <w:gridCol w:w="1620"/>
        <w:gridCol w:w="2374"/>
        <w:gridCol w:w="1283"/>
        <w:gridCol w:w="1595"/>
        <w:gridCol w:w="1641"/>
      </w:tblGrid>
      <w:tr w14:paraId="53D0742E">
        <w:tblPrEx>
          <w:tblCellMar>
            <w:top w:w="0" w:type="dxa"/>
            <w:left w:w="108" w:type="dxa"/>
            <w:bottom w:w="0" w:type="dxa"/>
            <w:right w:w="108" w:type="dxa"/>
          </w:tblCellMar>
        </w:tblPrEx>
        <w:trPr>
          <w:cantSplit/>
          <w:trHeight w:val="0" w:hRule="atLeast"/>
          <w:tblHeader/>
          <w:jc w:val="center"/>
        </w:trPr>
        <w:tc>
          <w:tcPr>
            <w:tcW w:w="1280" w:type="dxa"/>
            <w:vMerge w:val="restart"/>
            <w:tcBorders>
              <w:top w:val="nil"/>
              <w:left w:val="nil"/>
              <w:bottom w:val="nil"/>
              <w:right w:val="nil"/>
            </w:tcBorders>
            <w:shd w:val="clear" w:color="000000" w:fill="004A7C"/>
            <w:vAlign w:val="center"/>
          </w:tcPr>
          <w:p w14:paraId="0E29FA51">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bookmarkStart w:id="11" w:name="_Hlk205970327"/>
            <w:r>
              <w:rPr>
                <w:rFonts w:hint="eastAsia" w:ascii="Times New Roman" w:hAnsi="Times New Roman" w:eastAsia="等线" w:cs="Times New Roman"/>
                <w:b/>
                <w:bCs/>
                <w:color w:val="FFFFFF"/>
                <w:kern w:val="0"/>
                <w:sz w:val="22"/>
                <w:lang w:bidi="ar"/>
              </w:rPr>
              <w:t>Study</w:t>
            </w:r>
          </w:p>
        </w:tc>
        <w:tc>
          <w:tcPr>
            <w:tcW w:w="1279" w:type="dxa"/>
            <w:vMerge w:val="restart"/>
            <w:tcBorders>
              <w:top w:val="nil"/>
              <w:left w:val="nil"/>
              <w:bottom w:val="nil"/>
              <w:right w:val="nil"/>
            </w:tcBorders>
            <w:shd w:val="clear" w:color="000000" w:fill="004A7C"/>
            <w:vAlign w:val="center"/>
          </w:tcPr>
          <w:p w14:paraId="4217BEE6">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Country</w:t>
            </w:r>
          </w:p>
        </w:tc>
        <w:tc>
          <w:tcPr>
            <w:tcW w:w="1076" w:type="dxa"/>
            <w:vMerge w:val="restart"/>
            <w:tcBorders>
              <w:top w:val="nil"/>
              <w:left w:val="nil"/>
              <w:bottom w:val="nil"/>
              <w:right w:val="nil"/>
            </w:tcBorders>
            <w:shd w:val="clear" w:color="000000" w:fill="004A7C"/>
            <w:vAlign w:val="center"/>
          </w:tcPr>
          <w:p w14:paraId="5C9B19AB">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National Income Level</w:t>
            </w:r>
          </w:p>
        </w:tc>
        <w:tc>
          <w:tcPr>
            <w:tcW w:w="1682" w:type="dxa"/>
            <w:vMerge w:val="restart"/>
            <w:tcBorders>
              <w:top w:val="nil"/>
              <w:left w:val="nil"/>
              <w:bottom w:val="nil"/>
              <w:right w:val="nil"/>
            </w:tcBorders>
            <w:shd w:val="clear" w:color="000000" w:fill="004A7C"/>
            <w:vAlign w:val="center"/>
          </w:tcPr>
          <w:p w14:paraId="4D9BADDA">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Study Design</w:t>
            </w:r>
          </w:p>
        </w:tc>
        <w:tc>
          <w:tcPr>
            <w:tcW w:w="2061" w:type="dxa"/>
            <w:vMerge w:val="restart"/>
            <w:tcBorders>
              <w:top w:val="nil"/>
              <w:left w:val="nil"/>
              <w:bottom w:val="nil"/>
              <w:right w:val="nil"/>
            </w:tcBorders>
            <w:shd w:val="clear" w:color="000000" w:fill="004A7C"/>
            <w:vAlign w:val="center"/>
          </w:tcPr>
          <w:p w14:paraId="31474B77">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Intervention Measures</w:t>
            </w:r>
          </w:p>
        </w:tc>
        <w:tc>
          <w:tcPr>
            <w:tcW w:w="1620" w:type="dxa"/>
            <w:vMerge w:val="restart"/>
            <w:tcBorders>
              <w:top w:val="nil"/>
              <w:left w:val="nil"/>
              <w:bottom w:val="nil"/>
              <w:right w:val="nil"/>
            </w:tcBorders>
            <w:shd w:val="clear" w:color="000000" w:fill="004A7C"/>
            <w:vAlign w:val="center"/>
          </w:tcPr>
          <w:p w14:paraId="03B6452F">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Control Group Measures</w:t>
            </w:r>
          </w:p>
        </w:tc>
        <w:tc>
          <w:tcPr>
            <w:tcW w:w="2374" w:type="dxa"/>
            <w:vMerge w:val="restart"/>
            <w:tcBorders>
              <w:top w:val="nil"/>
              <w:left w:val="nil"/>
              <w:bottom w:val="nil"/>
              <w:right w:val="nil"/>
            </w:tcBorders>
            <w:shd w:val="clear" w:color="000000" w:fill="004A7C"/>
            <w:vAlign w:val="center"/>
          </w:tcPr>
          <w:p w14:paraId="5312EC80">
            <w:pPr>
              <w:widowControl/>
              <w:snapToGrid w:val="0"/>
              <w:ind w:left="0" w:leftChars="0" w:right="0" w:rightChars="0" w:firstLine="0" w:firstLineChars="0"/>
              <w:jc w:val="center"/>
              <w:textAlignment w:val="center"/>
              <w:rPr>
                <w:rFonts w:hint="eastAsia" w:ascii="Times New Roman" w:hAnsi="Times New Roman" w:eastAsia="等线" w:cs="Times New Roman"/>
                <w:b/>
                <w:bCs/>
                <w:color w:val="FFFFFF"/>
                <w:kern w:val="0"/>
                <w:sz w:val="22"/>
                <w:lang w:bidi="ar"/>
              </w:rPr>
            </w:pPr>
            <w:r>
              <w:rPr>
                <w:rFonts w:hint="eastAsia" w:ascii="Times New Roman" w:hAnsi="Times New Roman" w:eastAsia="等线" w:cs="Times New Roman"/>
                <w:b/>
                <w:bCs/>
                <w:color w:val="FFFFFF"/>
                <w:kern w:val="0"/>
                <w:sz w:val="22"/>
                <w:lang w:bidi="ar"/>
              </w:rPr>
              <w:t>Behavior Change Technology</w:t>
            </w:r>
          </w:p>
          <w:p w14:paraId="44D1261A">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hint="eastAsia" w:ascii="Times New Roman" w:hAnsi="Times New Roman" w:eastAsia="等线" w:cs="Times New Roman"/>
                <w:b/>
                <w:bCs/>
                <w:color w:val="FFFFFF"/>
                <w:kern w:val="0"/>
                <w:sz w:val="22"/>
                <w:lang w:bidi="ar"/>
              </w:rPr>
              <w:t>(BCT)</w:t>
            </w:r>
            <w:r>
              <w:rPr>
                <w:rFonts w:ascii="Times New Roman" w:hAnsi="Times New Roman" w:eastAsia="等线" w:cs="Times New Roman"/>
                <w:b/>
                <w:bCs/>
                <w:color w:val="FFFFFF"/>
                <w:kern w:val="0"/>
                <w:sz w:val="22"/>
                <w:lang w:bidi="ar"/>
              </w:rPr>
              <w:t>Classification</w:t>
            </w:r>
          </w:p>
        </w:tc>
        <w:tc>
          <w:tcPr>
            <w:tcW w:w="2878" w:type="dxa"/>
            <w:gridSpan w:val="2"/>
            <w:tcBorders>
              <w:top w:val="nil"/>
              <w:left w:val="nil"/>
              <w:bottom w:val="nil"/>
              <w:right w:val="nil"/>
            </w:tcBorders>
            <w:shd w:val="clear" w:color="000000" w:fill="004A7C"/>
            <w:vAlign w:val="center"/>
          </w:tcPr>
          <w:p w14:paraId="34D36CC2">
            <w:pPr>
              <w:widowControl/>
              <w:snapToGrid w:val="0"/>
              <w:ind w:left="0" w:leftChars="0" w:right="0" w:rightChars="0" w:firstLine="0" w:firstLineChars="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Outcome Indicators (Number of rational antibiotic prescriptions/Total number of antibiotic prescriptions)</w:t>
            </w:r>
          </w:p>
        </w:tc>
        <w:tc>
          <w:tcPr>
            <w:tcW w:w="1641" w:type="dxa"/>
            <w:vMerge w:val="restart"/>
            <w:tcBorders>
              <w:top w:val="nil"/>
              <w:left w:val="nil"/>
              <w:bottom w:val="nil"/>
              <w:right w:val="nil"/>
            </w:tcBorders>
            <w:shd w:val="clear" w:color="000000" w:fill="004A7C"/>
            <w:vAlign w:val="center"/>
          </w:tcPr>
          <w:p w14:paraId="7F78748A">
            <w:pPr>
              <w:widowControl/>
              <w:snapToGrid w:val="0"/>
              <w:ind w:left="0" w:leftChars="0" w:right="0" w:rightChars="0" w:firstLine="0" w:firstLineChars="0"/>
              <w:jc w:val="center"/>
              <w:textAlignment w:val="center"/>
              <w:rPr>
                <w:rFonts w:ascii="Times New Roman" w:hAnsi="Times New Roman" w:eastAsia="等线" w:cs="Times New Roman"/>
                <w:b/>
                <w:bCs/>
                <w:color w:val="FFFFFF"/>
                <w:kern w:val="0"/>
                <w:sz w:val="22"/>
                <w:lang w:bidi="ar"/>
              </w:rPr>
            </w:pPr>
            <w:r>
              <w:rPr>
                <w:rFonts w:hint="eastAsia" w:ascii="Times New Roman" w:hAnsi="Times New Roman" w:eastAsia="等线" w:cs="Times New Roman"/>
                <w:b/>
                <w:bCs/>
                <w:color w:val="FFFFFF"/>
                <w:kern w:val="0"/>
                <w:sz w:val="22"/>
                <w:lang w:bidi="ar"/>
              </w:rPr>
              <w:t>AMS Infrastructure/Support</w:t>
            </w:r>
          </w:p>
        </w:tc>
      </w:tr>
      <w:tr w14:paraId="6F453284">
        <w:tblPrEx>
          <w:tblCellMar>
            <w:top w:w="0" w:type="dxa"/>
            <w:left w:w="108" w:type="dxa"/>
            <w:bottom w:w="0" w:type="dxa"/>
            <w:right w:w="108" w:type="dxa"/>
          </w:tblCellMar>
        </w:tblPrEx>
        <w:trPr>
          <w:cantSplit/>
          <w:trHeight w:val="0" w:hRule="atLeast"/>
          <w:tblHeader/>
          <w:jc w:val="center"/>
        </w:trPr>
        <w:tc>
          <w:tcPr>
            <w:tcW w:w="1280" w:type="dxa"/>
            <w:vMerge w:val="continue"/>
            <w:tcBorders>
              <w:top w:val="nil"/>
              <w:left w:val="nil"/>
              <w:bottom w:val="nil"/>
              <w:right w:val="nil"/>
            </w:tcBorders>
            <w:shd w:val="clear" w:color="000000" w:fill="004A7C"/>
            <w:vAlign w:val="center"/>
          </w:tcPr>
          <w:p w14:paraId="28EB2D76">
            <w:pPr>
              <w:snapToGrid w:val="0"/>
              <w:ind w:left="0" w:leftChars="0" w:right="0" w:rightChars="0" w:firstLine="0" w:firstLineChars="0"/>
              <w:jc w:val="center"/>
              <w:rPr>
                <w:rFonts w:ascii="Times New Roman" w:hAnsi="Times New Roman" w:eastAsia="等线" w:cs="Times New Roman"/>
                <w:b/>
                <w:bCs/>
                <w:color w:val="FFFFFF"/>
                <w:sz w:val="22"/>
              </w:rPr>
            </w:pPr>
          </w:p>
        </w:tc>
        <w:tc>
          <w:tcPr>
            <w:tcW w:w="1279" w:type="dxa"/>
            <w:vMerge w:val="continue"/>
            <w:tcBorders>
              <w:top w:val="nil"/>
              <w:left w:val="nil"/>
              <w:bottom w:val="nil"/>
              <w:right w:val="nil"/>
            </w:tcBorders>
            <w:shd w:val="clear" w:color="000000" w:fill="004A7C"/>
            <w:vAlign w:val="center"/>
          </w:tcPr>
          <w:p w14:paraId="7637DF79">
            <w:pPr>
              <w:snapToGrid w:val="0"/>
              <w:ind w:left="0" w:leftChars="0" w:right="0" w:rightChars="0" w:firstLine="0" w:firstLineChars="0"/>
              <w:jc w:val="center"/>
              <w:rPr>
                <w:rFonts w:ascii="Times New Roman" w:hAnsi="Times New Roman" w:eastAsia="等线" w:cs="Times New Roman"/>
                <w:b/>
                <w:bCs/>
                <w:color w:val="FFFFFF"/>
                <w:sz w:val="22"/>
              </w:rPr>
            </w:pPr>
          </w:p>
        </w:tc>
        <w:tc>
          <w:tcPr>
            <w:tcW w:w="1076" w:type="dxa"/>
            <w:vMerge w:val="continue"/>
            <w:tcBorders>
              <w:top w:val="nil"/>
              <w:left w:val="nil"/>
              <w:bottom w:val="nil"/>
              <w:right w:val="nil"/>
            </w:tcBorders>
            <w:shd w:val="clear" w:color="000000" w:fill="004A7C"/>
            <w:vAlign w:val="center"/>
          </w:tcPr>
          <w:p w14:paraId="6874DA99">
            <w:pPr>
              <w:snapToGrid w:val="0"/>
              <w:ind w:left="0" w:leftChars="0" w:right="0" w:rightChars="0" w:firstLine="0" w:firstLineChars="0"/>
              <w:jc w:val="center"/>
              <w:rPr>
                <w:rFonts w:ascii="Times New Roman" w:hAnsi="Times New Roman" w:eastAsia="等线" w:cs="Times New Roman"/>
                <w:b/>
                <w:bCs/>
                <w:color w:val="FFFFFF"/>
                <w:sz w:val="22"/>
              </w:rPr>
            </w:pPr>
          </w:p>
        </w:tc>
        <w:tc>
          <w:tcPr>
            <w:tcW w:w="1682" w:type="dxa"/>
            <w:vMerge w:val="continue"/>
            <w:tcBorders>
              <w:top w:val="nil"/>
              <w:left w:val="nil"/>
              <w:bottom w:val="nil"/>
              <w:right w:val="nil"/>
            </w:tcBorders>
            <w:shd w:val="clear" w:color="000000" w:fill="004A7C"/>
            <w:vAlign w:val="center"/>
          </w:tcPr>
          <w:p w14:paraId="79F60C04">
            <w:pPr>
              <w:snapToGrid w:val="0"/>
              <w:ind w:left="0" w:leftChars="0" w:right="0" w:rightChars="0" w:firstLine="0" w:firstLineChars="0"/>
              <w:jc w:val="center"/>
              <w:rPr>
                <w:rFonts w:ascii="Times New Roman" w:hAnsi="Times New Roman" w:eastAsia="等线" w:cs="Times New Roman"/>
                <w:b/>
                <w:bCs/>
                <w:color w:val="FFFFFF"/>
                <w:sz w:val="22"/>
              </w:rPr>
            </w:pPr>
          </w:p>
        </w:tc>
        <w:tc>
          <w:tcPr>
            <w:tcW w:w="2061" w:type="dxa"/>
            <w:vMerge w:val="continue"/>
            <w:tcBorders>
              <w:top w:val="nil"/>
              <w:left w:val="nil"/>
              <w:bottom w:val="nil"/>
              <w:right w:val="nil"/>
            </w:tcBorders>
            <w:shd w:val="clear" w:color="000000" w:fill="004A7C"/>
            <w:vAlign w:val="center"/>
          </w:tcPr>
          <w:p w14:paraId="06DF56D0">
            <w:pPr>
              <w:snapToGrid w:val="0"/>
              <w:ind w:left="0" w:leftChars="0" w:right="0" w:rightChars="0" w:firstLine="0" w:firstLineChars="0"/>
              <w:jc w:val="center"/>
              <w:rPr>
                <w:rFonts w:ascii="Times New Roman" w:hAnsi="Times New Roman" w:eastAsia="等线" w:cs="Times New Roman"/>
                <w:b/>
                <w:bCs/>
                <w:color w:val="FFFFFF"/>
                <w:sz w:val="22"/>
              </w:rPr>
            </w:pPr>
          </w:p>
        </w:tc>
        <w:tc>
          <w:tcPr>
            <w:tcW w:w="1620" w:type="dxa"/>
            <w:vMerge w:val="continue"/>
            <w:tcBorders>
              <w:top w:val="nil"/>
              <w:left w:val="nil"/>
              <w:bottom w:val="nil"/>
              <w:right w:val="nil"/>
            </w:tcBorders>
            <w:shd w:val="clear" w:color="000000" w:fill="004A7C"/>
            <w:vAlign w:val="center"/>
          </w:tcPr>
          <w:p w14:paraId="1385879A">
            <w:pPr>
              <w:snapToGrid w:val="0"/>
              <w:ind w:left="0" w:leftChars="0" w:right="0" w:rightChars="0" w:firstLine="0" w:firstLineChars="0"/>
              <w:jc w:val="center"/>
              <w:rPr>
                <w:rFonts w:ascii="Times New Roman" w:hAnsi="Times New Roman" w:eastAsia="等线" w:cs="Times New Roman"/>
                <w:b/>
                <w:bCs/>
                <w:color w:val="FFFFFF"/>
                <w:sz w:val="22"/>
              </w:rPr>
            </w:pPr>
          </w:p>
        </w:tc>
        <w:tc>
          <w:tcPr>
            <w:tcW w:w="2374" w:type="dxa"/>
            <w:vMerge w:val="continue"/>
            <w:tcBorders>
              <w:top w:val="nil"/>
              <w:left w:val="nil"/>
              <w:bottom w:val="nil"/>
              <w:right w:val="nil"/>
            </w:tcBorders>
            <w:shd w:val="clear" w:color="000000" w:fill="004A7C"/>
            <w:vAlign w:val="center"/>
          </w:tcPr>
          <w:p w14:paraId="46ACACCB">
            <w:pPr>
              <w:snapToGrid w:val="0"/>
              <w:ind w:left="0" w:leftChars="0" w:right="0" w:rightChars="0" w:firstLine="0" w:firstLineChars="0"/>
              <w:jc w:val="center"/>
              <w:rPr>
                <w:rFonts w:ascii="Times New Roman" w:hAnsi="Times New Roman" w:eastAsia="等线" w:cs="Times New Roman"/>
                <w:b/>
                <w:bCs/>
                <w:color w:val="FFFFFF"/>
                <w:sz w:val="22"/>
              </w:rPr>
            </w:pPr>
          </w:p>
        </w:tc>
        <w:tc>
          <w:tcPr>
            <w:tcW w:w="1283" w:type="dxa"/>
            <w:tcBorders>
              <w:top w:val="nil"/>
              <w:left w:val="nil"/>
              <w:bottom w:val="nil"/>
              <w:right w:val="nil"/>
            </w:tcBorders>
            <w:shd w:val="clear" w:color="000000" w:fill="FAFAFA"/>
            <w:vAlign w:val="center"/>
          </w:tcPr>
          <w:p w14:paraId="4CF0D32C">
            <w:pPr>
              <w:widowControl/>
              <w:snapToGrid w:val="0"/>
              <w:ind w:left="0" w:leftChars="0" w:right="0" w:rightChars="0" w:firstLine="0" w:firstLineChars="0"/>
              <w:jc w:val="center"/>
              <w:textAlignment w:val="center"/>
              <w:rPr>
                <w:rFonts w:ascii="Times New Roman" w:hAnsi="Times New Roman" w:eastAsia="等线" w:cs="Times New Roman"/>
                <w:b/>
                <w:color w:val="000000"/>
                <w:sz w:val="22"/>
              </w:rPr>
            </w:pPr>
            <w:r>
              <w:rPr>
                <w:rFonts w:ascii="Times New Roman" w:hAnsi="Times New Roman" w:eastAsia="等线" w:cs="Times New Roman"/>
                <w:b/>
                <w:color w:val="000000"/>
                <w:kern w:val="0"/>
                <w:sz w:val="22"/>
                <w:lang w:bidi="ar"/>
              </w:rPr>
              <w:t>Intervention group</w:t>
            </w:r>
          </w:p>
        </w:tc>
        <w:tc>
          <w:tcPr>
            <w:tcW w:w="1595" w:type="dxa"/>
            <w:tcBorders>
              <w:top w:val="nil"/>
              <w:left w:val="nil"/>
              <w:bottom w:val="nil"/>
              <w:right w:val="nil"/>
            </w:tcBorders>
            <w:shd w:val="clear" w:color="000000" w:fill="FAFAFA"/>
            <w:vAlign w:val="center"/>
          </w:tcPr>
          <w:p w14:paraId="71003F0F">
            <w:pPr>
              <w:widowControl/>
              <w:snapToGrid w:val="0"/>
              <w:ind w:left="0" w:leftChars="0" w:right="0" w:rightChars="0" w:firstLine="0" w:firstLineChars="0"/>
              <w:jc w:val="center"/>
              <w:textAlignment w:val="center"/>
              <w:rPr>
                <w:rFonts w:ascii="Times New Roman" w:hAnsi="Times New Roman" w:eastAsia="等线" w:cs="Times New Roman"/>
                <w:b/>
                <w:color w:val="000000"/>
                <w:sz w:val="22"/>
              </w:rPr>
            </w:pPr>
            <w:r>
              <w:rPr>
                <w:rFonts w:ascii="Times New Roman" w:hAnsi="Times New Roman" w:eastAsia="等线" w:cs="Times New Roman"/>
                <w:b/>
                <w:color w:val="000000"/>
                <w:kern w:val="0"/>
                <w:sz w:val="22"/>
                <w:lang w:bidi="ar"/>
              </w:rPr>
              <w:t>Control group</w:t>
            </w:r>
          </w:p>
        </w:tc>
        <w:tc>
          <w:tcPr>
            <w:tcW w:w="1641" w:type="dxa"/>
            <w:vMerge w:val="continue"/>
            <w:tcBorders>
              <w:top w:val="nil"/>
              <w:left w:val="nil"/>
              <w:bottom w:val="nil"/>
              <w:right w:val="nil"/>
            </w:tcBorders>
            <w:shd w:val="clear" w:color="000000" w:fill="FAFAFA"/>
            <w:vAlign w:val="center"/>
          </w:tcPr>
          <w:p w14:paraId="122C175D">
            <w:pPr>
              <w:widowControl/>
              <w:snapToGrid w:val="0"/>
              <w:ind w:left="0" w:leftChars="0" w:right="0" w:rightChars="0" w:firstLine="0" w:firstLineChars="0"/>
              <w:jc w:val="center"/>
              <w:textAlignment w:val="center"/>
              <w:rPr>
                <w:rFonts w:ascii="Times New Roman" w:hAnsi="Times New Roman" w:eastAsia="等线" w:cs="Times New Roman"/>
                <w:b/>
                <w:color w:val="000000"/>
                <w:kern w:val="0"/>
                <w:sz w:val="22"/>
                <w:lang w:bidi="ar"/>
              </w:rPr>
            </w:pPr>
          </w:p>
        </w:tc>
      </w:tr>
      <w:tr w14:paraId="498BDFED">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048CC053">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Carol et al.</w:t>
            </w:r>
            <w:r>
              <w:rPr>
                <w:rFonts w:hint="eastAsia" w:ascii="Times New Roman" w:hAnsi="Times New Roman" w:eastAsia="等线" w:cs="Times New Roman"/>
                <w:color w:val="000000"/>
                <w:kern w:val="0"/>
                <w:sz w:val="22"/>
                <w:lang w:bidi="ar"/>
              </w:rPr>
              <w:t>(2000)</w:t>
            </w:r>
          </w:p>
        </w:tc>
        <w:tc>
          <w:tcPr>
            <w:tcW w:w="1279" w:type="dxa"/>
            <w:tcBorders>
              <w:top w:val="nil"/>
              <w:left w:val="nil"/>
              <w:bottom w:val="nil"/>
              <w:right w:val="nil"/>
            </w:tcBorders>
            <w:shd w:val="clear" w:color="000000" w:fill="E8F1F5"/>
            <w:vAlign w:val="center"/>
          </w:tcPr>
          <w:p w14:paraId="1691EAAB">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E8F1F5"/>
            <w:vAlign w:val="center"/>
          </w:tcPr>
          <w:p w14:paraId="214B423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2EE3C24C">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 - after comparison</w:t>
            </w:r>
          </w:p>
        </w:tc>
        <w:tc>
          <w:tcPr>
            <w:tcW w:w="2061" w:type="dxa"/>
            <w:tcBorders>
              <w:top w:val="nil"/>
              <w:left w:val="nil"/>
              <w:bottom w:val="nil"/>
              <w:right w:val="nil"/>
            </w:tcBorders>
            <w:shd w:val="clear" w:color="000000" w:fill="E8F1F5"/>
            <w:vAlign w:val="center"/>
          </w:tcPr>
          <w:p w14:paraId="6A97D9E8">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Seminars + tool cards + electronic medical record updates</w:t>
            </w:r>
          </w:p>
        </w:tc>
        <w:tc>
          <w:tcPr>
            <w:tcW w:w="1620" w:type="dxa"/>
            <w:tcBorders>
              <w:top w:val="nil"/>
              <w:left w:val="nil"/>
              <w:bottom w:val="nil"/>
              <w:right w:val="nil"/>
            </w:tcBorders>
            <w:shd w:val="clear" w:color="000000" w:fill="E8F1F5"/>
            <w:vAlign w:val="center"/>
          </w:tcPr>
          <w:p w14:paraId="0B11CD6F">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operations</w:t>
            </w:r>
          </w:p>
        </w:tc>
        <w:tc>
          <w:tcPr>
            <w:tcW w:w="2374" w:type="dxa"/>
            <w:tcBorders>
              <w:top w:val="nil"/>
              <w:left w:val="nil"/>
              <w:bottom w:val="nil"/>
              <w:right w:val="nil"/>
            </w:tcBorders>
            <w:shd w:val="clear" w:color="000000" w:fill="E8F1F5"/>
            <w:vAlign w:val="center"/>
          </w:tcPr>
          <w:p w14:paraId="2F7014A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E8F1F5"/>
            <w:vAlign w:val="center"/>
          </w:tcPr>
          <w:p w14:paraId="589F19BC">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150/150</w:t>
            </w:r>
          </w:p>
        </w:tc>
        <w:tc>
          <w:tcPr>
            <w:tcW w:w="1595" w:type="dxa"/>
            <w:tcBorders>
              <w:top w:val="nil"/>
              <w:left w:val="nil"/>
              <w:bottom w:val="nil"/>
              <w:right w:val="nil"/>
            </w:tcBorders>
            <w:shd w:val="clear" w:color="000000" w:fill="E8F1F5"/>
            <w:vAlign w:val="center"/>
          </w:tcPr>
          <w:p w14:paraId="595010ED">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67/67</w:t>
            </w:r>
          </w:p>
        </w:tc>
        <w:tc>
          <w:tcPr>
            <w:tcW w:w="1641" w:type="dxa"/>
            <w:tcBorders>
              <w:top w:val="nil"/>
              <w:left w:val="nil"/>
              <w:bottom w:val="nil"/>
              <w:right w:val="nil"/>
            </w:tcBorders>
            <w:shd w:val="clear" w:color="000000" w:fill="E8F1F5"/>
            <w:vAlign w:val="center"/>
          </w:tcPr>
          <w:p w14:paraId="5FE43149">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42A752B">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4928FEB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Flora et al.</w:t>
            </w:r>
            <w:r>
              <w:rPr>
                <w:rFonts w:hint="eastAsia" w:ascii="Times New Roman" w:hAnsi="Times New Roman" w:eastAsia="等线" w:cs="Times New Roman"/>
                <w:color w:val="000000"/>
                <w:kern w:val="0"/>
                <w:sz w:val="22"/>
                <w:lang w:bidi="ar"/>
              </w:rPr>
              <w:t>(2008)</w:t>
            </w:r>
          </w:p>
        </w:tc>
        <w:tc>
          <w:tcPr>
            <w:tcW w:w="1279" w:type="dxa"/>
            <w:tcBorders>
              <w:top w:val="nil"/>
              <w:left w:val="nil"/>
              <w:bottom w:val="nil"/>
              <w:right w:val="nil"/>
            </w:tcBorders>
            <w:shd w:val="clear" w:color="000000" w:fill="FAFAFA"/>
            <w:vAlign w:val="center"/>
          </w:tcPr>
          <w:p w14:paraId="6A03F34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FAFAFA"/>
            <w:vAlign w:val="center"/>
          </w:tcPr>
          <w:p w14:paraId="1A0A3F7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FAFAFA"/>
            <w:vAlign w:val="center"/>
          </w:tcPr>
          <w:p w14:paraId="3DA700C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Intervention study</w:t>
            </w:r>
          </w:p>
        </w:tc>
        <w:tc>
          <w:tcPr>
            <w:tcW w:w="2061" w:type="dxa"/>
            <w:tcBorders>
              <w:top w:val="nil"/>
              <w:left w:val="nil"/>
              <w:bottom w:val="nil"/>
              <w:right w:val="nil"/>
            </w:tcBorders>
            <w:shd w:val="clear" w:color="000000" w:fill="FAFAFA"/>
            <w:vAlign w:val="center"/>
          </w:tcPr>
          <w:p w14:paraId="5657BA0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Antibiotic handbook</w:t>
            </w:r>
          </w:p>
        </w:tc>
        <w:tc>
          <w:tcPr>
            <w:tcW w:w="1620" w:type="dxa"/>
            <w:tcBorders>
              <w:top w:val="nil"/>
              <w:left w:val="nil"/>
              <w:bottom w:val="nil"/>
              <w:right w:val="nil"/>
            </w:tcBorders>
            <w:shd w:val="clear" w:color="000000" w:fill="FAFAFA"/>
            <w:vAlign w:val="center"/>
          </w:tcPr>
          <w:p w14:paraId="071A360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No handbook</w:t>
            </w:r>
          </w:p>
        </w:tc>
        <w:tc>
          <w:tcPr>
            <w:tcW w:w="2374" w:type="dxa"/>
            <w:tcBorders>
              <w:top w:val="nil"/>
              <w:left w:val="nil"/>
              <w:bottom w:val="nil"/>
              <w:right w:val="nil"/>
            </w:tcBorders>
            <w:shd w:val="clear" w:color="000000" w:fill="FAFAFA"/>
            <w:vAlign w:val="center"/>
          </w:tcPr>
          <w:p w14:paraId="3C0D5E5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Antecedents</w:t>
            </w:r>
          </w:p>
        </w:tc>
        <w:tc>
          <w:tcPr>
            <w:tcW w:w="1283" w:type="dxa"/>
            <w:tcBorders>
              <w:top w:val="nil"/>
              <w:left w:val="nil"/>
              <w:bottom w:val="nil"/>
              <w:right w:val="nil"/>
            </w:tcBorders>
            <w:shd w:val="clear" w:color="000000" w:fill="FAFAFA"/>
            <w:vAlign w:val="center"/>
          </w:tcPr>
          <w:p w14:paraId="512A119F">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66/201</w:t>
            </w:r>
          </w:p>
        </w:tc>
        <w:tc>
          <w:tcPr>
            <w:tcW w:w="1595" w:type="dxa"/>
            <w:tcBorders>
              <w:top w:val="nil"/>
              <w:left w:val="nil"/>
              <w:bottom w:val="nil"/>
              <w:right w:val="nil"/>
            </w:tcBorders>
            <w:shd w:val="clear" w:color="000000" w:fill="FAFAFA"/>
            <w:vAlign w:val="center"/>
          </w:tcPr>
          <w:p w14:paraId="669EE952">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53/139</w:t>
            </w:r>
          </w:p>
        </w:tc>
        <w:tc>
          <w:tcPr>
            <w:tcW w:w="1641" w:type="dxa"/>
            <w:tcBorders>
              <w:top w:val="nil"/>
              <w:left w:val="nil"/>
              <w:bottom w:val="nil"/>
              <w:right w:val="nil"/>
            </w:tcBorders>
            <w:shd w:val="clear" w:color="000000" w:fill="FAFAFA"/>
            <w:vAlign w:val="center"/>
          </w:tcPr>
          <w:p w14:paraId="537734DF">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0055D8E3">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34F5A41C">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Fouzia et al.</w:t>
            </w:r>
            <w:r>
              <w:rPr>
                <w:rFonts w:hint="eastAsia" w:ascii="Times New Roman" w:hAnsi="Times New Roman" w:eastAsia="等线" w:cs="Times New Roman"/>
                <w:color w:val="000000"/>
                <w:kern w:val="0"/>
                <w:sz w:val="22"/>
                <w:lang w:bidi="ar"/>
              </w:rPr>
              <w:t>(2021)</w:t>
            </w:r>
          </w:p>
        </w:tc>
        <w:tc>
          <w:tcPr>
            <w:tcW w:w="1279" w:type="dxa"/>
            <w:tcBorders>
              <w:top w:val="nil"/>
              <w:left w:val="nil"/>
              <w:bottom w:val="nil"/>
              <w:right w:val="nil"/>
            </w:tcBorders>
            <w:shd w:val="clear" w:color="000000" w:fill="E8F1F5"/>
            <w:vAlign w:val="center"/>
          </w:tcPr>
          <w:p w14:paraId="7F9622F6">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E8F1F5"/>
            <w:vAlign w:val="center"/>
          </w:tcPr>
          <w:p w14:paraId="3EB05BC8">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57E44846">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 - after comparison</w:t>
            </w:r>
          </w:p>
        </w:tc>
        <w:tc>
          <w:tcPr>
            <w:tcW w:w="2061" w:type="dxa"/>
            <w:tcBorders>
              <w:top w:val="nil"/>
              <w:left w:val="nil"/>
              <w:bottom w:val="nil"/>
              <w:right w:val="nil"/>
            </w:tcBorders>
            <w:shd w:val="clear" w:color="000000" w:fill="E8F1F5"/>
            <w:vAlign w:val="center"/>
          </w:tcPr>
          <w:p w14:paraId="6F62C8D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Guidelines + expert support + review feedback</w:t>
            </w:r>
          </w:p>
        </w:tc>
        <w:tc>
          <w:tcPr>
            <w:tcW w:w="1620" w:type="dxa"/>
            <w:tcBorders>
              <w:top w:val="nil"/>
              <w:left w:val="nil"/>
              <w:bottom w:val="nil"/>
              <w:right w:val="nil"/>
            </w:tcBorders>
            <w:shd w:val="clear" w:color="000000" w:fill="E8F1F5"/>
            <w:vAlign w:val="center"/>
          </w:tcPr>
          <w:p w14:paraId="5187153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operations</w:t>
            </w:r>
          </w:p>
        </w:tc>
        <w:tc>
          <w:tcPr>
            <w:tcW w:w="2374" w:type="dxa"/>
            <w:tcBorders>
              <w:top w:val="nil"/>
              <w:left w:val="nil"/>
              <w:bottom w:val="nil"/>
              <w:right w:val="nil"/>
            </w:tcBorders>
            <w:shd w:val="clear" w:color="000000" w:fill="E8F1F5"/>
            <w:vAlign w:val="center"/>
          </w:tcPr>
          <w:p w14:paraId="200EB920">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 xml:space="preserve">Goals and plans,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p>
        </w:tc>
        <w:tc>
          <w:tcPr>
            <w:tcW w:w="1283" w:type="dxa"/>
            <w:tcBorders>
              <w:top w:val="nil"/>
              <w:left w:val="nil"/>
              <w:bottom w:val="nil"/>
              <w:right w:val="nil"/>
            </w:tcBorders>
            <w:shd w:val="clear" w:color="000000" w:fill="E8F1F5"/>
            <w:vAlign w:val="center"/>
          </w:tcPr>
          <w:p w14:paraId="4DF50CC3">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78/107</w:t>
            </w:r>
          </w:p>
        </w:tc>
        <w:tc>
          <w:tcPr>
            <w:tcW w:w="1595" w:type="dxa"/>
            <w:tcBorders>
              <w:top w:val="nil"/>
              <w:left w:val="nil"/>
              <w:bottom w:val="nil"/>
              <w:right w:val="nil"/>
            </w:tcBorders>
            <w:shd w:val="clear" w:color="000000" w:fill="E8F1F5"/>
            <w:vAlign w:val="center"/>
          </w:tcPr>
          <w:p w14:paraId="6A3CC07B">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89/139</w:t>
            </w:r>
          </w:p>
        </w:tc>
        <w:tc>
          <w:tcPr>
            <w:tcW w:w="1641" w:type="dxa"/>
            <w:tcBorders>
              <w:top w:val="nil"/>
              <w:left w:val="nil"/>
              <w:bottom w:val="nil"/>
              <w:right w:val="nil"/>
            </w:tcBorders>
            <w:shd w:val="clear" w:color="000000" w:fill="E8F1F5"/>
            <w:vAlign w:val="center"/>
          </w:tcPr>
          <w:p w14:paraId="6256D101">
            <w:pPr>
              <w:widowControl/>
              <w:snapToGrid w:val="0"/>
              <w:ind w:left="0" w:leftChars="0" w:right="0" w:rightChars="0" w:firstLine="0" w:firstLineChars="0"/>
              <w:jc w:val="left"/>
              <w:textAlignment w:val="center"/>
              <w:rPr>
                <w:rFonts w:hint="default" w:ascii="Times New Roman" w:hAnsi="Times New Roman" w:eastAsia="等线" w:cs="Times New Roman"/>
                <w:color w:val="000000"/>
                <w:kern w:val="0"/>
                <w:sz w:val="22"/>
                <w:lang w:val="en-US" w:eastAsia="zh-CN" w:bidi="ar"/>
              </w:rPr>
            </w:pPr>
            <w:r>
              <w:rPr>
                <w:rFonts w:hint="eastAsia" w:ascii="Times New Roman" w:hAnsi="Times New Roman" w:eastAsia="等线" w:cs="Times New Roman"/>
                <w:color w:val="000000"/>
                <w:kern w:val="0"/>
                <w:sz w:val="22"/>
                <w:szCs w:val="21"/>
                <w:lang w:bidi="ar"/>
              </w:rPr>
              <w:t>Not mentioned</w:t>
            </w:r>
          </w:p>
        </w:tc>
      </w:tr>
      <w:tr w14:paraId="4A184C95">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063744AF">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George F et al.</w:t>
            </w:r>
            <w:r>
              <w:rPr>
                <w:rFonts w:hint="eastAsia" w:ascii="Times New Roman" w:hAnsi="Times New Roman" w:eastAsia="等线" w:cs="Times New Roman"/>
                <w:color w:val="000000"/>
                <w:kern w:val="0"/>
                <w:sz w:val="22"/>
                <w:lang w:bidi="ar"/>
              </w:rPr>
              <w:t>(2021)</w:t>
            </w:r>
          </w:p>
        </w:tc>
        <w:tc>
          <w:tcPr>
            <w:tcW w:w="1279" w:type="dxa"/>
            <w:tcBorders>
              <w:top w:val="nil"/>
              <w:left w:val="nil"/>
              <w:bottom w:val="nil"/>
              <w:right w:val="nil"/>
            </w:tcBorders>
            <w:shd w:val="clear" w:color="000000" w:fill="FAFAFA"/>
            <w:vAlign w:val="center"/>
          </w:tcPr>
          <w:p w14:paraId="734512D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FAFAFA"/>
            <w:vAlign w:val="center"/>
          </w:tcPr>
          <w:p w14:paraId="17A29E0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FAFAFA"/>
            <w:vAlign w:val="center"/>
          </w:tcPr>
          <w:p w14:paraId="17B43F08">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 - after comparison</w:t>
            </w:r>
          </w:p>
        </w:tc>
        <w:tc>
          <w:tcPr>
            <w:tcW w:w="2061" w:type="dxa"/>
            <w:tcBorders>
              <w:top w:val="nil"/>
              <w:left w:val="nil"/>
              <w:bottom w:val="nil"/>
              <w:right w:val="nil"/>
            </w:tcBorders>
            <w:shd w:val="clear" w:color="000000" w:fill="FAFAFA"/>
            <w:vAlign w:val="center"/>
          </w:tcPr>
          <w:p w14:paraId="259F5C8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Peer comparison + behavior feedback</w:t>
            </w:r>
          </w:p>
        </w:tc>
        <w:tc>
          <w:tcPr>
            <w:tcW w:w="1620" w:type="dxa"/>
            <w:tcBorders>
              <w:top w:val="nil"/>
              <w:left w:val="nil"/>
              <w:bottom w:val="nil"/>
              <w:right w:val="nil"/>
            </w:tcBorders>
            <w:shd w:val="clear" w:color="000000" w:fill="FAFAFA"/>
            <w:vAlign w:val="center"/>
          </w:tcPr>
          <w:p w14:paraId="6116D33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prescription</w:t>
            </w:r>
          </w:p>
        </w:tc>
        <w:tc>
          <w:tcPr>
            <w:tcW w:w="2374" w:type="dxa"/>
            <w:tcBorders>
              <w:top w:val="nil"/>
              <w:left w:val="nil"/>
              <w:bottom w:val="nil"/>
              <w:right w:val="nil"/>
            </w:tcBorders>
            <w:shd w:val="clear" w:color="000000" w:fill="FAFAFA"/>
            <w:vAlign w:val="center"/>
          </w:tcPr>
          <w:p w14:paraId="6758C18F">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FAFAFA"/>
            <w:vAlign w:val="center"/>
          </w:tcPr>
          <w:p w14:paraId="447C660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4986/5880</w:t>
            </w:r>
          </w:p>
        </w:tc>
        <w:tc>
          <w:tcPr>
            <w:tcW w:w="1595" w:type="dxa"/>
            <w:tcBorders>
              <w:top w:val="nil"/>
              <w:left w:val="nil"/>
              <w:bottom w:val="nil"/>
              <w:right w:val="nil"/>
            </w:tcBorders>
            <w:shd w:val="clear" w:color="000000" w:fill="FAFAFA"/>
            <w:vAlign w:val="center"/>
          </w:tcPr>
          <w:p w14:paraId="174809A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8053/10325</w:t>
            </w:r>
          </w:p>
        </w:tc>
        <w:tc>
          <w:tcPr>
            <w:tcW w:w="1641" w:type="dxa"/>
            <w:tcBorders>
              <w:top w:val="nil"/>
              <w:left w:val="nil"/>
              <w:bottom w:val="nil"/>
              <w:right w:val="nil"/>
            </w:tcBorders>
            <w:shd w:val="clear" w:color="000000" w:fill="FAFAFA"/>
            <w:vAlign w:val="center"/>
          </w:tcPr>
          <w:p w14:paraId="5C4CF239">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szCs w:val="22"/>
                <w:lang w:val="en-US" w:eastAsia="zh-CN" w:bidi="ar"/>
                <w14:ligatures w14:val="standardContextual"/>
              </w:rPr>
            </w:pPr>
            <w:r>
              <w:rPr>
                <w:rFonts w:hint="eastAsia" w:ascii="Times New Roman" w:hAnsi="Times New Roman" w:eastAsia="等线" w:cs="Times New Roman"/>
                <w:color w:val="000000"/>
                <w:kern w:val="0"/>
                <w:sz w:val="22"/>
                <w:szCs w:val="21"/>
                <w:lang w:bidi="ar"/>
              </w:rPr>
              <w:t>Not mentioned</w:t>
            </w:r>
          </w:p>
        </w:tc>
      </w:tr>
      <w:tr w14:paraId="514ED980">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13B8BA7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James et al.</w:t>
            </w:r>
            <w:r>
              <w:rPr>
                <w:rFonts w:hint="eastAsia" w:ascii="Times New Roman" w:hAnsi="Times New Roman" w:eastAsia="等线" w:cs="Times New Roman"/>
                <w:color w:val="000000"/>
                <w:kern w:val="0"/>
                <w:sz w:val="22"/>
                <w:lang w:bidi="ar"/>
              </w:rPr>
              <w:t>(1980)</w:t>
            </w:r>
          </w:p>
        </w:tc>
        <w:tc>
          <w:tcPr>
            <w:tcW w:w="1279" w:type="dxa"/>
            <w:tcBorders>
              <w:top w:val="nil"/>
              <w:left w:val="nil"/>
              <w:bottom w:val="nil"/>
              <w:right w:val="nil"/>
            </w:tcBorders>
            <w:shd w:val="clear" w:color="000000" w:fill="E8F1F5"/>
            <w:vAlign w:val="center"/>
          </w:tcPr>
          <w:p w14:paraId="33B95727">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E8F1F5"/>
            <w:vAlign w:val="center"/>
          </w:tcPr>
          <w:p w14:paraId="562ECB1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12644F64">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Retrospective prospective cohort</w:t>
            </w:r>
          </w:p>
        </w:tc>
        <w:tc>
          <w:tcPr>
            <w:tcW w:w="2061" w:type="dxa"/>
            <w:tcBorders>
              <w:top w:val="nil"/>
              <w:left w:val="nil"/>
              <w:bottom w:val="nil"/>
              <w:right w:val="nil"/>
            </w:tcBorders>
            <w:shd w:val="clear" w:color="000000" w:fill="E8F1F5"/>
            <w:vAlign w:val="center"/>
          </w:tcPr>
          <w:p w14:paraId="08D15BD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Personal prescription file + academic detail intervention</w:t>
            </w:r>
          </w:p>
        </w:tc>
        <w:tc>
          <w:tcPr>
            <w:tcW w:w="1620" w:type="dxa"/>
            <w:tcBorders>
              <w:top w:val="nil"/>
              <w:left w:val="nil"/>
              <w:bottom w:val="nil"/>
              <w:right w:val="nil"/>
            </w:tcBorders>
            <w:shd w:val="clear" w:color="000000" w:fill="E8F1F5"/>
            <w:vAlign w:val="center"/>
          </w:tcPr>
          <w:p w14:paraId="09DF3FE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No intervention</w:t>
            </w:r>
          </w:p>
        </w:tc>
        <w:tc>
          <w:tcPr>
            <w:tcW w:w="2374" w:type="dxa"/>
            <w:tcBorders>
              <w:top w:val="nil"/>
              <w:left w:val="nil"/>
              <w:bottom w:val="nil"/>
              <w:right w:val="nil"/>
            </w:tcBorders>
            <w:shd w:val="clear" w:color="000000" w:fill="E8F1F5"/>
            <w:vAlign w:val="center"/>
          </w:tcPr>
          <w:p w14:paraId="6F489247">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E8F1F5"/>
            <w:vAlign w:val="center"/>
          </w:tcPr>
          <w:p w14:paraId="6F0CB5FF">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95/129</w:t>
            </w:r>
          </w:p>
        </w:tc>
        <w:tc>
          <w:tcPr>
            <w:tcW w:w="1595" w:type="dxa"/>
            <w:tcBorders>
              <w:top w:val="nil"/>
              <w:left w:val="nil"/>
              <w:bottom w:val="nil"/>
              <w:right w:val="nil"/>
            </w:tcBorders>
            <w:shd w:val="clear" w:color="000000" w:fill="E8F1F5"/>
            <w:vAlign w:val="center"/>
          </w:tcPr>
          <w:p w14:paraId="047D6E3E">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106/247</w:t>
            </w:r>
          </w:p>
        </w:tc>
        <w:tc>
          <w:tcPr>
            <w:tcW w:w="1641" w:type="dxa"/>
            <w:tcBorders>
              <w:top w:val="nil"/>
              <w:left w:val="nil"/>
              <w:bottom w:val="nil"/>
              <w:right w:val="nil"/>
            </w:tcBorders>
            <w:shd w:val="clear" w:color="000000" w:fill="E8F1F5"/>
            <w:vAlign w:val="center"/>
          </w:tcPr>
          <w:p w14:paraId="0FA6DD83">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0B7C89E1">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4D1CEF3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Kalyan et al.</w:t>
            </w:r>
            <w:r>
              <w:rPr>
                <w:rFonts w:hint="eastAsia" w:ascii="Times New Roman" w:hAnsi="Times New Roman" w:eastAsia="等线" w:cs="Times New Roman"/>
                <w:color w:val="000000"/>
                <w:kern w:val="0"/>
                <w:sz w:val="22"/>
                <w:lang w:bidi="ar"/>
              </w:rPr>
              <w:t>(2021)</w:t>
            </w:r>
          </w:p>
        </w:tc>
        <w:tc>
          <w:tcPr>
            <w:tcW w:w="1279" w:type="dxa"/>
            <w:tcBorders>
              <w:top w:val="nil"/>
              <w:left w:val="nil"/>
              <w:bottom w:val="nil"/>
              <w:right w:val="nil"/>
            </w:tcBorders>
            <w:shd w:val="clear" w:color="000000" w:fill="FAFAFA"/>
            <w:vAlign w:val="center"/>
          </w:tcPr>
          <w:p w14:paraId="339FFA74">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India</w:t>
            </w:r>
          </w:p>
        </w:tc>
        <w:tc>
          <w:tcPr>
            <w:tcW w:w="1076" w:type="dxa"/>
            <w:tcBorders>
              <w:top w:val="nil"/>
              <w:left w:val="nil"/>
              <w:bottom w:val="nil"/>
              <w:right w:val="nil"/>
            </w:tcBorders>
            <w:shd w:val="clear" w:color="000000" w:fill="FAFAFA"/>
            <w:vAlign w:val="center"/>
          </w:tcPr>
          <w:p w14:paraId="05C3311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82" w:type="dxa"/>
            <w:tcBorders>
              <w:top w:val="nil"/>
              <w:left w:val="nil"/>
              <w:bottom w:val="nil"/>
              <w:right w:val="nil"/>
            </w:tcBorders>
            <w:shd w:val="clear" w:color="000000" w:fill="FAFAFA"/>
            <w:vAlign w:val="center"/>
          </w:tcPr>
          <w:p w14:paraId="3E38F3F6">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Single - center before - after comparison</w:t>
            </w:r>
          </w:p>
        </w:tc>
        <w:tc>
          <w:tcPr>
            <w:tcW w:w="2061" w:type="dxa"/>
            <w:tcBorders>
              <w:top w:val="nil"/>
              <w:left w:val="nil"/>
              <w:bottom w:val="nil"/>
              <w:right w:val="nil"/>
            </w:tcBorders>
            <w:shd w:val="clear" w:color="000000" w:fill="FAFAFA"/>
            <w:vAlign w:val="center"/>
          </w:tcPr>
          <w:p w14:paraId="7EC41BA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Policy revision + meetings + hierarchical approval</w:t>
            </w:r>
          </w:p>
        </w:tc>
        <w:tc>
          <w:tcPr>
            <w:tcW w:w="1620" w:type="dxa"/>
            <w:tcBorders>
              <w:top w:val="nil"/>
              <w:left w:val="nil"/>
              <w:bottom w:val="nil"/>
              <w:right w:val="nil"/>
            </w:tcBorders>
            <w:shd w:val="clear" w:color="000000" w:fill="FAFAFA"/>
            <w:vAlign w:val="center"/>
          </w:tcPr>
          <w:p w14:paraId="771A12C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operations</w:t>
            </w:r>
          </w:p>
        </w:tc>
        <w:tc>
          <w:tcPr>
            <w:tcW w:w="2374" w:type="dxa"/>
            <w:tcBorders>
              <w:top w:val="nil"/>
              <w:left w:val="nil"/>
              <w:bottom w:val="nil"/>
              <w:right w:val="nil"/>
            </w:tcBorders>
            <w:shd w:val="clear" w:color="000000" w:fill="FAFAFA"/>
            <w:vAlign w:val="center"/>
          </w:tcPr>
          <w:p w14:paraId="22EB5B8B">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Feedback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FAFAFA"/>
            <w:vAlign w:val="center"/>
          </w:tcPr>
          <w:p w14:paraId="62AA7276">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146/200</w:t>
            </w:r>
          </w:p>
        </w:tc>
        <w:tc>
          <w:tcPr>
            <w:tcW w:w="1595" w:type="dxa"/>
            <w:tcBorders>
              <w:top w:val="nil"/>
              <w:left w:val="nil"/>
              <w:bottom w:val="nil"/>
              <w:right w:val="nil"/>
            </w:tcBorders>
            <w:shd w:val="clear" w:color="000000" w:fill="FAFAFA"/>
            <w:vAlign w:val="center"/>
          </w:tcPr>
          <w:p w14:paraId="327DC3DD">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78/200</w:t>
            </w:r>
          </w:p>
        </w:tc>
        <w:tc>
          <w:tcPr>
            <w:tcW w:w="1641" w:type="dxa"/>
            <w:tcBorders>
              <w:top w:val="nil"/>
              <w:left w:val="nil"/>
              <w:bottom w:val="nil"/>
              <w:right w:val="nil"/>
            </w:tcBorders>
            <w:shd w:val="clear" w:color="000000" w:fill="FAFAFA"/>
            <w:vAlign w:val="center"/>
          </w:tcPr>
          <w:p w14:paraId="12E60072">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szCs w:val="22"/>
                <w:lang w:val="en-US" w:eastAsia="zh-CN" w:bidi="ar"/>
                <w14:ligatures w14:val="standardContextual"/>
              </w:rPr>
            </w:pPr>
            <w:r>
              <w:rPr>
                <w:rFonts w:hint="eastAsia" w:ascii="Times New Roman" w:hAnsi="Times New Roman" w:eastAsia="等线" w:cs="Times New Roman"/>
                <w:color w:val="000000"/>
                <w:kern w:val="0"/>
                <w:sz w:val="22"/>
                <w:szCs w:val="21"/>
                <w:lang w:bidi="ar"/>
              </w:rPr>
              <w:t>Not mentioned</w:t>
            </w:r>
          </w:p>
        </w:tc>
      </w:tr>
      <w:tr w14:paraId="573E38A8">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754683E3">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Kirsty et al.</w:t>
            </w:r>
            <w:r>
              <w:rPr>
                <w:rFonts w:hint="eastAsia" w:ascii="Times New Roman" w:hAnsi="Times New Roman" w:eastAsia="等线" w:cs="Times New Roman"/>
                <w:color w:val="000000"/>
                <w:kern w:val="0"/>
                <w:sz w:val="22"/>
                <w:lang w:bidi="ar"/>
              </w:rPr>
              <w:t>(2008)</w:t>
            </w:r>
          </w:p>
        </w:tc>
        <w:tc>
          <w:tcPr>
            <w:tcW w:w="1279" w:type="dxa"/>
            <w:tcBorders>
              <w:top w:val="nil"/>
              <w:left w:val="nil"/>
              <w:bottom w:val="nil"/>
              <w:right w:val="nil"/>
            </w:tcBorders>
            <w:shd w:val="clear" w:color="000000" w:fill="E8F1F5"/>
            <w:vAlign w:val="center"/>
          </w:tcPr>
          <w:p w14:paraId="550979D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Australia</w:t>
            </w:r>
          </w:p>
        </w:tc>
        <w:tc>
          <w:tcPr>
            <w:tcW w:w="1076" w:type="dxa"/>
            <w:tcBorders>
              <w:top w:val="nil"/>
              <w:left w:val="nil"/>
              <w:bottom w:val="nil"/>
              <w:right w:val="nil"/>
            </w:tcBorders>
            <w:shd w:val="clear" w:color="000000" w:fill="E8F1F5"/>
            <w:vAlign w:val="center"/>
          </w:tcPr>
          <w:p w14:paraId="750FE83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0EB69B7C">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Time series analysis</w:t>
            </w:r>
          </w:p>
        </w:tc>
        <w:tc>
          <w:tcPr>
            <w:tcW w:w="2061" w:type="dxa"/>
            <w:tcBorders>
              <w:top w:val="nil"/>
              <w:left w:val="nil"/>
              <w:bottom w:val="nil"/>
              <w:right w:val="nil"/>
            </w:tcBorders>
            <w:shd w:val="clear" w:color="000000" w:fill="E8F1F5"/>
            <w:vAlign w:val="center"/>
          </w:tcPr>
          <w:p w14:paraId="78DA2F8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Academic details + CDSS</w:t>
            </w:r>
          </w:p>
        </w:tc>
        <w:tc>
          <w:tcPr>
            <w:tcW w:w="1620" w:type="dxa"/>
            <w:tcBorders>
              <w:top w:val="nil"/>
              <w:left w:val="nil"/>
              <w:bottom w:val="nil"/>
              <w:right w:val="nil"/>
            </w:tcBorders>
            <w:shd w:val="clear" w:color="000000" w:fill="E8F1F5"/>
            <w:vAlign w:val="center"/>
          </w:tcPr>
          <w:p w14:paraId="79E581F0">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374" w:type="dxa"/>
            <w:tcBorders>
              <w:top w:val="nil"/>
              <w:left w:val="nil"/>
              <w:bottom w:val="nil"/>
              <w:right w:val="nil"/>
            </w:tcBorders>
            <w:shd w:val="clear" w:color="000000" w:fill="E8F1F5"/>
            <w:vAlign w:val="center"/>
          </w:tcPr>
          <w:p w14:paraId="74CC6827">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Feedback and monitoring</w:t>
            </w:r>
            <w:r>
              <w:rPr>
                <w:rFonts w:ascii="Times New Roman" w:hAnsi="Times New Roman" w:eastAsia="等线" w:cs="Times New Roman"/>
                <w:color w:val="000000"/>
                <w:kern w:val="0"/>
                <w:sz w:val="22"/>
                <w:lang w:bidi="ar"/>
              </w:rPr>
              <w:t xml:space="preserve"> </w:t>
            </w:r>
          </w:p>
        </w:tc>
        <w:tc>
          <w:tcPr>
            <w:tcW w:w="1283" w:type="dxa"/>
            <w:tcBorders>
              <w:top w:val="nil"/>
              <w:left w:val="nil"/>
              <w:bottom w:val="nil"/>
              <w:right w:val="nil"/>
            </w:tcBorders>
            <w:shd w:val="clear" w:color="000000" w:fill="E8F1F5"/>
            <w:vAlign w:val="center"/>
          </w:tcPr>
          <w:p w14:paraId="05E230D7">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171/215</w:t>
            </w:r>
          </w:p>
        </w:tc>
        <w:tc>
          <w:tcPr>
            <w:tcW w:w="1595" w:type="dxa"/>
            <w:tcBorders>
              <w:top w:val="nil"/>
              <w:left w:val="nil"/>
              <w:bottom w:val="nil"/>
              <w:right w:val="nil"/>
            </w:tcBorders>
            <w:shd w:val="clear" w:color="000000" w:fill="E8F1F5"/>
            <w:vAlign w:val="center"/>
          </w:tcPr>
          <w:p w14:paraId="2C452F73">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243/392</w:t>
            </w:r>
          </w:p>
        </w:tc>
        <w:tc>
          <w:tcPr>
            <w:tcW w:w="1641" w:type="dxa"/>
            <w:tcBorders>
              <w:top w:val="nil"/>
              <w:left w:val="nil"/>
              <w:bottom w:val="nil"/>
              <w:right w:val="nil"/>
            </w:tcBorders>
            <w:shd w:val="clear" w:color="000000" w:fill="E8F1F5"/>
            <w:vAlign w:val="center"/>
          </w:tcPr>
          <w:p w14:paraId="142B04BF">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677F2D7D">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03081AD8">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Lilliam et al.</w:t>
            </w:r>
            <w:r>
              <w:rPr>
                <w:rFonts w:hint="eastAsia" w:ascii="Times New Roman" w:hAnsi="Times New Roman" w:eastAsia="等线" w:cs="Times New Roman"/>
                <w:color w:val="000000"/>
                <w:kern w:val="0"/>
                <w:sz w:val="22"/>
                <w:lang w:bidi="ar"/>
              </w:rPr>
              <w:t>(2013)</w:t>
            </w:r>
          </w:p>
        </w:tc>
        <w:tc>
          <w:tcPr>
            <w:tcW w:w="1279" w:type="dxa"/>
            <w:tcBorders>
              <w:top w:val="nil"/>
              <w:left w:val="nil"/>
              <w:bottom w:val="nil"/>
              <w:right w:val="nil"/>
            </w:tcBorders>
            <w:shd w:val="clear" w:color="000000" w:fill="FAFAFA"/>
            <w:vAlign w:val="center"/>
          </w:tcPr>
          <w:p w14:paraId="1139192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1076" w:type="dxa"/>
            <w:tcBorders>
              <w:top w:val="nil"/>
              <w:left w:val="nil"/>
              <w:bottom w:val="nil"/>
              <w:right w:val="nil"/>
            </w:tcBorders>
            <w:shd w:val="clear" w:color="000000" w:fill="FAFAFA"/>
            <w:vAlign w:val="center"/>
          </w:tcPr>
          <w:p w14:paraId="59276F5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FAFAFA"/>
            <w:vAlign w:val="center"/>
          </w:tcPr>
          <w:p w14:paraId="38D3BBA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Retrospective intervention experiment</w:t>
            </w:r>
          </w:p>
        </w:tc>
        <w:tc>
          <w:tcPr>
            <w:tcW w:w="2061" w:type="dxa"/>
            <w:tcBorders>
              <w:top w:val="nil"/>
              <w:left w:val="nil"/>
              <w:bottom w:val="nil"/>
              <w:right w:val="nil"/>
            </w:tcBorders>
            <w:shd w:val="clear" w:color="000000" w:fill="FAFAFA"/>
            <w:vAlign w:val="center"/>
          </w:tcPr>
          <w:p w14:paraId="5D88BA8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Guideline training + audit feedback</w:t>
            </w:r>
          </w:p>
        </w:tc>
        <w:tc>
          <w:tcPr>
            <w:tcW w:w="1620" w:type="dxa"/>
            <w:tcBorders>
              <w:top w:val="nil"/>
              <w:left w:val="nil"/>
              <w:bottom w:val="nil"/>
              <w:right w:val="nil"/>
            </w:tcBorders>
            <w:shd w:val="clear" w:color="000000" w:fill="FAFAFA"/>
            <w:vAlign w:val="center"/>
          </w:tcPr>
          <w:p w14:paraId="02042324">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management</w:t>
            </w:r>
          </w:p>
        </w:tc>
        <w:tc>
          <w:tcPr>
            <w:tcW w:w="2374" w:type="dxa"/>
            <w:tcBorders>
              <w:top w:val="nil"/>
              <w:left w:val="nil"/>
              <w:bottom w:val="nil"/>
              <w:right w:val="nil"/>
            </w:tcBorders>
            <w:shd w:val="clear" w:color="000000" w:fill="FAFAFA"/>
            <w:vAlign w:val="center"/>
          </w:tcPr>
          <w:p w14:paraId="12A9CD5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Feedback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Goals and Planning</w:t>
            </w:r>
          </w:p>
        </w:tc>
        <w:tc>
          <w:tcPr>
            <w:tcW w:w="1283" w:type="dxa"/>
            <w:tcBorders>
              <w:top w:val="nil"/>
              <w:left w:val="nil"/>
              <w:bottom w:val="nil"/>
              <w:right w:val="nil"/>
            </w:tcBorders>
            <w:shd w:val="clear" w:color="000000" w:fill="FAFAFA"/>
            <w:vAlign w:val="center"/>
          </w:tcPr>
          <w:p w14:paraId="29319509">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60/90</w:t>
            </w:r>
          </w:p>
        </w:tc>
        <w:tc>
          <w:tcPr>
            <w:tcW w:w="1595" w:type="dxa"/>
            <w:tcBorders>
              <w:top w:val="nil"/>
              <w:left w:val="nil"/>
              <w:bottom w:val="nil"/>
              <w:right w:val="nil"/>
            </w:tcBorders>
            <w:shd w:val="clear" w:color="000000" w:fill="FAFAFA"/>
            <w:vAlign w:val="center"/>
          </w:tcPr>
          <w:p w14:paraId="55382DC0">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87/137</w:t>
            </w:r>
          </w:p>
        </w:tc>
        <w:tc>
          <w:tcPr>
            <w:tcW w:w="1641" w:type="dxa"/>
            <w:tcBorders>
              <w:top w:val="nil"/>
              <w:left w:val="nil"/>
              <w:bottom w:val="nil"/>
              <w:right w:val="nil"/>
            </w:tcBorders>
            <w:shd w:val="clear" w:color="000000" w:fill="FAFAFA"/>
            <w:vAlign w:val="center"/>
          </w:tcPr>
          <w:p w14:paraId="78728CD5">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default" w:ascii="Times New Roman" w:hAnsi="Times New Roman" w:eastAsia="宋体" w:cs="Times New Roman"/>
                <w:color w:val="000000"/>
                <w:kern w:val="0"/>
                <w:sz w:val="22"/>
                <w:lang w:val="en-US" w:eastAsia="zh-CN" w:bidi="ar"/>
              </w:rPr>
              <w:t>Not mentioned</w:t>
            </w:r>
          </w:p>
        </w:tc>
      </w:tr>
      <w:tr w14:paraId="331EA901">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659DF53D">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Lucy et al.</w:t>
            </w:r>
            <w:r>
              <w:rPr>
                <w:rFonts w:hint="eastAsia" w:ascii="Times New Roman" w:hAnsi="Times New Roman" w:eastAsia="等线" w:cs="Times New Roman"/>
                <w:color w:val="000000"/>
                <w:kern w:val="0"/>
                <w:sz w:val="22"/>
                <w:lang w:bidi="ar"/>
              </w:rPr>
              <w:t>(2016)</w:t>
            </w:r>
          </w:p>
        </w:tc>
        <w:tc>
          <w:tcPr>
            <w:tcW w:w="1279" w:type="dxa"/>
            <w:tcBorders>
              <w:top w:val="nil"/>
              <w:left w:val="nil"/>
              <w:bottom w:val="nil"/>
              <w:right w:val="nil"/>
            </w:tcBorders>
            <w:shd w:val="clear" w:color="000000" w:fill="E8F1F5"/>
            <w:vAlign w:val="center"/>
          </w:tcPr>
          <w:p w14:paraId="24D771C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UK</w:t>
            </w:r>
          </w:p>
        </w:tc>
        <w:tc>
          <w:tcPr>
            <w:tcW w:w="1076" w:type="dxa"/>
            <w:tcBorders>
              <w:top w:val="nil"/>
              <w:left w:val="nil"/>
              <w:bottom w:val="nil"/>
              <w:right w:val="nil"/>
            </w:tcBorders>
            <w:shd w:val="clear" w:color="000000" w:fill="E8F1F5"/>
            <w:vAlign w:val="center"/>
          </w:tcPr>
          <w:p w14:paraId="3A02DBF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1EAF0C8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RCT</w:t>
            </w:r>
          </w:p>
        </w:tc>
        <w:tc>
          <w:tcPr>
            <w:tcW w:w="2061" w:type="dxa"/>
            <w:tcBorders>
              <w:top w:val="nil"/>
              <w:left w:val="nil"/>
              <w:bottom w:val="nil"/>
              <w:right w:val="nil"/>
            </w:tcBorders>
            <w:shd w:val="clear" w:color="000000" w:fill="E8F1F5"/>
            <w:vAlign w:val="center"/>
          </w:tcPr>
          <w:p w14:paraId="1F64781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Education + guideline posters</w:t>
            </w:r>
          </w:p>
        </w:tc>
        <w:tc>
          <w:tcPr>
            <w:tcW w:w="1620" w:type="dxa"/>
            <w:tcBorders>
              <w:top w:val="nil"/>
              <w:left w:val="nil"/>
              <w:bottom w:val="nil"/>
              <w:right w:val="nil"/>
            </w:tcBorders>
            <w:shd w:val="clear" w:color="000000" w:fill="E8F1F5"/>
            <w:vAlign w:val="center"/>
          </w:tcPr>
          <w:p w14:paraId="67AD3B3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operations</w:t>
            </w:r>
          </w:p>
        </w:tc>
        <w:tc>
          <w:tcPr>
            <w:tcW w:w="2374" w:type="dxa"/>
            <w:tcBorders>
              <w:top w:val="nil"/>
              <w:left w:val="nil"/>
              <w:bottom w:val="nil"/>
              <w:right w:val="nil"/>
            </w:tcBorders>
            <w:shd w:val="clear" w:color="000000" w:fill="E8F1F5"/>
            <w:vAlign w:val="center"/>
          </w:tcPr>
          <w:p w14:paraId="25BBA98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Comparison of behavior</w:t>
            </w:r>
          </w:p>
        </w:tc>
        <w:tc>
          <w:tcPr>
            <w:tcW w:w="1283" w:type="dxa"/>
            <w:tcBorders>
              <w:top w:val="nil"/>
              <w:left w:val="nil"/>
              <w:bottom w:val="nil"/>
              <w:right w:val="nil"/>
            </w:tcBorders>
            <w:shd w:val="clear" w:color="000000" w:fill="E8F1F5"/>
            <w:vAlign w:val="center"/>
          </w:tcPr>
          <w:p w14:paraId="73C9CF68">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76/82</w:t>
            </w:r>
          </w:p>
        </w:tc>
        <w:tc>
          <w:tcPr>
            <w:tcW w:w="1595" w:type="dxa"/>
            <w:tcBorders>
              <w:top w:val="nil"/>
              <w:left w:val="nil"/>
              <w:bottom w:val="nil"/>
              <w:right w:val="nil"/>
            </w:tcBorders>
            <w:shd w:val="clear" w:color="000000" w:fill="E8F1F5"/>
            <w:vAlign w:val="center"/>
          </w:tcPr>
          <w:p w14:paraId="079FCD8D">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24/25</w:t>
            </w:r>
          </w:p>
        </w:tc>
        <w:tc>
          <w:tcPr>
            <w:tcW w:w="1641" w:type="dxa"/>
            <w:tcBorders>
              <w:top w:val="nil"/>
              <w:left w:val="nil"/>
              <w:bottom w:val="nil"/>
              <w:right w:val="nil"/>
            </w:tcBorders>
            <w:shd w:val="clear" w:color="000000" w:fill="E8F1F5"/>
            <w:vAlign w:val="center"/>
          </w:tcPr>
          <w:p w14:paraId="262D630B">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27E6BA4">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7096E87A">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Muhammad et al.</w:t>
            </w:r>
            <w:r>
              <w:rPr>
                <w:rFonts w:hint="eastAsia" w:ascii="Times New Roman" w:hAnsi="Times New Roman" w:eastAsia="等线" w:cs="Times New Roman"/>
                <w:color w:val="000000"/>
                <w:kern w:val="0"/>
                <w:sz w:val="22"/>
                <w:lang w:bidi="ar"/>
              </w:rPr>
              <w:t>(2024)</w:t>
            </w:r>
          </w:p>
        </w:tc>
        <w:tc>
          <w:tcPr>
            <w:tcW w:w="1279" w:type="dxa"/>
            <w:tcBorders>
              <w:top w:val="nil"/>
              <w:left w:val="nil"/>
              <w:bottom w:val="nil"/>
              <w:right w:val="nil"/>
            </w:tcBorders>
            <w:shd w:val="clear" w:color="000000" w:fill="FAFAFA"/>
            <w:vAlign w:val="center"/>
          </w:tcPr>
          <w:p w14:paraId="434C82D5">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UK</w:t>
            </w:r>
          </w:p>
        </w:tc>
        <w:tc>
          <w:tcPr>
            <w:tcW w:w="1076" w:type="dxa"/>
            <w:tcBorders>
              <w:top w:val="nil"/>
              <w:left w:val="nil"/>
              <w:bottom w:val="nil"/>
              <w:right w:val="nil"/>
            </w:tcBorders>
            <w:shd w:val="clear" w:color="000000" w:fill="FAFAFA"/>
            <w:vAlign w:val="center"/>
          </w:tcPr>
          <w:p w14:paraId="71715ABC">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FAFAFA"/>
            <w:vAlign w:val="center"/>
          </w:tcPr>
          <w:p w14:paraId="2099FC9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Experimental study</w:t>
            </w:r>
          </w:p>
        </w:tc>
        <w:tc>
          <w:tcPr>
            <w:tcW w:w="2061" w:type="dxa"/>
            <w:tcBorders>
              <w:top w:val="nil"/>
              <w:left w:val="nil"/>
              <w:bottom w:val="nil"/>
              <w:right w:val="nil"/>
            </w:tcBorders>
            <w:shd w:val="clear" w:color="000000" w:fill="FAFAFA"/>
            <w:vAlign w:val="center"/>
          </w:tcPr>
          <w:p w14:paraId="442DCE7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Written feedback + seminars</w:t>
            </w:r>
          </w:p>
        </w:tc>
        <w:tc>
          <w:tcPr>
            <w:tcW w:w="1620" w:type="dxa"/>
            <w:tcBorders>
              <w:top w:val="nil"/>
              <w:left w:val="nil"/>
              <w:bottom w:val="nil"/>
              <w:right w:val="nil"/>
            </w:tcBorders>
            <w:shd w:val="clear" w:color="000000" w:fill="FAFAFA"/>
            <w:vAlign w:val="center"/>
          </w:tcPr>
          <w:p w14:paraId="3A6916A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feedback</w:t>
            </w:r>
          </w:p>
        </w:tc>
        <w:tc>
          <w:tcPr>
            <w:tcW w:w="2374" w:type="dxa"/>
            <w:tcBorders>
              <w:top w:val="nil"/>
              <w:left w:val="nil"/>
              <w:bottom w:val="nil"/>
              <w:right w:val="nil"/>
            </w:tcBorders>
            <w:shd w:val="clear" w:color="000000" w:fill="FAFAFA"/>
            <w:vAlign w:val="center"/>
          </w:tcPr>
          <w:p w14:paraId="1E8F8FAC">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 xml:space="preserve">Feedback and </w:t>
            </w:r>
            <w:r>
              <w:rPr>
                <w:rFonts w:hint="eastAsia" w:ascii="Times New Roman" w:hAnsi="Times New Roman" w:eastAsia="等线" w:cs="Times New Roman"/>
                <w:color w:val="000000"/>
                <w:kern w:val="0"/>
                <w:sz w:val="22"/>
                <w:lang w:bidi="ar"/>
              </w:rPr>
              <w:t>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FAFAFA"/>
            <w:vAlign w:val="center"/>
          </w:tcPr>
          <w:p w14:paraId="62DFC451">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37/75</w:t>
            </w:r>
          </w:p>
        </w:tc>
        <w:tc>
          <w:tcPr>
            <w:tcW w:w="1595" w:type="dxa"/>
            <w:tcBorders>
              <w:top w:val="nil"/>
              <w:left w:val="nil"/>
              <w:bottom w:val="nil"/>
              <w:right w:val="nil"/>
            </w:tcBorders>
            <w:shd w:val="clear" w:color="000000" w:fill="FAFAFA"/>
            <w:vAlign w:val="center"/>
          </w:tcPr>
          <w:p w14:paraId="77A96B94">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51/129</w:t>
            </w:r>
          </w:p>
        </w:tc>
        <w:tc>
          <w:tcPr>
            <w:tcW w:w="1641" w:type="dxa"/>
            <w:tcBorders>
              <w:top w:val="nil"/>
              <w:left w:val="nil"/>
              <w:bottom w:val="nil"/>
              <w:right w:val="nil"/>
            </w:tcBorders>
            <w:shd w:val="clear" w:color="000000" w:fill="FAFAFA"/>
            <w:vAlign w:val="center"/>
          </w:tcPr>
          <w:p w14:paraId="63CE243F">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szCs w:val="22"/>
                <w:lang w:val="en-US" w:eastAsia="zh-CN" w:bidi="ar"/>
                <w14:ligatures w14:val="standardContextual"/>
              </w:rPr>
            </w:pPr>
            <w:r>
              <w:rPr>
                <w:rFonts w:hint="eastAsia" w:ascii="Times New Roman" w:hAnsi="Times New Roman" w:eastAsia="等线" w:cs="Times New Roman"/>
                <w:color w:val="000000"/>
                <w:kern w:val="0"/>
                <w:sz w:val="22"/>
                <w:szCs w:val="21"/>
                <w:lang w:bidi="ar"/>
              </w:rPr>
              <w:t>Not mentioned</w:t>
            </w:r>
          </w:p>
        </w:tc>
      </w:tr>
      <w:tr w14:paraId="4BC8DCE7">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5E7BA105">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 Deuster et al.</w:t>
            </w:r>
            <w:r>
              <w:rPr>
                <w:rFonts w:hint="eastAsia" w:ascii="Times New Roman" w:hAnsi="Times New Roman" w:eastAsia="等线" w:cs="Times New Roman"/>
                <w:color w:val="000000"/>
                <w:kern w:val="0"/>
                <w:sz w:val="22"/>
                <w:lang w:bidi="ar"/>
              </w:rPr>
              <w:t>(2010)</w:t>
            </w:r>
          </w:p>
        </w:tc>
        <w:tc>
          <w:tcPr>
            <w:tcW w:w="1279" w:type="dxa"/>
            <w:tcBorders>
              <w:top w:val="nil"/>
              <w:left w:val="nil"/>
              <w:bottom w:val="nil"/>
              <w:right w:val="nil"/>
            </w:tcBorders>
            <w:shd w:val="clear" w:color="000000" w:fill="E8F1F5"/>
            <w:vAlign w:val="center"/>
          </w:tcPr>
          <w:p w14:paraId="05770D7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Switzerland</w:t>
            </w:r>
          </w:p>
        </w:tc>
        <w:tc>
          <w:tcPr>
            <w:tcW w:w="1076" w:type="dxa"/>
            <w:tcBorders>
              <w:top w:val="nil"/>
              <w:left w:val="nil"/>
              <w:bottom w:val="nil"/>
              <w:right w:val="nil"/>
            </w:tcBorders>
            <w:shd w:val="clear" w:color="000000" w:fill="E8F1F5"/>
            <w:vAlign w:val="center"/>
          </w:tcPr>
          <w:p w14:paraId="15D7161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1D035E4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study</w:t>
            </w:r>
          </w:p>
        </w:tc>
        <w:tc>
          <w:tcPr>
            <w:tcW w:w="2061" w:type="dxa"/>
            <w:tcBorders>
              <w:top w:val="nil"/>
              <w:left w:val="nil"/>
              <w:bottom w:val="nil"/>
              <w:right w:val="nil"/>
            </w:tcBorders>
            <w:shd w:val="clear" w:color="000000" w:fill="E8F1F5"/>
            <w:vAlign w:val="center"/>
          </w:tcPr>
          <w:p w14:paraId="43DADD9E">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Treatment guidelines</w:t>
            </w:r>
          </w:p>
        </w:tc>
        <w:tc>
          <w:tcPr>
            <w:tcW w:w="1620" w:type="dxa"/>
            <w:tcBorders>
              <w:top w:val="nil"/>
              <w:left w:val="nil"/>
              <w:bottom w:val="nil"/>
              <w:right w:val="nil"/>
            </w:tcBorders>
            <w:shd w:val="clear" w:color="000000" w:fill="E8F1F5"/>
            <w:vAlign w:val="center"/>
          </w:tcPr>
          <w:p w14:paraId="3AB51038">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No guidelines</w:t>
            </w:r>
          </w:p>
        </w:tc>
        <w:tc>
          <w:tcPr>
            <w:tcW w:w="2374" w:type="dxa"/>
            <w:tcBorders>
              <w:top w:val="nil"/>
              <w:left w:val="nil"/>
              <w:bottom w:val="nil"/>
              <w:right w:val="nil"/>
            </w:tcBorders>
            <w:shd w:val="clear" w:color="000000" w:fill="E8F1F5"/>
            <w:vAlign w:val="center"/>
          </w:tcPr>
          <w:p w14:paraId="6DC266F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Comparison of behavior</w:t>
            </w:r>
          </w:p>
        </w:tc>
        <w:tc>
          <w:tcPr>
            <w:tcW w:w="1283" w:type="dxa"/>
            <w:tcBorders>
              <w:top w:val="nil"/>
              <w:left w:val="nil"/>
              <w:bottom w:val="nil"/>
              <w:right w:val="nil"/>
            </w:tcBorders>
            <w:shd w:val="clear" w:color="000000" w:fill="E8F1F5"/>
            <w:vAlign w:val="center"/>
          </w:tcPr>
          <w:p w14:paraId="0893B21A">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64/91</w:t>
            </w:r>
          </w:p>
        </w:tc>
        <w:tc>
          <w:tcPr>
            <w:tcW w:w="1595" w:type="dxa"/>
            <w:tcBorders>
              <w:top w:val="nil"/>
              <w:left w:val="nil"/>
              <w:bottom w:val="nil"/>
              <w:right w:val="nil"/>
            </w:tcBorders>
            <w:shd w:val="clear" w:color="000000" w:fill="E8F1F5"/>
            <w:vAlign w:val="center"/>
          </w:tcPr>
          <w:p w14:paraId="6E663ED8">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28/64</w:t>
            </w:r>
          </w:p>
        </w:tc>
        <w:tc>
          <w:tcPr>
            <w:tcW w:w="1641" w:type="dxa"/>
            <w:tcBorders>
              <w:top w:val="nil"/>
              <w:left w:val="nil"/>
              <w:bottom w:val="nil"/>
              <w:right w:val="nil"/>
            </w:tcBorders>
            <w:shd w:val="clear" w:color="000000" w:fill="E8F1F5"/>
            <w:vAlign w:val="center"/>
          </w:tcPr>
          <w:p w14:paraId="195E941A">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7F52E91">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35540CED">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Seikh F et al.</w:t>
            </w:r>
            <w:r>
              <w:rPr>
                <w:rFonts w:hint="eastAsia" w:ascii="Times New Roman" w:hAnsi="Times New Roman" w:eastAsia="等线" w:cs="Times New Roman"/>
                <w:color w:val="000000"/>
                <w:kern w:val="0"/>
                <w:sz w:val="22"/>
                <w:lang w:bidi="ar"/>
              </w:rPr>
              <w:t>(2009)</w:t>
            </w:r>
          </w:p>
        </w:tc>
        <w:tc>
          <w:tcPr>
            <w:tcW w:w="1279" w:type="dxa"/>
            <w:tcBorders>
              <w:top w:val="nil"/>
              <w:left w:val="nil"/>
              <w:bottom w:val="nil"/>
              <w:right w:val="nil"/>
            </w:tcBorders>
            <w:shd w:val="clear" w:color="000000" w:fill="FAFAFA"/>
            <w:vAlign w:val="center"/>
          </w:tcPr>
          <w:p w14:paraId="401518E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Bangladesh</w:t>
            </w:r>
          </w:p>
        </w:tc>
        <w:tc>
          <w:tcPr>
            <w:tcW w:w="1076" w:type="dxa"/>
            <w:tcBorders>
              <w:top w:val="nil"/>
              <w:left w:val="nil"/>
              <w:bottom w:val="nil"/>
              <w:right w:val="nil"/>
            </w:tcBorders>
            <w:shd w:val="clear" w:color="000000" w:fill="FAFAFA"/>
            <w:vAlign w:val="center"/>
          </w:tcPr>
          <w:p w14:paraId="088203C6">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82" w:type="dxa"/>
            <w:tcBorders>
              <w:top w:val="nil"/>
              <w:left w:val="nil"/>
              <w:bottom w:val="nil"/>
              <w:right w:val="nil"/>
            </w:tcBorders>
            <w:shd w:val="clear" w:color="000000" w:fill="FAFAFA"/>
            <w:vAlign w:val="center"/>
          </w:tcPr>
          <w:p w14:paraId="4AB5C36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Intervention control</w:t>
            </w:r>
          </w:p>
        </w:tc>
        <w:tc>
          <w:tcPr>
            <w:tcW w:w="2061" w:type="dxa"/>
            <w:tcBorders>
              <w:top w:val="nil"/>
              <w:left w:val="nil"/>
              <w:bottom w:val="nil"/>
              <w:right w:val="nil"/>
            </w:tcBorders>
            <w:shd w:val="clear" w:color="000000" w:fill="FAFAFA"/>
            <w:vAlign w:val="center"/>
          </w:tcPr>
          <w:p w14:paraId="1585CE14">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Interactive training</w:t>
            </w:r>
          </w:p>
        </w:tc>
        <w:tc>
          <w:tcPr>
            <w:tcW w:w="1620" w:type="dxa"/>
            <w:tcBorders>
              <w:top w:val="nil"/>
              <w:left w:val="nil"/>
              <w:bottom w:val="nil"/>
              <w:right w:val="nil"/>
            </w:tcBorders>
            <w:shd w:val="clear" w:color="000000" w:fill="FAFAFA"/>
            <w:vAlign w:val="center"/>
          </w:tcPr>
          <w:p w14:paraId="44F01B6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No training</w:t>
            </w:r>
          </w:p>
        </w:tc>
        <w:tc>
          <w:tcPr>
            <w:tcW w:w="2374" w:type="dxa"/>
            <w:tcBorders>
              <w:top w:val="nil"/>
              <w:left w:val="nil"/>
              <w:bottom w:val="nil"/>
              <w:right w:val="nil"/>
            </w:tcBorders>
            <w:shd w:val="clear" w:color="000000" w:fill="FAFAFA"/>
            <w:vAlign w:val="center"/>
          </w:tcPr>
          <w:p w14:paraId="046E26EB">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Comparison of behavior</w:t>
            </w:r>
          </w:p>
        </w:tc>
        <w:tc>
          <w:tcPr>
            <w:tcW w:w="1283" w:type="dxa"/>
            <w:tcBorders>
              <w:top w:val="nil"/>
              <w:left w:val="nil"/>
              <w:bottom w:val="nil"/>
              <w:right w:val="nil"/>
            </w:tcBorders>
            <w:shd w:val="clear" w:color="000000" w:fill="FAFAFA"/>
            <w:vAlign w:val="center"/>
          </w:tcPr>
          <w:p w14:paraId="4B6C94C4">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1844/2171</w:t>
            </w:r>
          </w:p>
        </w:tc>
        <w:tc>
          <w:tcPr>
            <w:tcW w:w="1595" w:type="dxa"/>
            <w:tcBorders>
              <w:top w:val="nil"/>
              <w:left w:val="nil"/>
              <w:bottom w:val="nil"/>
              <w:right w:val="nil"/>
            </w:tcBorders>
            <w:shd w:val="clear" w:color="000000" w:fill="FAFAFA"/>
            <w:vAlign w:val="center"/>
          </w:tcPr>
          <w:p w14:paraId="6F371DF1">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614/1295</w:t>
            </w:r>
          </w:p>
        </w:tc>
        <w:tc>
          <w:tcPr>
            <w:tcW w:w="1641" w:type="dxa"/>
            <w:tcBorders>
              <w:top w:val="nil"/>
              <w:left w:val="nil"/>
              <w:bottom w:val="nil"/>
              <w:right w:val="nil"/>
            </w:tcBorders>
            <w:shd w:val="clear" w:color="000000" w:fill="FAFAFA"/>
            <w:vAlign w:val="center"/>
          </w:tcPr>
          <w:p w14:paraId="5086DE28">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400FF959">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E8F1F5"/>
            <w:vAlign w:val="center"/>
          </w:tcPr>
          <w:p w14:paraId="4A57CAB4">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 xml:space="preserve">Susan A </w:t>
            </w:r>
            <w:r>
              <w:rPr>
                <w:rFonts w:hint="eastAsia" w:ascii="Times New Roman" w:hAnsi="Times New Roman" w:eastAsia="等线" w:cs="Times New Roman"/>
                <w:color w:val="000000"/>
                <w:kern w:val="0"/>
                <w:sz w:val="22"/>
                <w:lang w:bidi="ar"/>
              </w:rPr>
              <w:t xml:space="preserve">et </w:t>
            </w:r>
            <w:r>
              <w:rPr>
                <w:rFonts w:ascii="Times New Roman" w:hAnsi="Times New Roman" w:eastAsia="等线" w:cs="Times New Roman"/>
                <w:color w:val="000000"/>
                <w:kern w:val="0"/>
                <w:sz w:val="22"/>
                <w:lang w:bidi="ar"/>
              </w:rPr>
              <w:t>al .</w:t>
            </w:r>
            <w:r>
              <w:rPr>
                <w:rFonts w:hint="eastAsia" w:ascii="Times New Roman" w:hAnsi="Times New Roman" w:eastAsia="等线" w:cs="Times New Roman"/>
                <w:color w:val="000000"/>
                <w:kern w:val="0"/>
                <w:sz w:val="22"/>
                <w:lang w:bidi="ar"/>
              </w:rPr>
              <w:t>(2000)</w:t>
            </w:r>
          </w:p>
        </w:tc>
        <w:tc>
          <w:tcPr>
            <w:tcW w:w="1279" w:type="dxa"/>
            <w:tcBorders>
              <w:top w:val="nil"/>
              <w:left w:val="nil"/>
              <w:bottom w:val="nil"/>
              <w:right w:val="nil"/>
            </w:tcBorders>
            <w:shd w:val="clear" w:color="000000" w:fill="E8F1F5"/>
            <w:vAlign w:val="center"/>
          </w:tcPr>
          <w:p w14:paraId="54D97AE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Australia</w:t>
            </w:r>
          </w:p>
        </w:tc>
        <w:tc>
          <w:tcPr>
            <w:tcW w:w="1076" w:type="dxa"/>
            <w:tcBorders>
              <w:top w:val="nil"/>
              <w:left w:val="nil"/>
              <w:bottom w:val="nil"/>
              <w:right w:val="nil"/>
            </w:tcBorders>
            <w:shd w:val="clear" w:color="000000" w:fill="E8F1F5"/>
            <w:vAlign w:val="center"/>
          </w:tcPr>
          <w:p w14:paraId="33B4ACEC">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E8F1F5"/>
            <w:vAlign w:val="center"/>
          </w:tcPr>
          <w:p w14:paraId="5802A60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study</w:t>
            </w:r>
          </w:p>
        </w:tc>
        <w:tc>
          <w:tcPr>
            <w:tcW w:w="2061" w:type="dxa"/>
            <w:tcBorders>
              <w:top w:val="nil"/>
              <w:left w:val="nil"/>
              <w:bottom w:val="nil"/>
              <w:right w:val="nil"/>
            </w:tcBorders>
            <w:shd w:val="clear" w:color="000000" w:fill="E8F1F5"/>
            <w:vAlign w:val="center"/>
          </w:tcPr>
          <w:p w14:paraId="184EAFE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Training + guidelines + feedback</w:t>
            </w:r>
          </w:p>
        </w:tc>
        <w:tc>
          <w:tcPr>
            <w:tcW w:w="1620" w:type="dxa"/>
            <w:tcBorders>
              <w:top w:val="nil"/>
              <w:left w:val="nil"/>
              <w:bottom w:val="nil"/>
              <w:right w:val="nil"/>
            </w:tcBorders>
            <w:shd w:val="clear" w:color="000000" w:fill="E8F1F5"/>
            <w:vAlign w:val="center"/>
          </w:tcPr>
          <w:p w14:paraId="14735A9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prescription</w:t>
            </w:r>
          </w:p>
        </w:tc>
        <w:tc>
          <w:tcPr>
            <w:tcW w:w="2374" w:type="dxa"/>
            <w:tcBorders>
              <w:top w:val="nil"/>
              <w:left w:val="nil"/>
              <w:bottom w:val="nil"/>
              <w:right w:val="nil"/>
            </w:tcBorders>
            <w:shd w:val="clear" w:color="000000" w:fill="E8F1F5"/>
            <w:vAlign w:val="center"/>
          </w:tcPr>
          <w:p w14:paraId="3AA14392">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Feedback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83" w:type="dxa"/>
            <w:tcBorders>
              <w:top w:val="nil"/>
              <w:left w:val="nil"/>
              <w:bottom w:val="nil"/>
              <w:right w:val="nil"/>
            </w:tcBorders>
            <w:shd w:val="clear" w:color="000000" w:fill="E8F1F5"/>
            <w:vAlign w:val="center"/>
          </w:tcPr>
          <w:p w14:paraId="7BA059EB">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59/90</w:t>
            </w:r>
          </w:p>
        </w:tc>
        <w:tc>
          <w:tcPr>
            <w:tcW w:w="1595" w:type="dxa"/>
            <w:tcBorders>
              <w:top w:val="nil"/>
              <w:left w:val="nil"/>
              <w:bottom w:val="nil"/>
              <w:right w:val="nil"/>
            </w:tcBorders>
            <w:shd w:val="clear" w:color="000000" w:fill="E8F1F5"/>
            <w:vAlign w:val="center"/>
          </w:tcPr>
          <w:p w14:paraId="6BC3DDAA">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70/134</w:t>
            </w:r>
          </w:p>
        </w:tc>
        <w:tc>
          <w:tcPr>
            <w:tcW w:w="1641" w:type="dxa"/>
            <w:tcBorders>
              <w:top w:val="nil"/>
              <w:left w:val="nil"/>
              <w:bottom w:val="nil"/>
              <w:right w:val="nil"/>
            </w:tcBorders>
            <w:shd w:val="clear" w:color="000000" w:fill="E8F1F5"/>
            <w:vAlign w:val="center"/>
          </w:tcPr>
          <w:p w14:paraId="0F188C8A">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43131847">
        <w:tblPrEx>
          <w:tblCellMar>
            <w:top w:w="0" w:type="dxa"/>
            <w:left w:w="108" w:type="dxa"/>
            <w:bottom w:w="0" w:type="dxa"/>
            <w:right w:w="108" w:type="dxa"/>
          </w:tblCellMar>
        </w:tblPrEx>
        <w:trPr>
          <w:cantSplit/>
          <w:trHeight w:val="0" w:hRule="atLeast"/>
          <w:jc w:val="center"/>
        </w:trPr>
        <w:tc>
          <w:tcPr>
            <w:tcW w:w="1280" w:type="dxa"/>
            <w:tcBorders>
              <w:top w:val="nil"/>
              <w:left w:val="nil"/>
              <w:bottom w:val="nil"/>
              <w:right w:val="nil"/>
            </w:tcBorders>
            <w:shd w:val="clear" w:color="000000" w:fill="FAFAFA"/>
            <w:vAlign w:val="center"/>
          </w:tcPr>
          <w:p w14:paraId="4CDD37E1">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Willem L et al.</w:t>
            </w:r>
            <w:r>
              <w:rPr>
                <w:rFonts w:hint="eastAsia" w:ascii="Times New Roman" w:hAnsi="Times New Roman" w:eastAsia="等线" w:cs="Times New Roman"/>
                <w:color w:val="000000"/>
                <w:kern w:val="0"/>
                <w:sz w:val="22"/>
                <w:lang w:bidi="ar"/>
              </w:rPr>
              <w:t>(1996)</w:t>
            </w:r>
          </w:p>
        </w:tc>
        <w:tc>
          <w:tcPr>
            <w:tcW w:w="1279" w:type="dxa"/>
            <w:tcBorders>
              <w:top w:val="nil"/>
              <w:left w:val="nil"/>
              <w:bottom w:val="nil"/>
              <w:right w:val="nil"/>
            </w:tcBorders>
            <w:shd w:val="clear" w:color="000000" w:fill="FAFAFA"/>
            <w:vAlign w:val="center"/>
          </w:tcPr>
          <w:p w14:paraId="1E207B8A">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Netherlands</w:t>
            </w:r>
          </w:p>
        </w:tc>
        <w:tc>
          <w:tcPr>
            <w:tcW w:w="1076" w:type="dxa"/>
            <w:tcBorders>
              <w:top w:val="nil"/>
              <w:left w:val="nil"/>
              <w:bottom w:val="nil"/>
              <w:right w:val="nil"/>
            </w:tcBorders>
            <w:shd w:val="clear" w:color="000000" w:fill="FAFAFA"/>
            <w:vAlign w:val="center"/>
          </w:tcPr>
          <w:p w14:paraId="4E2A6DA3">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82" w:type="dxa"/>
            <w:tcBorders>
              <w:top w:val="nil"/>
              <w:left w:val="nil"/>
              <w:bottom w:val="nil"/>
              <w:right w:val="nil"/>
            </w:tcBorders>
            <w:shd w:val="clear" w:color="000000" w:fill="FAFAFA"/>
            <w:vAlign w:val="center"/>
          </w:tcPr>
          <w:p w14:paraId="4AEF3439">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study</w:t>
            </w:r>
          </w:p>
        </w:tc>
        <w:tc>
          <w:tcPr>
            <w:tcW w:w="2061" w:type="dxa"/>
            <w:tcBorders>
              <w:top w:val="nil"/>
              <w:left w:val="nil"/>
              <w:bottom w:val="nil"/>
              <w:right w:val="nil"/>
            </w:tcBorders>
            <w:shd w:val="clear" w:color="000000" w:fill="FAFAFA"/>
            <w:vAlign w:val="center"/>
          </w:tcPr>
          <w:p w14:paraId="4712049D">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Antibiotic order form system</w:t>
            </w:r>
          </w:p>
        </w:tc>
        <w:tc>
          <w:tcPr>
            <w:tcW w:w="1620" w:type="dxa"/>
            <w:tcBorders>
              <w:top w:val="nil"/>
              <w:left w:val="nil"/>
              <w:bottom w:val="nil"/>
              <w:right w:val="nil"/>
            </w:tcBorders>
            <w:shd w:val="clear" w:color="000000" w:fill="FAFAFA"/>
            <w:vAlign w:val="center"/>
          </w:tcPr>
          <w:p w14:paraId="12AD56A1">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Routine order</w:t>
            </w:r>
          </w:p>
        </w:tc>
        <w:tc>
          <w:tcPr>
            <w:tcW w:w="2374" w:type="dxa"/>
            <w:tcBorders>
              <w:top w:val="nil"/>
              <w:left w:val="nil"/>
              <w:bottom w:val="nil"/>
              <w:right w:val="nil"/>
            </w:tcBorders>
            <w:shd w:val="clear" w:color="000000" w:fill="FAFAFA"/>
            <w:vAlign w:val="center"/>
          </w:tcPr>
          <w:p w14:paraId="6B2FC2C6">
            <w:pPr>
              <w:widowControl/>
              <w:snapToGrid w:val="0"/>
              <w:ind w:left="0" w:leftChars="0" w:right="0" w:rightChars="0" w:firstLine="0" w:firstLineChars="0"/>
              <w:jc w:val="left"/>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Antecedents</w:t>
            </w:r>
          </w:p>
        </w:tc>
        <w:tc>
          <w:tcPr>
            <w:tcW w:w="1283" w:type="dxa"/>
            <w:tcBorders>
              <w:top w:val="nil"/>
              <w:left w:val="nil"/>
              <w:bottom w:val="nil"/>
              <w:right w:val="nil"/>
            </w:tcBorders>
            <w:shd w:val="clear" w:color="000000" w:fill="FAFAFA"/>
            <w:vAlign w:val="center"/>
          </w:tcPr>
          <w:p w14:paraId="4DD355FF">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382/658</w:t>
            </w:r>
          </w:p>
        </w:tc>
        <w:tc>
          <w:tcPr>
            <w:tcW w:w="1595" w:type="dxa"/>
            <w:tcBorders>
              <w:top w:val="nil"/>
              <w:left w:val="nil"/>
              <w:bottom w:val="nil"/>
              <w:right w:val="nil"/>
            </w:tcBorders>
            <w:shd w:val="clear" w:color="000000" w:fill="FAFAFA"/>
            <w:vAlign w:val="center"/>
          </w:tcPr>
          <w:p w14:paraId="0BA36D83">
            <w:pPr>
              <w:widowControl/>
              <w:snapToGrid w:val="0"/>
              <w:ind w:left="0" w:leftChars="0" w:right="0" w:rightChars="0" w:firstLine="0" w:firstLineChars="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500/658</w:t>
            </w:r>
          </w:p>
        </w:tc>
        <w:tc>
          <w:tcPr>
            <w:tcW w:w="1641" w:type="dxa"/>
            <w:tcBorders>
              <w:top w:val="nil"/>
              <w:left w:val="nil"/>
              <w:bottom w:val="nil"/>
              <w:right w:val="nil"/>
            </w:tcBorders>
            <w:shd w:val="clear" w:color="000000" w:fill="FAFAFA"/>
            <w:vAlign w:val="center"/>
          </w:tcPr>
          <w:p w14:paraId="123F33DE">
            <w:pPr>
              <w:widowControl/>
              <w:snapToGrid w:val="0"/>
              <w:ind w:left="0" w:leftChars="0" w:right="0" w:rightChars="0" w:firstLine="0" w:firstLineChars="0"/>
              <w:jc w:val="left"/>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bookmarkEnd w:id="11"/>
    </w:tbl>
    <w:p w14:paraId="4805288F">
      <w:pPr>
        <w:rPr>
          <w:rFonts w:ascii="Times New Roman" w:hAnsi="Times New Roman" w:cs="Times New Roman"/>
          <w:b/>
          <w:bCs/>
          <w:sz w:val="24"/>
          <w:szCs w:val="24"/>
        </w:rPr>
      </w:pPr>
      <w:r>
        <w:rPr>
          <w:rFonts w:hint="eastAsia" w:ascii="Times New Roman" w:hAnsi="Times New Roman" w:cs="Times New Roman"/>
          <w:b/>
          <w:bCs/>
          <w:sz w:val="24"/>
          <w:szCs w:val="24"/>
        </w:rPr>
        <w:br w:type="page"/>
      </w:r>
    </w:p>
    <w:p w14:paraId="08F1CA06">
      <w:pPr>
        <w:jc w:val="left"/>
        <w:rPr>
          <w:rFonts w:ascii="Times New Roman" w:hAnsi="Times New Roman" w:cs="Times New Roman"/>
          <w:b/>
          <w:bCs/>
          <w:sz w:val="24"/>
          <w:szCs w:val="24"/>
        </w:rPr>
        <w:sectPr>
          <w:pgSz w:w="16838" w:h="11906" w:orient="landscape"/>
          <w:pgMar w:top="1800" w:right="1440" w:bottom="1800" w:left="1440" w:header="851" w:footer="992" w:gutter="0"/>
          <w:cols w:space="425" w:num="1"/>
          <w:docGrid w:type="lines" w:linePitch="312" w:charSpace="0"/>
        </w:sectPr>
      </w:pPr>
    </w:p>
    <w:p w14:paraId="3CCDE80F">
      <w:pPr>
        <w:jc w:val="left"/>
        <w:rPr>
          <w:rFonts w:ascii="Times New Roman" w:hAnsi="Times New Roman" w:cs="Times New Roman"/>
          <w:b/>
          <w:bCs/>
          <w:sz w:val="24"/>
          <w:szCs w:val="24"/>
        </w:rPr>
      </w:pPr>
      <w:r>
        <w:rPr>
          <w:rFonts w:hint="eastAsia" w:ascii="Times New Roman" w:hAnsi="Times New Roman" w:cs="Times New Roman"/>
          <w:b/>
          <w:bCs/>
          <w:sz w:val="24"/>
          <w:szCs w:val="24"/>
        </w:rPr>
        <w:t xml:space="preserve">Table A10. </w:t>
      </w:r>
      <w:r>
        <w:rPr>
          <w:rFonts w:hint="eastAsia" w:ascii="Times New Roman" w:hAnsi="Times New Roman" w:cs="Times New Roman"/>
          <w:sz w:val="24"/>
          <w:szCs w:val="24"/>
        </w:rPr>
        <w:t xml:space="preserve">The characteristics of quantitative literature analyzing the changes in </w:t>
      </w:r>
      <w:r>
        <w:rPr>
          <w:rFonts w:hint="eastAsia" w:ascii="Times New Roman" w:hAnsi="Times New Roman" w:cs="Times New Roman"/>
          <w:b/>
          <w:bCs/>
          <w:sz w:val="24"/>
          <w:szCs w:val="24"/>
        </w:rPr>
        <w:t>prescription rates</w:t>
      </w:r>
      <w:r>
        <w:rPr>
          <w:rFonts w:hint="eastAsia" w:ascii="Times New Roman" w:hAnsi="Times New Roman" w:cs="Times New Roman"/>
          <w:sz w:val="24"/>
          <w:szCs w:val="24"/>
        </w:rPr>
        <w:t xml:space="preserve"> caused by antibiotic prescription intervention measures.</w:t>
      </w:r>
      <w:r>
        <w:rPr>
          <w:rFonts w:ascii="Times New Roman" w:hAnsi="Times New Roman" w:cs="Times New Roman"/>
          <w:sz w:val="24"/>
          <w:szCs w:val="24"/>
        </w:rPr>
        <w:t xml:space="preserve"> </w:t>
      </w:r>
    </w:p>
    <w:tbl>
      <w:tblPr>
        <w:tblStyle w:val="6"/>
        <w:tblW w:w="15606" w:type="dxa"/>
        <w:jc w:val="center"/>
        <w:tblLayout w:type="fixed"/>
        <w:tblCellMar>
          <w:top w:w="0" w:type="dxa"/>
          <w:left w:w="108" w:type="dxa"/>
          <w:bottom w:w="0" w:type="dxa"/>
          <w:right w:w="108" w:type="dxa"/>
        </w:tblCellMar>
      </w:tblPr>
      <w:tblGrid>
        <w:gridCol w:w="1764"/>
        <w:gridCol w:w="1060"/>
        <w:gridCol w:w="990"/>
        <w:gridCol w:w="1622"/>
        <w:gridCol w:w="2030"/>
        <w:gridCol w:w="1170"/>
        <w:gridCol w:w="3054"/>
        <w:gridCol w:w="1248"/>
        <w:gridCol w:w="1014"/>
        <w:gridCol w:w="1654"/>
      </w:tblGrid>
      <w:tr w14:paraId="01F74CC4">
        <w:tblPrEx>
          <w:tblCellMar>
            <w:top w:w="0" w:type="dxa"/>
            <w:left w:w="108" w:type="dxa"/>
            <w:bottom w:w="0" w:type="dxa"/>
            <w:right w:w="108" w:type="dxa"/>
          </w:tblCellMar>
        </w:tblPrEx>
        <w:trPr>
          <w:cantSplit/>
          <w:trHeight w:val="0" w:hRule="atLeast"/>
          <w:tblHeader/>
          <w:jc w:val="center"/>
        </w:trPr>
        <w:tc>
          <w:tcPr>
            <w:tcW w:w="1764" w:type="dxa"/>
            <w:vMerge w:val="restart"/>
            <w:tcBorders>
              <w:top w:val="nil"/>
              <w:left w:val="nil"/>
              <w:bottom w:val="nil"/>
              <w:right w:val="nil"/>
            </w:tcBorders>
            <w:shd w:val="clear" w:color="000000" w:fill="004A7C"/>
            <w:vAlign w:val="center"/>
          </w:tcPr>
          <w:p w14:paraId="30A0FAE5">
            <w:pPr>
              <w:widowControl/>
              <w:snapToGrid w:val="0"/>
              <w:jc w:val="center"/>
              <w:textAlignment w:val="center"/>
              <w:rPr>
                <w:rFonts w:ascii="Times New Roman" w:hAnsi="Times New Roman" w:eastAsia="等线" w:cs="Times New Roman"/>
                <w:b/>
                <w:bCs/>
                <w:color w:val="FFFFFF"/>
                <w:sz w:val="22"/>
              </w:rPr>
            </w:pPr>
            <w:r>
              <w:rPr>
                <w:rFonts w:hint="eastAsia" w:ascii="Times New Roman" w:hAnsi="Times New Roman" w:eastAsia="等线" w:cs="Times New Roman"/>
                <w:b/>
                <w:bCs/>
                <w:color w:val="FFFFFF"/>
                <w:sz w:val="22"/>
              </w:rPr>
              <w:t>Study</w:t>
            </w:r>
          </w:p>
        </w:tc>
        <w:tc>
          <w:tcPr>
            <w:tcW w:w="1060" w:type="dxa"/>
            <w:vMerge w:val="restart"/>
            <w:tcBorders>
              <w:top w:val="nil"/>
              <w:left w:val="nil"/>
              <w:bottom w:val="nil"/>
              <w:right w:val="nil"/>
            </w:tcBorders>
            <w:shd w:val="clear" w:color="000000" w:fill="004A7C"/>
            <w:vAlign w:val="center"/>
          </w:tcPr>
          <w:p w14:paraId="2AC5FAEF">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Country</w:t>
            </w:r>
          </w:p>
        </w:tc>
        <w:tc>
          <w:tcPr>
            <w:tcW w:w="990" w:type="dxa"/>
            <w:vMerge w:val="restart"/>
            <w:tcBorders>
              <w:top w:val="nil"/>
              <w:left w:val="nil"/>
              <w:bottom w:val="nil"/>
              <w:right w:val="nil"/>
            </w:tcBorders>
            <w:shd w:val="clear" w:color="000000" w:fill="004A7C"/>
            <w:vAlign w:val="center"/>
          </w:tcPr>
          <w:p w14:paraId="08387134">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National Income Level</w:t>
            </w:r>
          </w:p>
        </w:tc>
        <w:tc>
          <w:tcPr>
            <w:tcW w:w="1622" w:type="dxa"/>
            <w:vMerge w:val="restart"/>
            <w:tcBorders>
              <w:top w:val="nil"/>
              <w:left w:val="nil"/>
              <w:bottom w:val="nil"/>
              <w:right w:val="nil"/>
            </w:tcBorders>
            <w:shd w:val="clear" w:color="000000" w:fill="004A7C"/>
            <w:vAlign w:val="center"/>
          </w:tcPr>
          <w:p w14:paraId="785B8B37">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Study Design</w:t>
            </w:r>
          </w:p>
        </w:tc>
        <w:tc>
          <w:tcPr>
            <w:tcW w:w="2030" w:type="dxa"/>
            <w:vMerge w:val="restart"/>
            <w:tcBorders>
              <w:top w:val="nil"/>
              <w:left w:val="nil"/>
              <w:bottom w:val="nil"/>
              <w:right w:val="nil"/>
            </w:tcBorders>
            <w:shd w:val="clear" w:color="000000" w:fill="004A7C"/>
            <w:vAlign w:val="center"/>
          </w:tcPr>
          <w:p w14:paraId="6AF8A714">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Intervention Measures</w:t>
            </w:r>
          </w:p>
        </w:tc>
        <w:tc>
          <w:tcPr>
            <w:tcW w:w="1170" w:type="dxa"/>
            <w:vMerge w:val="restart"/>
            <w:tcBorders>
              <w:top w:val="nil"/>
              <w:left w:val="nil"/>
              <w:bottom w:val="nil"/>
              <w:right w:val="nil"/>
            </w:tcBorders>
            <w:shd w:val="clear" w:color="000000" w:fill="004A7C"/>
            <w:vAlign w:val="center"/>
          </w:tcPr>
          <w:p w14:paraId="602E8BE5">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Control Group Measures</w:t>
            </w:r>
          </w:p>
        </w:tc>
        <w:tc>
          <w:tcPr>
            <w:tcW w:w="3054" w:type="dxa"/>
            <w:vMerge w:val="restart"/>
            <w:tcBorders>
              <w:top w:val="nil"/>
              <w:left w:val="nil"/>
              <w:bottom w:val="nil"/>
              <w:right w:val="nil"/>
            </w:tcBorders>
            <w:shd w:val="clear" w:color="000000" w:fill="004A7C"/>
            <w:vAlign w:val="center"/>
          </w:tcPr>
          <w:p w14:paraId="74B9C41A">
            <w:pPr>
              <w:widowControl/>
              <w:snapToGrid w:val="0"/>
              <w:jc w:val="center"/>
              <w:textAlignment w:val="center"/>
              <w:rPr>
                <w:rFonts w:ascii="Times New Roman" w:hAnsi="Times New Roman" w:eastAsia="等线" w:cs="Times New Roman"/>
                <w:b/>
                <w:bCs/>
                <w:color w:val="FFFFFF"/>
                <w:sz w:val="22"/>
              </w:rPr>
            </w:pPr>
            <w:r>
              <w:rPr>
                <w:rFonts w:hint="eastAsia" w:ascii="Times New Roman" w:hAnsi="Times New Roman" w:eastAsia="等线" w:cs="Times New Roman"/>
                <w:b/>
                <w:bCs/>
                <w:color w:val="FFFFFF"/>
                <w:kern w:val="0"/>
                <w:sz w:val="22"/>
                <w:lang w:bidi="ar"/>
              </w:rPr>
              <w:t>Behavior Change Technology(BCT)</w:t>
            </w:r>
            <w:r>
              <w:rPr>
                <w:rFonts w:ascii="Times New Roman" w:hAnsi="Times New Roman" w:eastAsia="等线" w:cs="Times New Roman"/>
                <w:b/>
                <w:bCs/>
                <w:color w:val="FFFFFF"/>
                <w:kern w:val="0"/>
                <w:sz w:val="22"/>
                <w:lang w:bidi="ar"/>
              </w:rPr>
              <w:t>Classification</w:t>
            </w:r>
          </w:p>
        </w:tc>
        <w:tc>
          <w:tcPr>
            <w:tcW w:w="2262" w:type="dxa"/>
            <w:gridSpan w:val="2"/>
            <w:tcBorders>
              <w:top w:val="nil"/>
              <w:left w:val="nil"/>
              <w:bottom w:val="nil"/>
              <w:right w:val="nil"/>
            </w:tcBorders>
            <w:shd w:val="clear" w:color="000000" w:fill="004A7C"/>
            <w:vAlign w:val="center"/>
          </w:tcPr>
          <w:p w14:paraId="15A51993">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Outcome Indicators(Number of antibiotic prescriptions/Total number of prescriptions)</w:t>
            </w:r>
          </w:p>
        </w:tc>
        <w:tc>
          <w:tcPr>
            <w:tcW w:w="1654" w:type="dxa"/>
            <w:vMerge w:val="restart"/>
            <w:tcBorders>
              <w:top w:val="nil"/>
              <w:left w:val="nil"/>
              <w:bottom w:val="nil"/>
              <w:right w:val="nil"/>
            </w:tcBorders>
            <w:shd w:val="clear" w:color="000000" w:fill="004A7C"/>
            <w:vAlign w:val="center"/>
          </w:tcPr>
          <w:p w14:paraId="69B8D522">
            <w:pPr>
              <w:widowControl/>
              <w:snapToGrid w:val="0"/>
              <w:jc w:val="center"/>
              <w:textAlignment w:val="center"/>
              <w:rPr>
                <w:rFonts w:ascii="Times New Roman" w:hAnsi="Times New Roman" w:eastAsia="等线" w:cs="Times New Roman"/>
                <w:b/>
                <w:bCs/>
                <w:color w:val="FFFFFF"/>
                <w:kern w:val="0"/>
                <w:sz w:val="22"/>
                <w:lang w:bidi="ar"/>
              </w:rPr>
            </w:pPr>
            <w:r>
              <w:rPr>
                <w:rFonts w:hint="eastAsia" w:ascii="Times New Roman" w:hAnsi="Times New Roman" w:eastAsia="等线" w:cs="Times New Roman"/>
                <w:b/>
                <w:bCs/>
                <w:color w:val="FFFFFF"/>
                <w:kern w:val="0"/>
                <w:sz w:val="22"/>
                <w:lang w:bidi="ar"/>
              </w:rPr>
              <w:t>AMS Infrastructure/Support</w:t>
            </w:r>
          </w:p>
        </w:tc>
      </w:tr>
      <w:tr w14:paraId="652AEDA9">
        <w:tblPrEx>
          <w:tblCellMar>
            <w:top w:w="0" w:type="dxa"/>
            <w:left w:w="108" w:type="dxa"/>
            <w:bottom w:w="0" w:type="dxa"/>
            <w:right w:w="108" w:type="dxa"/>
          </w:tblCellMar>
        </w:tblPrEx>
        <w:trPr>
          <w:cantSplit/>
          <w:trHeight w:val="0" w:hRule="atLeast"/>
          <w:tblHeader/>
          <w:jc w:val="center"/>
        </w:trPr>
        <w:tc>
          <w:tcPr>
            <w:tcW w:w="1764" w:type="dxa"/>
            <w:vMerge w:val="continue"/>
            <w:tcBorders>
              <w:top w:val="nil"/>
              <w:left w:val="nil"/>
              <w:bottom w:val="nil"/>
              <w:right w:val="nil"/>
            </w:tcBorders>
            <w:shd w:val="clear" w:color="000000" w:fill="004A7C"/>
            <w:vAlign w:val="center"/>
          </w:tcPr>
          <w:p w14:paraId="2AFE9410">
            <w:pPr>
              <w:snapToGrid w:val="0"/>
              <w:jc w:val="center"/>
              <w:rPr>
                <w:rFonts w:ascii="Times New Roman" w:hAnsi="Times New Roman" w:eastAsia="等线" w:cs="Times New Roman"/>
                <w:b/>
                <w:bCs/>
                <w:color w:val="FFFFFF"/>
                <w:sz w:val="22"/>
              </w:rPr>
            </w:pPr>
          </w:p>
        </w:tc>
        <w:tc>
          <w:tcPr>
            <w:tcW w:w="1060" w:type="dxa"/>
            <w:vMerge w:val="continue"/>
            <w:tcBorders>
              <w:top w:val="nil"/>
              <w:left w:val="nil"/>
              <w:bottom w:val="nil"/>
              <w:right w:val="nil"/>
            </w:tcBorders>
            <w:shd w:val="clear" w:color="000000" w:fill="004A7C"/>
            <w:vAlign w:val="center"/>
          </w:tcPr>
          <w:p w14:paraId="0382EF93">
            <w:pPr>
              <w:snapToGrid w:val="0"/>
              <w:jc w:val="center"/>
              <w:rPr>
                <w:rFonts w:ascii="Times New Roman" w:hAnsi="Times New Roman" w:eastAsia="等线" w:cs="Times New Roman"/>
                <w:b/>
                <w:bCs/>
                <w:color w:val="FFFFFF"/>
                <w:sz w:val="22"/>
              </w:rPr>
            </w:pPr>
          </w:p>
        </w:tc>
        <w:tc>
          <w:tcPr>
            <w:tcW w:w="990" w:type="dxa"/>
            <w:vMerge w:val="continue"/>
            <w:tcBorders>
              <w:top w:val="nil"/>
              <w:left w:val="nil"/>
              <w:bottom w:val="nil"/>
              <w:right w:val="nil"/>
            </w:tcBorders>
            <w:shd w:val="clear" w:color="000000" w:fill="004A7C"/>
            <w:vAlign w:val="center"/>
          </w:tcPr>
          <w:p w14:paraId="512D9200">
            <w:pPr>
              <w:snapToGrid w:val="0"/>
              <w:jc w:val="center"/>
              <w:rPr>
                <w:rFonts w:ascii="Times New Roman" w:hAnsi="Times New Roman" w:eastAsia="等线" w:cs="Times New Roman"/>
                <w:b/>
                <w:bCs/>
                <w:color w:val="FFFFFF"/>
                <w:sz w:val="22"/>
              </w:rPr>
            </w:pPr>
          </w:p>
        </w:tc>
        <w:tc>
          <w:tcPr>
            <w:tcW w:w="1622" w:type="dxa"/>
            <w:vMerge w:val="continue"/>
            <w:tcBorders>
              <w:top w:val="nil"/>
              <w:left w:val="nil"/>
              <w:bottom w:val="nil"/>
              <w:right w:val="nil"/>
            </w:tcBorders>
            <w:shd w:val="clear" w:color="000000" w:fill="004A7C"/>
            <w:vAlign w:val="center"/>
          </w:tcPr>
          <w:p w14:paraId="5C46DB4C">
            <w:pPr>
              <w:snapToGrid w:val="0"/>
              <w:jc w:val="center"/>
              <w:rPr>
                <w:rFonts w:ascii="Times New Roman" w:hAnsi="Times New Roman" w:eastAsia="等线" w:cs="Times New Roman"/>
                <w:b/>
                <w:bCs/>
                <w:color w:val="FFFFFF"/>
                <w:sz w:val="22"/>
              </w:rPr>
            </w:pPr>
          </w:p>
        </w:tc>
        <w:tc>
          <w:tcPr>
            <w:tcW w:w="2030" w:type="dxa"/>
            <w:vMerge w:val="continue"/>
            <w:tcBorders>
              <w:top w:val="nil"/>
              <w:left w:val="nil"/>
              <w:bottom w:val="nil"/>
              <w:right w:val="nil"/>
            </w:tcBorders>
            <w:shd w:val="clear" w:color="000000" w:fill="004A7C"/>
            <w:vAlign w:val="center"/>
          </w:tcPr>
          <w:p w14:paraId="2557CF86">
            <w:pPr>
              <w:snapToGrid w:val="0"/>
              <w:jc w:val="center"/>
              <w:rPr>
                <w:rFonts w:ascii="Times New Roman" w:hAnsi="Times New Roman" w:eastAsia="等线" w:cs="Times New Roman"/>
                <w:b/>
                <w:bCs/>
                <w:color w:val="FFFFFF"/>
                <w:sz w:val="22"/>
              </w:rPr>
            </w:pPr>
          </w:p>
        </w:tc>
        <w:tc>
          <w:tcPr>
            <w:tcW w:w="1170" w:type="dxa"/>
            <w:vMerge w:val="continue"/>
            <w:tcBorders>
              <w:top w:val="nil"/>
              <w:left w:val="nil"/>
              <w:bottom w:val="nil"/>
              <w:right w:val="nil"/>
            </w:tcBorders>
            <w:shd w:val="clear" w:color="000000" w:fill="004A7C"/>
            <w:vAlign w:val="center"/>
          </w:tcPr>
          <w:p w14:paraId="34C10426">
            <w:pPr>
              <w:snapToGrid w:val="0"/>
              <w:jc w:val="center"/>
              <w:rPr>
                <w:rFonts w:ascii="Times New Roman" w:hAnsi="Times New Roman" w:eastAsia="等线" w:cs="Times New Roman"/>
                <w:b/>
                <w:bCs/>
                <w:color w:val="FFFFFF"/>
                <w:sz w:val="22"/>
              </w:rPr>
            </w:pPr>
          </w:p>
        </w:tc>
        <w:tc>
          <w:tcPr>
            <w:tcW w:w="3054" w:type="dxa"/>
            <w:vMerge w:val="continue"/>
            <w:tcBorders>
              <w:top w:val="nil"/>
              <w:left w:val="nil"/>
              <w:bottom w:val="nil"/>
              <w:right w:val="nil"/>
            </w:tcBorders>
            <w:shd w:val="clear" w:color="000000" w:fill="004A7C"/>
            <w:vAlign w:val="center"/>
          </w:tcPr>
          <w:p w14:paraId="6BC8EFAE">
            <w:pPr>
              <w:snapToGrid w:val="0"/>
              <w:jc w:val="center"/>
              <w:rPr>
                <w:rFonts w:ascii="Times New Roman" w:hAnsi="Times New Roman" w:eastAsia="等线" w:cs="Times New Roman"/>
                <w:b/>
                <w:bCs/>
                <w:color w:val="FFFFFF"/>
                <w:sz w:val="22"/>
              </w:rPr>
            </w:pPr>
          </w:p>
        </w:tc>
        <w:tc>
          <w:tcPr>
            <w:tcW w:w="1248" w:type="dxa"/>
            <w:tcBorders>
              <w:top w:val="nil"/>
              <w:left w:val="nil"/>
              <w:bottom w:val="nil"/>
              <w:right w:val="nil"/>
            </w:tcBorders>
            <w:shd w:val="clear" w:color="000000" w:fill="FAFAFA"/>
            <w:vAlign w:val="center"/>
          </w:tcPr>
          <w:p w14:paraId="169FEA2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Intervention group</w:t>
            </w:r>
          </w:p>
        </w:tc>
        <w:tc>
          <w:tcPr>
            <w:tcW w:w="1014" w:type="dxa"/>
            <w:tcBorders>
              <w:top w:val="nil"/>
              <w:left w:val="nil"/>
              <w:bottom w:val="nil"/>
              <w:right w:val="nil"/>
            </w:tcBorders>
            <w:shd w:val="clear" w:color="000000" w:fill="FAFAFA"/>
            <w:vAlign w:val="center"/>
          </w:tcPr>
          <w:p w14:paraId="0FE6FBC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Control group</w:t>
            </w:r>
          </w:p>
        </w:tc>
        <w:tc>
          <w:tcPr>
            <w:tcW w:w="1654" w:type="dxa"/>
            <w:vMerge w:val="continue"/>
            <w:tcBorders>
              <w:top w:val="nil"/>
              <w:left w:val="nil"/>
              <w:bottom w:val="nil"/>
              <w:right w:val="nil"/>
            </w:tcBorders>
            <w:shd w:val="clear" w:color="000000" w:fill="FAFAFA"/>
            <w:vAlign w:val="center"/>
          </w:tcPr>
          <w:p w14:paraId="62AF086C">
            <w:pPr>
              <w:widowControl/>
              <w:snapToGrid w:val="0"/>
              <w:jc w:val="center"/>
              <w:textAlignment w:val="center"/>
              <w:rPr>
                <w:rFonts w:ascii="Times New Roman" w:hAnsi="Times New Roman" w:eastAsia="等线" w:cs="Times New Roman"/>
                <w:color w:val="000000"/>
                <w:kern w:val="0"/>
                <w:sz w:val="22"/>
                <w:lang w:bidi="ar"/>
              </w:rPr>
            </w:pPr>
          </w:p>
        </w:tc>
      </w:tr>
      <w:tr w14:paraId="558DEE14">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E8F1F5"/>
            <w:vAlign w:val="center"/>
          </w:tcPr>
          <w:p w14:paraId="27DB9FB4">
            <w:pPr>
              <w:widowControl/>
              <w:snapToGrid w:val="0"/>
              <w:jc w:val="center"/>
              <w:textAlignment w:val="center"/>
              <w:rPr>
                <w:rFonts w:ascii="Times New Roman" w:hAnsi="Times New Roman" w:eastAsia="等线" w:cs="Times New Roman"/>
                <w:color w:val="000000"/>
                <w:kern w:val="0"/>
                <w:sz w:val="22"/>
                <w:lang w:bidi="ar"/>
              </w:rPr>
            </w:pPr>
            <w:r>
              <w:rPr>
                <w:rFonts w:ascii="Times New Roman" w:hAnsi="Times New Roman" w:eastAsia="等线" w:cs="Times New Roman"/>
                <w:color w:val="000000"/>
                <w:kern w:val="0"/>
                <w:sz w:val="22"/>
                <w:lang w:bidi="ar"/>
              </w:rPr>
              <w:t>Anthony M et al.</w:t>
            </w:r>
            <w:r>
              <w:rPr>
                <w:rFonts w:hint="eastAsia" w:ascii="Times New Roman" w:hAnsi="Times New Roman" w:eastAsia="等线" w:cs="Times New Roman"/>
                <w:color w:val="000000"/>
                <w:kern w:val="0"/>
                <w:sz w:val="22"/>
                <w:lang w:bidi="ar"/>
              </w:rPr>
              <w:t>(2008)</w:t>
            </w:r>
          </w:p>
          <w:p w14:paraId="2F8A71E4">
            <w:pPr>
              <w:widowControl/>
              <w:snapToGrid w:val="0"/>
              <w:textAlignment w:val="center"/>
              <w:rPr>
                <w:rFonts w:ascii="Times New Roman" w:hAnsi="Times New Roman" w:eastAsia="等线" w:cs="Times New Roman"/>
                <w:color w:val="000000"/>
                <w:kern w:val="0"/>
                <w:sz w:val="22"/>
                <w:lang w:bidi="ar"/>
              </w:rPr>
            </w:pPr>
          </w:p>
        </w:tc>
        <w:tc>
          <w:tcPr>
            <w:tcW w:w="1060" w:type="dxa"/>
            <w:tcBorders>
              <w:top w:val="nil"/>
              <w:left w:val="nil"/>
              <w:bottom w:val="nil"/>
              <w:right w:val="nil"/>
            </w:tcBorders>
            <w:shd w:val="clear" w:color="000000" w:fill="E8F1F5"/>
            <w:vAlign w:val="center"/>
          </w:tcPr>
          <w:p w14:paraId="6D4005D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990" w:type="dxa"/>
            <w:tcBorders>
              <w:top w:val="nil"/>
              <w:left w:val="nil"/>
              <w:bottom w:val="nil"/>
              <w:right w:val="nil"/>
            </w:tcBorders>
            <w:shd w:val="clear" w:color="000000" w:fill="E8F1F5"/>
            <w:noWrap/>
            <w:vAlign w:val="center"/>
          </w:tcPr>
          <w:p w14:paraId="4C2C733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22" w:type="dxa"/>
            <w:tcBorders>
              <w:top w:val="nil"/>
              <w:left w:val="nil"/>
              <w:bottom w:val="nil"/>
              <w:right w:val="nil"/>
            </w:tcBorders>
            <w:shd w:val="clear" w:color="000000" w:fill="E8F1F5"/>
            <w:vAlign w:val="center"/>
          </w:tcPr>
          <w:p w14:paraId="604D506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Retrospective cohort study</w:t>
            </w:r>
          </w:p>
        </w:tc>
        <w:tc>
          <w:tcPr>
            <w:tcW w:w="2030" w:type="dxa"/>
            <w:tcBorders>
              <w:top w:val="nil"/>
              <w:left w:val="nil"/>
              <w:bottom w:val="nil"/>
              <w:right w:val="nil"/>
            </w:tcBorders>
            <w:shd w:val="clear" w:color="000000" w:fill="E8F1F5"/>
            <w:vAlign w:val="center"/>
          </w:tcPr>
          <w:p w14:paraId="1112ABE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Automated detection system</w:t>
            </w:r>
          </w:p>
        </w:tc>
        <w:tc>
          <w:tcPr>
            <w:tcW w:w="1170" w:type="dxa"/>
            <w:tcBorders>
              <w:top w:val="nil"/>
              <w:left w:val="nil"/>
              <w:bottom w:val="nil"/>
              <w:right w:val="nil"/>
            </w:tcBorders>
            <w:shd w:val="clear" w:color="000000" w:fill="E8F1F5"/>
            <w:vAlign w:val="center"/>
          </w:tcPr>
          <w:p w14:paraId="14599C0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E8F1F5"/>
            <w:vAlign w:val="center"/>
          </w:tcPr>
          <w:p w14:paraId="4CC29918">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p>
        </w:tc>
        <w:tc>
          <w:tcPr>
            <w:tcW w:w="1248" w:type="dxa"/>
            <w:tcBorders>
              <w:top w:val="nil"/>
              <w:left w:val="nil"/>
              <w:bottom w:val="nil"/>
              <w:right w:val="nil"/>
            </w:tcBorders>
            <w:shd w:val="clear" w:color="000000" w:fill="E8F1F5"/>
            <w:vAlign w:val="center"/>
          </w:tcPr>
          <w:p w14:paraId="6078198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841/900</w:t>
            </w:r>
          </w:p>
        </w:tc>
        <w:tc>
          <w:tcPr>
            <w:tcW w:w="1014" w:type="dxa"/>
            <w:tcBorders>
              <w:top w:val="nil"/>
              <w:left w:val="nil"/>
              <w:bottom w:val="nil"/>
              <w:right w:val="nil"/>
            </w:tcBorders>
            <w:shd w:val="clear" w:color="000000" w:fill="E8F1F5"/>
            <w:vAlign w:val="center"/>
          </w:tcPr>
          <w:p w14:paraId="7A78AB9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888/900</w:t>
            </w:r>
          </w:p>
        </w:tc>
        <w:tc>
          <w:tcPr>
            <w:tcW w:w="1654" w:type="dxa"/>
            <w:tcBorders>
              <w:top w:val="nil"/>
              <w:left w:val="nil"/>
              <w:bottom w:val="nil"/>
              <w:right w:val="nil"/>
            </w:tcBorders>
            <w:shd w:val="clear" w:color="000000" w:fill="E8F1F5"/>
            <w:vAlign w:val="center"/>
          </w:tcPr>
          <w:p w14:paraId="7A391B85">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2B361E4">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FAFAFA"/>
            <w:vAlign w:val="center"/>
          </w:tcPr>
          <w:p w14:paraId="04D54A2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Carlos et al.</w:t>
            </w:r>
            <w:r>
              <w:rPr>
                <w:rFonts w:hint="eastAsia" w:ascii="Times New Roman" w:hAnsi="Times New Roman" w:eastAsia="等线" w:cs="Times New Roman"/>
                <w:color w:val="000000"/>
                <w:kern w:val="0"/>
                <w:sz w:val="22"/>
                <w:lang w:bidi="ar"/>
              </w:rPr>
              <w:t>(2003)</w:t>
            </w:r>
          </w:p>
        </w:tc>
        <w:tc>
          <w:tcPr>
            <w:tcW w:w="1060" w:type="dxa"/>
            <w:tcBorders>
              <w:top w:val="nil"/>
              <w:left w:val="nil"/>
              <w:bottom w:val="nil"/>
              <w:right w:val="nil"/>
            </w:tcBorders>
            <w:shd w:val="clear" w:color="000000" w:fill="FAFAFA"/>
            <w:vAlign w:val="center"/>
          </w:tcPr>
          <w:p w14:paraId="0589CBE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Argentina</w:t>
            </w:r>
          </w:p>
        </w:tc>
        <w:tc>
          <w:tcPr>
            <w:tcW w:w="990" w:type="dxa"/>
            <w:tcBorders>
              <w:top w:val="nil"/>
              <w:left w:val="nil"/>
              <w:bottom w:val="nil"/>
              <w:right w:val="nil"/>
            </w:tcBorders>
            <w:shd w:val="clear" w:color="000000" w:fill="FAFAFA"/>
            <w:noWrap/>
            <w:vAlign w:val="center"/>
          </w:tcPr>
          <w:p w14:paraId="125F32D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22" w:type="dxa"/>
            <w:tcBorders>
              <w:top w:val="nil"/>
              <w:left w:val="nil"/>
              <w:bottom w:val="nil"/>
              <w:right w:val="nil"/>
            </w:tcBorders>
            <w:shd w:val="clear" w:color="000000" w:fill="FAFAFA"/>
            <w:vAlign w:val="center"/>
          </w:tcPr>
          <w:p w14:paraId="692D86C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controlled intervention study design</w:t>
            </w:r>
          </w:p>
        </w:tc>
        <w:tc>
          <w:tcPr>
            <w:tcW w:w="2030" w:type="dxa"/>
            <w:tcBorders>
              <w:top w:val="nil"/>
              <w:left w:val="nil"/>
              <w:bottom w:val="nil"/>
              <w:right w:val="nil"/>
            </w:tcBorders>
            <w:shd w:val="clear" w:color="000000" w:fill="FAFAFA"/>
            <w:vAlign w:val="center"/>
          </w:tcPr>
          <w:p w14:paraId="1299114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Systemic intervention project implemented by a multidisciplinary team</w:t>
            </w:r>
          </w:p>
        </w:tc>
        <w:tc>
          <w:tcPr>
            <w:tcW w:w="1170" w:type="dxa"/>
            <w:tcBorders>
              <w:top w:val="nil"/>
              <w:left w:val="nil"/>
              <w:bottom w:val="nil"/>
              <w:right w:val="nil"/>
            </w:tcBorders>
            <w:shd w:val="clear" w:color="000000" w:fill="FAFAFA"/>
            <w:vAlign w:val="center"/>
          </w:tcPr>
          <w:p w14:paraId="1537DFF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FAFAFA"/>
            <w:vAlign w:val="center"/>
          </w:tcPr>
          <w:p w14:paraId="1B97585A">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nowledge</w:t>
            </w:r>
            <w:r>
              <w:rPr>
                <w:rFonts w:hint="eastAsia" w:ascii="Times New Roman" w:hAnsi="Times New Roman" w:eastAsia="等线" w:cs="Times New Roman"/>
                <w:color w:val="000000"/>
                <w:kern w:val="0"/>
                <w:sz w:val="22"/>
                <w:lang w:bidi="ar"/>
              </w:rPr>
              <w: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w:t>
            </w:r>
            <w:r>
              <w:rPr>
                <w:rFonts w:ascii="Times New Roman" w:hAnsi="Times New Roman" w:eastAsia="等线" w:cs="Times New Roman"/>
                <w:color w:val="000000"/>
                <w:kern w:val="0"/>
                <w:sz w:val="22"/>
                <w:lang w:bidi="ar"/>
              </w:rPr>
              <w:t>omparison</w:t>
            </w:r>
            <w:r>
              <w:rPr>
                <w:rFonts w:hint="eastAsia" w:ascii="Times New Roman" w:hAnsi="Times New Roman" w:eastAsia="等线" w:cs="Times New Roman"/>
                <w:color w:val="000000"/>
                <w:kern w:val="0"/>
                <w:sz w:val="22"/>
                <w:lang w:bidi="ar"/>
              </w:rPr>
              <w:t xml:space="preserve">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Antecedents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48" w:type="dxa"/>
            <w:tcBorders>
              <w:top w:val="nil"/>
              <w:left w:val="nil"/>
              <w:bottom w:val="nil"/>
              <w:right w:val="nil"/>
            </w:tcBorders>
            <w:shd w:val="clear" w:color="000000" w:fill="FAFAFA"/>
            <w:vAlign w:val="center"/>
          </w:tcPr>
          <w:p w14:paraId="18253DD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17/349</w:t>
            </w:r>
          </w:p>
        </w:tc>
        <w:tc>
          <w:tcPr>
            <w:tcW w:w="1014" w:type="dxa"/>
            <w:tcBorders>
              <w:top w:val="nil"/>
              <w:left w:val="nil"/>
              <w:bottom w:val="nil"/>
              <w:right w:val="nil"/>
            </w:tcBorders>
            <w:shd w:val="clear" w:color="000000" w:fill="FAFAFA"/>
            <w:vAlign w:val="center"/>
          </w:tcPr>
          <w:p w14:paraId="67C1AC4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154/349</w:t>
            </w:r>
          </w:p>
        </w:tc>
        <w:tc>
          <w:tcPr>
            <w:tcW w:w="1654" w:type="dxa"/>
            <w:tcBorders>
              <w:top w:val="nil"/>
              <w:left w:val="nil"/>
              <w:bottom w:val="nil"/>
              <w:right w:val="nil"/>
            </w:tcBorders>
            <w:shd w:val="clear" w:color="000000" w:fill="FAFAFA"/>
            <w:vAlign w:val="center"/>
          </w:tcPr>
          <w:p w14:paraId="05563A94">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22E59364">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E8F1F5"/>
            <w:vAlign w:val="center"/>
          </w:tcPr>
          <w:p w14:paraId="3BB3EF0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Gonzalo et al.</w:t>
            </w:r>
            <w:r>
              <w:rPr>
                <w:rFonts w:hint="eastAsia" w:ascii="Times New Roman" w:hAnsi="Times New Roman" w:eastAsia="等线" w:cs="Times New Roman"/>
                <w:color w:val="000000"/>
                <w:kern w:val="0"/>
                <w:sz w:val="22"/>
                <w:lang w:bidi="ar"/>
              </w:rPr>
              <w:t>(1994)</w:t>
            </w:r>
          </w:p>
        </w:tc>
        <w:tc>
          <w:tcPr>
            <w:tcW w:w="1060" w:type="dxa"/>
            <w:tcBorders>
              <w:top w:val="nil"/>
              <w:left w:val="nil"/>
              <w:bottom w:val="nil"/>
              <w:right w:val="nil"/>
            </w:tcBorders>
            <w:shd w:val="clear" w:color="000000" w:fill="E8F1F5"/>
            <w:vAlign w:val="center"/>
          </w:tcPr>
          <w:p w14:paraId="00E6F04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Mexico</w:t>
            </w:r>
          </w:p>
        </w:tc>
        <w:tc>
          <w:tcPr>
            <w:tcW w:w="990" w:type="dxa"/>
            <w:tcBorders>
              <w:top w:val="nil"/>
              <w:left w:val="nil"/>
              <w:bottom w:val="nil"/>
              <w:right w:val="nil"/>
            </w:tcBorders>
            <w:shd w:val="clear" w:color="000000" w:fill="E8F1F5"/>
            <w:vAlign w:val="center"/>
          </w:tcPr>
          <w:p w14:paraId="369BFDB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22" w:type="dxa"/>
            <w:tcBorders>
              <w:top w:val="nil"/>
              <w:left w:val="nil"/>
              <w:bottom w:val="nil"/>
              <w:right w:val="nil"/>
            </w:tcBorders>
            <w:shd w:val="clear" w:color="000000" w:fill="E8F1F5"/>
            <w:vAlign w:val="center"/>
          </w:tcPr>
          <w:p w14:paraId="1960A12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controlled intervention study design</w:t>
            </w:r>
          </w:p>
        </w:tc>
        <w:tc>
          <w:tcPr>
            <w:tcW w:w="2030" w:type="dxa"/>
            <w:tcBorders>
              <w:top w:val="nil"/>
              <w:left w:val="nil"/>
              <w:bottom w:val="nil"/>
              <w:right w:val="nil"/>
            </w:tcBorders>
            <w:shd w:val="clear" w:color="000000" w:fill="E8F1F5"/>
            <w:vAlign w:val="center"/>
          </w:tcPr>
          <w:p w14:paraId="2B144F4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Diagnosis and treatment workshops, peer review committee</w:t>
            </w:r>
          </w:p>
        </w:tc>
        <w:tc>
          <w:tcPr>
            <w:tcW w:w="1170" w:type="dxa"/>
            <w:tcBorders>
              <w:top w:val="nil"/>
              <w:left w:val="nil"/>
              <w:bottom w:val="nil"/>
              <w:right w:val="nil"/>
            </w:tcBorders>
            <w:shd w:val="clear" w:color="000000" w:fill="E8F1F5"/>
            <w:vAlign w:val="center"/>
          </w:tcPr>
          <w:p w14:paraId="45315FE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E8F1F5"/>
            <w:vAlign w:val="center"/>
          </w:tcPr>
          <w:p w14:paraId="123830D4">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w:t>
            </w:r>
            <w:r>
              <w:rPr>
                <w:rFonts w:ascii="Times New Roman" w:hAnsi="Times New Roman" w:eastAsia="等线" w:cs="Times New Roman"/>
                <w:color w:val="000000"/>
                <w:kern w:val="0"/>
                <w:sz w:val="22"/>
                <w:lang w:bidi="ar"/>
              </w:rPr>
              <w:t>omparison</w:t>
            </w:r>
            <w:r>
              <w:rPr>
                <w:rFonts w:hint="eastAsia" w:ascii="Times New Roman" w:hAnsi="Times New Roman" w:eastAsia="等线" w:cs="Times New Roman"/>
                <w:color w:val="000000"/>
                <w:kern w:val="0"/>
                <w:sz w:val="22"/>
                <w:lang w:bidi="ar"/>
              </w:rPr>
              <w:t xml:space="preserve"> of behavior</w:t>
            </w:r>
          </w:p>
        </w:tc>
        <w:tc>
          <w:tcPr>
            <w:tcW w:w="1248" w:type="dxa"/>
            <w:tcBorders>
              <w:top w:val="nil"/>
              <w:left w:val="nil"/>
              <w:bottom w:val="nil"/>
              <w:right w:val="nil"/>
            </w:tcBorders>
            <w:shd w:val="clear" w:color="000000" w:fill="E8F1F5"/>
            <w:vAlign w:val="center"/>
          </w:tcPr>
          <w:p w14:paraId="10B5F2A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6/36</w:t>
            </w:r>
          </w:p>
        </w:tc>
        <w:tc>
          <w:tcPr>
            <w:tcW w:w="1014" w:type="dxa"/>
            <w:tcBorders>
              <w:top w:val="nil"/>
              <w:left w:val="nil"/>
              <w:bottom w:val="nil"/>
              <w:right w:val="nil"/>
            </w:tcBorders>
            <w:shd w:val="clear" w:color="000000" w:fill="E8F1F5"/>
            <w:vAlign w:val="center"/>
          </w:tcPr>
          <w:p w14:paraId="2F2BE9D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10/33</w:t>
            </w:r>
          </w:p>
        </w:tc>
        <w:tc>
          <w:tcPr>
            <w:tcW w:w="1654" w:type="dxa"/>
            <w:tcBorders>
              <w:top w:val="nil"/>
              <w:left w:val="nil"/>
              <w:bottom w:val="nil"/>
              <w:right w:val="nil"/>
            </w:tcBorders>
            <w:shd w:val="clear" w:color="000000" w:fill="E8F1F5"/>
            <w:vAlign w:val="center"/>
          </w:tcPr>
          <w:p w14:paraId="60DC264F">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305A11D">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FAFAFA"/>
            <w:vAlign w:val="center"/>
          </w:tcPr>
          <w:p w14:paraId="0FC1D1A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Mona et al.</w:t>
            </w:r>
            <w:r>
              <w:rPr>
                <w:rFonts w:hint="eastAsia" w:ascii="Times New Roman" w:hAnsi="Times New Roman" w:eastAsia="等线" w:cs="Times New Roman"/>
                <w:color w:val="000000"/>
                <w:kern w:val="0"/>
                <w:sz w:val="22"/>
                <w:lang w:bidi="ar"/>
              </w:rPr>
              <w:t>(2019)</w:t>
            </w:r>
          </w:p>
        </w:tc>
        <w:tc>
          <w:tcPr>
            <w:tcW w:w="1060" w:type="dxa"/>
            <w:tcBorders>
              <w:top w:val="nil"/>
              <w:left w:val="nil"/>
              <w:bottom w:val="nil"/>
              <w:right w:val="nil"/>
            </w:tcBorders>
            <w:shd w:val="clear" w:color="000000" w:fill="FAFAFA"/>
            <w:vAlign w:val="center"/>
          </w:tcPr>
          <w:p w14:paraId="199439C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Australia</w:t>
            </w:r>
          </w:p>
        </w:tc>
        <w:tc>
          <w:tcPr>
            <w:tcW w:w="990" w:type="dxa"/>
            <w:tcBorders>
              <w:top w:val="nil"/>
              <w:left w:val="nil"/>
              <w:bottom w:val="nil"/>
              <w:right w:val="nil"/>
            </w:tcBorders>
            <w:shd w:val="clear" w:color="000000" w:fill="FAFAFA"/>
            <w:noWrap/>
            <w:vAlign w:val="center"/>
          </w:tcPr>
          <w:p w14:paraId="667844E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22" w:type="dxa"/>
            <w:tcBorders>
              <w:top w:val="nil"/>
              <w:left w:val="nil"/>
              <w:bottom w:val="nil"/>
              <w:right w:val="nil"/>
            </w:tcBorders>
            <w:shd w:val="clear" w:color="000000" w:fill="FAFAFA"/>
            <w:vAlign w:val="center"/>
          </w:tcPr>
          <w:p w14:paraId="2EF9318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Retrospective case-control study</w:t>
            </w:r>
          </w:p>
        </w:tc>
        <w:tc>
          <w:tcPr>
            <w:tcW w:w="2030" w:type="dxa"/>
            <w:tcBorders>
              <w:top w:val="nil"/>
              <w:left w:val="nil"/>
              <w:bottom w:val="nil"/>
              <w:right w:val="nil"/>
            </w:tcBorders>
            <w:shd w:val="clear" w:color="000000" w:fill="FAFAFA"/>
            <w:vAlign w:val="center"/>
          </w:tcPr>
          <w:p w14:paraId="28EEFF4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CDSS</w:t>
            </w:r>
          </w:p>
        </w:tc>
        <w:tc>
          <w:tcPr>
            <w:tcW w:w="1170" w:type="dxa"/>
            <w:tcBorders>
              <w:top w:val="nil"/>
              <w:left w:val="nil"/>
              <w:bottom w:val="nil"/>
              <w:right w:val="nil"/>
            </w:tcBorders>
            <w:shd w:val="clear" w:color="000000" w:fill="FAFAFA"/>
            <w:vAlign w:val="center"/>
          </w:tcPr>
          <w:p w14:paraId="73C4602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FAFAFA"/>
            <w:vAlign w:val="center"/>
          </w:tcPr>
          <w:p w14:paraId="4FAA4ADB">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Antecedents</w:t>
            </w:r>
          </w:p>
        </w:tc>
        <w:tc>
          <w:tcPr>
            <w:tcW w:w="1248" w:type="dxa"/>
            <w:tcBorders>
              <w:top w:val="nil"/>
              <w:left w:val="nil"/>
              <w:bottom w:val="nil"/>
              <w:right w:val="nil"/>
            </w:tcBorders>
            <w:shd w:val="clear" w:color="000000" w:fill="FAFAFA"/>
            <w:vAlign w:val="center"/>
          </w:tcPr>
          <w:p w14:paraId="5306898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104/134</w:t>
            </w:r>
          </w:p>
        </w:tc>
        <w:tc>
          <w:tcPr>
            <w:tcW w:w="1014" w:type="dxa"/>
            <w:tcBorders>
              <w:top w:val="nil"/>
              <w:left w:val="nil"/>
              <w:bottom w:val="nil"/>
              <w:right w:val="nil"/>
            </w:tcBorders>
            <w:shd w:val="clear" w:color="000000" w:fill="FAFAFA"/>
            <w:vAlign w:val="center"/>
          </w:tcPr>
          <w:p w14:paraId="3CD5DA7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87/107</w:t>
            </w:r>
          </w:p>
        </w:tc>
        <w:tc>
          <w:tcPr>
            <w:tcW w:w="1654" w:type="dxa"/>
            <w:tcBorders>
              <w:top w:val="nil"/>
              <w:left w:val="nil"/>
              <w:bottom w:val="nil"/>
              <w:right w:val="nil"/>
            </w:tcBorders>
            <w:shd w:val="clear" w:color="000000" w:fill="FAFAFA"/>
            <w:vAlign w:val="center"/>
          </w:tcPr>
          <w:p w14:paraId="51F03603">
            <w:pPr>
              <w:widowControl/>
              <w:snapToGrid w:val="0"/>
              <w:jc w:val="center"/>
              <w:textAlignment w:val="center"/>
              <w:rPr>
                <w:rFonts w:hint="default" w:ascii="Times New Roman" w:hAnsi="Times New Roman" w:eastAsia="等线" w:cs="Times New Roman"/>
                <w:color w:val="000000"/>
                <w:kern w:val="0"/>
                <w:sz w:val="22"/>
                <w:lang w:val="en-US" w:eastAsia="zh-CN" w:bidi="ar"/>
              </w:rPr>
            </w:pPr>
            <w:r>
              <w:rPr>
                <w:rFonts w:hint="eastAsia" w:ascii="Times New Roman" w:hAnsi="Times New Roman" w:eastAsia="等线" w:cs="Times New Roman"/>
                <w:color w:val="000000"/>
                <w:kern w:val="0"/>
                <w:sz w:val="22"/>
                <w:szCs w:val="21"/>
                <w:lang w:val="en-US" w:eastAsia="zh-CN" w:bidi="ar"/>
              </w:rPr>
              <w:t>Yes</w:t>
            </w:r>
          </w:p>
        </w:tc>
      </w:tr>
      <w:tr w14:paraId="68F48C49">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E8F1F5"/>
            <w:vAlign w:val="center"/>
          </w:tcPr>
          <w:p w14:paraId="3B57640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Nancy E. et al.</w:t>
            </w:r>
            <w:r>
              <w:rPr>
                <w:rFonts w:hint="eastAsia" w:ascii="Times New Roman" w:hAnsi="Times New Roman" w:eastAsia="等线" w:cs="Times New Roman"/>
                <w:color w:val="000000"/>
                <w:kern w:val="0"/>
                <w:sz w:val="22"/>
                <w:lang w:bidi="ar"/>
              </w:rPr>
              <w:t>(1989)</w:t>
            </w:r>
          </w:p>
        </w:tc>
        <w:tc>
          <w:tcPr>
            <w:tcW w:w="1060" w:type="dxa"/>
            <w:tcBorders>
              <w:top w:val="nil"/>
              <w:left w:val="nil"/>
              <w:bottom w:val="nil"/>
              <w:right w:val="nil"/>
            </w:tcBorders>
            <w:shd w:val="clear" w:color="000000" w:fill="E8F1F5"/>
            <w:vAlign w:val="center"/>
          </w:tcPr>
          <w:p w14:paraId="22A609C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990" w:type="dxa"/>
            <w:tcBorders>
              <w:top w:val="nil"/>
              <w:left w:val="nil"/>
              <w:bottom w:val="nil"/>
              <w:right w:val="nil"/>
            </w:tcBorders>
            <w:shd w:val="clear" w:color="000000" w:fill="E8F1F5"/>
            <w:noWrap/>
            <w:vAlign w:val="center"/>
          </w:tcPr>
          <w:p w14:paraId="56D22D4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22" w:type="dxa"/>
            <w:tcBorders>
              <w:top w:val="nil"/>
              <w:left w:val="nil"/>
              <w:bottom w:val="nil"/>
              <w:right w:val="nil"/>
            </w:tcBorders>
            <w:shd w:val="clear" w:color="000000" w:fill="E8F1F5"/>
            <w:vAlign w:val="center"/>
          </w:tcPr>
          <w:p w14:paraId="5820AF2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controlled intervention study design</w:t>
            </w:r>
          </w:p>
        </w:tc>
        <w:tc>
          <w:tcPr>
            <w:tcW w:w="2030" w:type="dxa"/>
            <w:tcBorders>
              <w:top w:val="nil"/>
              <w:left w:val="nil"/>
              <w:bottom w:val="nil"/>
              <w:right w:val="nil"/>
            </w:tcBorders>
            <w:shd w:val="clear" w:color="000000" w:fill="E8F1F5"/>
            <w:vAlign w:val="center"/>
          </w:tcPr>
          <w:p w14:paraId="78ED20C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Insert information text prompts in the computerized drug order entry path</w:t>
            </w:r>
          </w:p>
        </w:tc>
        <w:tc>
          <w:tcPr>
            <w:tcW w:w="1170" w:type="dxa"/>
            <w:tcBorders>
              <w:top w:val="nil"/>
              <w:left w:val="nil"/>
              <w:bottom w:val="nil"/>
              <w:right w:val="nil"/>
            </w:tcBorders>
            <w:shd w:val="clear" w:color="000000" w:fill="E8F1F5"/>
            <w:vAlign w:val="center"/>
          </w:tcPr>
          <w:p w14:paraId="3C0F141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E8F1F5"/>
            <w:vAlign w:val="center"/>
          </w:tcPr>
          <w:p w14:paraId="298266D6">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Natural consequences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Antecedents</w:t>
            </w:r>
          </w:p>
        </w:tc>
        <w:tc>
          <w:tcPr>
            <w:tcW w:w="1248" w:type="dxa"/>
            <w:tcBorders>
              <w:top w:val="nil"/>
              <w:left w:val="nil"/>
              <w:bottom w:val="nil"/>
              <w:right w:val="nil"/>
            </w:tcBorders>
            <w:shd w:val="clear" w:color="000000" w:fill="E8F1F5"/>
            <w:vAlign w:val="center"/>
          </w:tcPr>
          <w:p w14:paraId="0AAFE73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34/89</w:t>
            </w:r>
          </w:p>
        </w:tc>
        <w:tc>
          <w:tcPr>
            <w:tcW w:w="1014" w:type="dxa"/>
            <w:tcBorders>
              <w:top w:val="nil"/>
              <w:left w:val="nil"/>
              <w:bottom w:val="nil"/>
              <w:right w:val="nil"/>
            </w:tcBorders>
            <w:shd w:val="clear" w:color="000000" w:fill="E8F1F5"/>
            <w:vAlign w:val="center"/>
          </w:tcPr>
          <w:p w14:paraId="19465A7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89/89</w:t>
            </w:r>
          </w:p>
        </w:tc>
        <w:tc>
          <w:tcPr>
            <w:tcW w:w="1654" w:type="dxa"/>
            <w:tcBorders>
              <w:top w:val="nil"/>
              <w:left w:val="nil"/>
              <w:bottom w:val="nil"/>
              <w:right w:val="nil"/>
            </w:tcBorders>
            <w:shd w:val="clear" w:color="000000" w:fill="E8F1F5"/>
            <w:vAlign w:val="center"/>
          </w:tcPr>
          <w:p w14:paraId="1D4F6B4E">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26EE4598">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FAFAFA"/>
            <w:vAlign w:val="center"/>
          </w:tcPr>
          <w:p w14:paraId="105FC1D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Stephen D et al.</w:t>
            </w:r>
            <w:r>
              <w:rPr>
                <w:rFonts w:hint="eastAsia" w:ascii="Times New Roman" w:hAnsi="Times New Roman" w:eastAsia="等线" w:cs="Times New Roman"/>
                <w:color w:val="000000"/>
                <w:kern w:val="0"/>
                <w:sz w:val="22"/>
                <w:lang w:bidi="ar"/>
              </w:rPr>
              <w:t>(2002)</w:t>
            </w:r>
          </w:p>
        </w:tc>
        <w:tc>
          <w:tcPr>
            <w:tcW w:w="1060" w:type="dxa"/>
            <w:tcBorders>
              <w:top w:val="nil"/>
              <w:left w:val="nil"/>
              <w:bottom w:val="nil"/>
              <w:right w:val="nil"/>
            </w:tcBorders>
            <w:shd w:val="clear" w:color="000000" w:fill="FAFAFA"/>
            <w:vAlign w:val="center"/>
          </w:tcPr>
          <w:p w14:paraId="449BE6F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990" w:type="dxa"/>
            <w:tcBorders>
              <w:top w:val="nil"/>
              <w:left w:val="nil"/>
              <w:bottom w:val="nil"/>
              <w:right w:val="nil"/>
            </w:tcBorders>
            <w:shd w:val="clear" w:color="000000" w:fill="FAFAFA"/>
            <w:noWrap/>
            <w:vAlign w:val="center"/>
          </w:tcPr>
          <w:p w14:paraId="2BF767D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High</w:t>
            </w:r>
          </w:p>
        </w:tc>
        <w:tc>
          <w:tcPr>
            <w:tcW w:w="1622" w:type="dxa"/>
            <w:tcBorders>
              <w:top w:val="nil"/>
              <w:left w:val="nil"/>
              <w:bottom w:val="nil"/>
              <w:right w:val="nil"/>
            </w:tcBorders>
            <w:shd w:val="clear" w:color="000000" w:fill="FAFAFA"/>
            <w:vAlign w:val="center"/>
          </w:tcPr>
          <w:p w14:paraId="4D5891F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Interventional study</w:t>
            </w:r>
          </w:p>
        </w:tc>
        <w:tc>
          <w:tcPr>
            <w:tcW w:w="2030" w:type="dxa"/>
            <w:tcBorders>
              <w:top w:val="nil"/>
              <w:left w:val="nil"/>
              <w:bottom w:val="nil"/>
              <w:right w:val="nil"/>
            </w:tcBorders>
            <w:shd w:val="clear" w:color="000000" w:fill="FAFAFA"/>
            <w:vAlign w:val="center"/>
          </w:tcPr>
          <w:p w14:paraId="59E4237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Implement a clinical pathway for bronchiolitis: define diagnostic criteria and treatment plans, monitor usage rates and patient outcomes</w:t>
            </w:r>
          </w:p>
        </w:tc>
        <w:tc>
          <w:tcPr>
            <w:tcW w:w="1170" w:type="dxa"/>
            <w:tcBorders>
              <w:top w:val="nil"/>
              <w:left w:val="nil"/>
              <w:bottom w:val="nil"/>
              <w:right w:val="nil"/>
            </w:tcBorders>
            <w:shd w:val="clear" w:color="000000" w:fill="FAFAFA"/>
            <w:vAlign w:val="center"/>
          </w:tcPr>
          <w:p w14:paraId="203186A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Non - implementation of the bronchiolitis clinical pathway</w:t>
            </w:r>
          </w:p>
        </w:tc>
        <w:tc>
          <w:tcPr>
            <w:tcW w:w="3054" w:type="dxa"/>
            <w:tcBorders>
              <w:top w:val="nil"/>
              <w:left w:val="nil"/>
              <w:bottom w:val="nil"/>
              <w:right w:val="nil"/>
            </w:tcBorders>
            <w:shd w:val="clear" w:color="000000" w:fill="FAFAFA"/>
            <w:vAlign w:val="center"/>
          </w:tcPr>
          <w:p w14:paraId="2707F9F5">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p>
        </w:tc>
        <w:tc>
          <w:tcPr>
            <w:tcW w:w="1248" w:type="dxa"/>
            <w:tcBorders>
              <w:top w:val="nil"/>
              <w:left w:val="nil"/>
              <w:bottom w:val="nil"/>
              <w:right w:val="nil"/>
            </w:tcBorders>
            <w:shd w:val="clear" w:color="000000" w:fill="FAFAFA"/>
            <w:vAlign w:val="center"/>
          </w:tcPr>
          <w:p w14:paraId="780CE97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9/96</w:t>
            </w:r>
          </w:p>
        </w:tc>
        <w:tc>
          <w:tcPr>
            <w:tcW w:w="1014" w:type="dxa"/>
            <w:tcBorders>
              <w:top w:val="nil"/>
              <w:left w:val="nil"/>
              <w:bottom w:val="nil"/>
              <w:right w:val="nil"/>
            </w:tcBorders>
            <w:shd w:val="clear" w:color="000000" w:fill="FAFAFA"/>
            <w:vAlign w:val="center"/>
          </w:tcPr>
          <w:p w14:paraId="2264922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23/85</w:t>
            </w:r>
          </w:p>
        </w:tc>
        <w:tc>
          <w:tcPr>
            <w:tcW w:w="1654" w:type="dxa"/>
            <w:tcBorders>
              <w:top w:val="nil"/>
              <w:left w:val="nil"/>
              <w:bottom w:val="nil"/>
              <w:right w:val="nil"/>
            </w:tcBorders>
            <w:shd w:val="clear" w:color="000000" w:fill="FAFAFA"/>
            <w:vAlign w:val="center"/>
          </w:tcPr>
          <w:p w14:paraId="709D352B">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7B60BC3">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E8F1F5"/>
            <w:vAlign w:val="center"/>
          </w:tcPr>
          <w:p w14:paraId="6A0F3BD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Tay et al.</w:t>
            </w:r>
            <w:r>
              <w:rPr>
                <w:rFonts w:hint="eastAsia" w:ascii="Times New Roman" w:hAnsi="Times New Roman" w:eastAsia="等线" w:cs="Times New Roman"/>
                <w:color w:val="000000"/>
                <w:kern w:val="0"/>
                <w:sz w:val="22"/>
                <w:lang w:bidi="ar"/>
              </w:rPr>
              <w:t>(2019)</w:t>
            </w:r>
          </w:p>
        </w:tc>
        <w:tc>
          <w:tcPr>
            <w:tcW w:w="1060" w:type="dxa"/>
            <w:tcBorders>
              <w:top w:val="nil"/>
              <w:left w:val="nil"/>
              <w:bottom w:val="nil"/>
              <w:right w:val="nil"/>
            </w:tcBorders>
            <w:shd w:val="clear" w:color="000000" w:fill="E8F1F5"/>
            <w:vAlign w:val="center"/>
          </w:tcPr>
          <w:p w14:paraId="65778D1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Malaysia</w:t>
            </w:r>
          </w:p>
        </w:tc>
        <w:tc>
          <w:tcPr>
            <w:tcW w:w="990" w:type="dxa"/>
            <w:tcBorders>
              <w:top w:val="nil"/>
              <w:left w:val="nil"/>
              <w:bottom w:val="nil"/>
              <w:right w:val="nil"/>
            </w:tcBorders>
            <w:shd w:val="clear" w:color="000000" w:fill="E8F1F5"/>
            <w:noWrap/>
            <w:vAlign w:val="center"/>
          </w:tcPr>
          <w:p w14:paraId="366C40A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22" w:type="dxa"/>
            <w:tcBorders>
              <w:top w:val="nil"/>
              <w:left w:val="nil"/>
              <w:bottom w:val="nil"/>
              <w:right w:val="nil"/>
            </w:tcBorders>
            <w:shd w:val="clear" w:color="000000" w:fill="E8F1F5"/>
            <w:vAlign w:val="center"/>
          </w:tcPr>
          <w:p w14:paraId="71F8772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Clinical audit cycle study</w:t>
            </w:r>
          </w:p>
        </w:tc>
        <w:tc>
          <w:tcPr>
            <w:tcW w:w="2030" w:type="dxa"/>
            <w:tcBorders>
              <w:top w:val="nil"/>
              <w:left w:val="nil"/>
              <w:bottom w:val="nil"/>
              <w:right w:val="nil"/>
            </w:tcBorders>
            <w:shd w:val="clear" w:color="000000" w:fill="E8F1F5"/>
            <w:vAlign w:val="center"/>
          </w:tcPr>
          <w:p w14:paraId="6400912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Provide continuing medical education (CME) for healthcare workers, and information leaflets, posters, reminder stickers, and multimedia videos for doctors</w:t>
            </w:r>
          </w:p>
        </w:tc>
        <w:tc>
          <w:tcPr>
            <w:tcW w:w="1170" w:type="dxa"/>
            <w:tcBorders>
              <w:top w:val="nil"/>
              <w:left w:val="nil"/>
              <w:bottom w:val="nil"/>
              <w:right w:val="nil"/>
            </w:tcBorders>
            <w:shd w:val="clear" w:color="000000" w:fill="E8F1F5"/>
            <w:vAlign w:val="center"/>
          </w:tcPr>
          <w:p w14:paraId="04CE3C3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E8F1F5"/>
            <w:vAlign w:val="center"/>
          </w:tcPr>
          <w:p w14:paraId="76E823A0">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Goals</w:t>
            </w:r>
            <w:r>
              <w:rPr>
                <w:rFonts w:ascii="Times New Roman" w:hAnsi="Times New Roman" w:eastAsia="等线" w:cs="Times New Roman"/>
                <w:color w:val="000000"/>
                <w:kern w:val="0"/>
                <w:sz w:val="22"/>
                <w:lang w:bidi="ar"/>
              </w:rPr>
              <w:t xml:space="preserve"> and </w:t>
            </w:r>
            <w:r>
              <w:rPr>
                <w:rFonts w:hint="eastAsia" w:ascii="Times New Roman" w:hAnsi="Times New Roman" w:eastAsia="等线" w:cs="Times New Roman"/>
                <w:color w:val="000000"/>
                <w:kern w:val="0"/>
                <w:sz w:val="22"/>
                <w:lang w:bidi="ar"/>
              </w:rPr>
              <w:t>Planning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F</w:t>
            </w:r>
            <w:r>
              <w:rPr>
                <w:rFonts w:ascii="Times New Roman" w:hAnsi="Times New Roman" w:eastAsia="等线" w:cs="Times New Roman"/>
                <w:color w:val="000000"/>
                <w:kern w:val="0"/>
                <w:sz w:val="22"/>
                <w:lang w:bidi="ar"/>
              </w:rPr>
              <w:t>eedback</w:t>
            </w:r>
            <w:r>
              <w:rPr>
                <w:rFonts w:hint="eastAsia" w:ascii="Times New Roman" w:hAnsi="Times New Roman" w:eastAsia="等线" w:cs="Times New Roman"/>
                <w:color w:val="000000"/>
                <w:kern w:val="0"/>
                <w:sz w:val="22"/>
                <w:lang w:bidi="ar"/>
              </w:rPr>
              <w:t xml:space="preserve">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Antecedents</w:t>
            </w:r>
          </w:p>
        </w:tc>
        <w:tc>
          <w:tcPr>
            <w:tcW w:w="1248" w:type="dxa"/>
            <w:tcBorders>
              <w:top w:val="nil"/>
              <w:left w:val="nil"/>
              <w:bottom w:val="nil"/>
              <w:right w:val="nil"/>
            </w:tcBorders>
            <w:shd w:val="clear" w:color="000000" w:fill="E8F1F5"/>
            <w:vAlign w:val="center"/>
          </w:tcPr>
          <w:p w14:paraId="42ABACA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164/1196</w:t>
            </w:r>
          </w:p>
        </w:tc>
        <w:tc>
          <w:tcPr>
            <w:tcW w:w="1014" w:type="dxa"/>
            <w:tcBorders>
              <w:top w:val="nil"/>
              <w:left w:val="nil"/>
              <w:bottom w:val="nil"/>
              <w:right w:val="nil"/>
            </w:tcBorders>
            <w:shd w:val="clear" w:color="000000" w:fill="E8F1F5"/>
            <w:vAlign w:val="center"/>
          </w:tcPr>
          <w:p w14:paraId="4F0C7D4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388/1334</w:t>
            </w:r>
          </w:p>
        </w:tc>
        <w:tc>
          <w:tcPr>
            <w:tcW w:w="1654" w:type="dxa"/>
            <w:tcBorders>
              <w:top w:val="nil"/>
              <w:left w:val="nil"/>
              <w:bottom w:val="nil"/>
              <w:right w:val="nil"/>
            </w:tcBorders>
            <w:shd w:val="clear" w:color="000000" w:fill="E8F1F5"/>
            <w:vAlign w:val="center"/>
          </w:tcPr>
          <w:p w14:paraId="7D5F590D">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3C6B41F8">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FAFAFA"/>
            <w:noWrap/>
            <w:vAlign w:val="center"/>
          </w:tcPr>
          <w:p w14:paraId="00184F9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Usman et al.</w:t>
            </w:r>
            <w:r>
              <w:rPr>
                <w:rFonts w:hint="eastAsia" w:ascii="Times New Roman" w:hAnsi="Times New Roman" w:eastAsia="等线" w:cs="Times New Roman"/>
                <w:color w:val="000000"/>
                <w:kern w:val="0"/>
                <w:sz w:val="22"/>
                <w:lang w:bidi="ar"/>
              </w:rPr>
              <w:t>(2008)</w:t>
            </w:r>
          </w:p>
        </w:tc>
        <w:tc>
          <w:tcPr>
            <w:tcW w:w="1060" w:type="dxa"/>
            <w:tcBorders>
              <w:top w:val="nil"/>
              <w:left w:val="nil"/>
              <w:bottom w:val="nil"/>
              <w:right w:val="nil"/>
            </w:tcBorders>
            <w:shd w:val="clear" w:color="000000" w:fill="FAFAFA"/>
            <w:noWrap/>
            <w:vAlign w:val="center"/>
          </w:tcPr>
          <w:p w14:paraId="3FB1079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Indonesia</w:t>
            </w:r>
          </w:p>
        </w:tc>
        <w:tc>
          <w:tcPr>
            <w:tcW w:w="990" w:type="dxa"/>
            <w:tcBorders>
              <w:top w:val="nil"/>
              <w:left w:val="nil"/>
              <w:bottom w:val="nil"/>
              <w:right w:val="nil"/>
            </w:tcBorders>
            <w:shd w:val="clear" w:color="000000" w:fill="FAFAFA"/>
            <w:noWrap/>
            <w:vAlign w:val="center"/>
          </w:tcPr>
          <w:p w14:paraId="057D72F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22" w:type="dxa"/>
            <w:tcBorders>
              <w:top w:val="nil"/>
              <w:left w:val="nil"/>
              <w:bottom w:val="nil"/>
              <w:right w:val="nil"/>
            </w:tcBorders>
            <w:shd w:val="clear" w:color="000000" w:fill="FAFAFA"/>
            <w:vAlign w:val="center"/>
          </w:tcPr>
          <w:p w14:paraId="38AF606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intervention study</w:t>
            </w:r>
          </w:p>
        </w:tc>
        <w:tc>
          <w:tcPr>
            <w:tcW w:w="2030" w:type="dxa"/>
            <w:tcBorders>
              <w:top w:val="nil"/>
              <w:left w:val="nil"/>
              <w:bottom w:val="nil"/>
              <w:right w:val="nil"/>
            </w:tcBorders>
            <w:shd w:val="clear" w:color="000000" w:fill="FAFAFA"/>
            <w:vAlign w:val="center"/>
          </w:tcPr>
          <w:p w14:paraId="3B12ACA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Develop guidelines, official announcements, teaching, and refresher courses</w:t>
            </w:r>
          </w:p>
        </w:tc>
        <w:tc>
          <w:tcPr>
            <w:tcW w:w="1170" w:type="dxa"/>
            <w:tcBorders>
              <w:top w:val="nil"/>
              <w:left w:val="nil"/>
              <w:bottom w:val="nil"/>
              <w:right w:val="nil"/>
            </w:tcBorders>
            <w:shd w:val="clear" w:color="000000" w:fill="FAFAFA"/>
            <w:vAlign w:val="center"/>
          </w:tcPr>
          <w:p w14:paraId="567777C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FAFAFA"/>
            <w:vAlign w:val="center"/>
          </w:tcPr>
          <w:p w14:paraId="403C2FEB">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p>
        </w:tc>
        <w:tc>
          <w:tcPr>
            <w:tcW w:w="1248" w:type="dxa"/>
            <w:tcBorders>
              <w:top w:val="nil"/>
              <w:left w:val="nil"/>
              <w:bottom w:val="nil"/>
              <w:right w:val="nil"/>
            </w:tcBorders>
            <w:shd w:val="clear" w:color="000000" w:fill="FAFAFA"/>
            <w:vAlign w:val="center"/>
          </w:tcPr>
          <w:p w14:paraId="60071D8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411/587</w:t>
            </w:r>
          </w:p>
        </w:tc>
        <w:tc>
          <w:tcPr>
            <w:tcW w:w="1014" w:type="dxa"/>
            <w:tcBorders>
              <w:top w:val="nil"/>
              <w:left w:val="nil"/>
              <w:bottom w:val="nil"/>
              <w:right w:val="nil"/>
            </w:tcBorders>
            <w:shd w:val="clear" w:color="000000" w:fill="FAFAFA"/>
            <w:vAlign w:val="center"/>
          </w:tcPr>
          <w:p w14:paraId="0C0528C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187/212</w:t>
            </w:r>
          </w:p>
        </w:tc>
        <w:tc>
          <w:tcPr>
            <w:tcW w:w="1654" w:type="dxa"/>
            <w:tcBorders>
              <w:top w:val="nil"/>
              <w:left w:val="nil"/>
              <w:bottom w:val="nil"/>
              <w:right w:val="nil"/>
            </w:tcBorders>
            <w:shd w:val="clear" w:color="000000" w:fill="FAFAFA"/>
            <w:vAlign w:val="center"/>
          </w:tcPr>
          <w:p w14:paraId="714C6511">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24F0050">
        <w:tblPrEx>
          <w:tblCellMar>
            <w:top w:w="0" w:type="dxa"/>
            <w:left w:w="108" w:type="dxa"/>
            <w:bottom w:w="0" w:type="dxa"/>
            <w:right w:w="108" w:type="dxa"/>
          </w:tblCellMar>
        </w:tblPrEx>
        <w:trPr>
          <w:cantSplit/>
          <w:trHeight w:val="0" w:hRule="atLeast"/>
          <w:jc w:val="center"/>
        </w:trPr>
        <w:tc>
          <w:tcPr>
            <w:tcW w:w="1764" w:type="dxa"/>
            <w:tcBorders>
              <w:top w:val="nil"/>
              <w:left w:val="nil"/>
              <w:bottom w:val="nil"/>
              <w:right w:val="nil"/>
            </w:tcBorders>
            <w:shd w:val="clear" w:color="000000" w:fill="E8F1F5"/>
            <w:vAlign w:val="center"/>
          </w:tcPr>
          <w:p w14:paraId="05953E9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Zongmei al.</w:t>
            </w:r>
            <w:r>
              <w:rPr>
                <w:rFonts w:hint="eastAsia" w:ascii="Times New Roman" w:hAnsi="Times New Roman" w:eastAsia="等线" w:cs="Times New Roman"/>
                <w:color w:val="000000"/>
                <w:kern w:val="0"/>
                <w:sz w:val="22"/>
                <w:lang w:bidi="ar"/>
              </w:rPr>
              <w:t>(2016)</w:t>
            </w:r>
          </w:p>
        </w:tc>
        <w:tc>
          <w:tcPr>
            <w:tcW w:w="1060" w:type="dxa"/>
            <w:tcBorders>
              <w:top w:val="nil"/>
              <w:left w:val="nil"/>
              <w:bottom w:val="nil"/>
              <w:right w:val="nil"/>
            </w:tcBorders>
            <w:shd w:val="clear" w:color="000000" w:fill="E8F1F5"/>
            <w:vAlign w:val="center"/>
          </w:tcPr>
          <w:p w14:paraId="498FB8F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China</w:t>
            </w:r>
          </w:p>
        </w:tc>
        <w:tc>
          <w:tcPr>
            <w:tcW w:w="990" w:type="dxa"/>
            <w:tcBorders>
              <w:top w:val="nil"/>
              <w:left w:val="nil"/>
              <w:bottom w:val="nil"/>
              <w:right w:val="nil"/>
            </w:tcBorders>
            <w:shd w:val="clear" w:color="000000" w:fill="E8F1F5"/>
            <w:noWrap/>
            <w:vAlign w:val="center"/>
          </w:tcPr>
          <w:p w14:paraId="29B6E05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Medium</w:t>
            </w:r>
          </w:p>
        </w:tc>
        <w:tc>
          <w:tcPr>
            <w:tcW w:w="1622" w:type="dxa"/>
            <w:tcBorders>
              <w:top w:val="nil"/>
              <w:left w:val="nil"/>
              <w:bottom w:val="nil"/>
              <w:right w:val="nil"/>
            </w:tcBorders>
            <w:shd w:val="clear" w:color="000000" w:fill="E8F1F5"/>
            <w:vAlign w:val="center"/>
          </w:tcPr>
          <w:p w14:paraId="67C8A3C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controlled intervention study design</w:t>
            </w:r>
          </w:p>
        </w:tc>
        <w:tc>
          <w:tcPr>
            <w:tcW w:w="2030" w:type="dxa"/>
            <w:tcBorders>
              <w:top w:val="nil"/>
              <w:left w:val="nil"/>
              <w:bottom w:val="nil"/>
              <w:right w:val="nil"/>
            </w:tcBorders>
            <w:shd w:val="clear" w:color="000000" w:fill="E8F1F5"/>
            <w:vAlign w:val="center"/>
          </w:tcPr>
          <w:p w14:paraId="173FB1A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Based on the HIS system, the developed system functions such as antibiotic level management, doctor authority management, and consultation process management</w:t>
            </w:r>
          </w:p>
        </w:tc>
        <w:tc>
          <w:tcPr>
            <w:tcW w:w="1170" w:type="dxa"/>
            <w:tcBorders>
              <w:top w:val="nil"/>
              <w:left w:val="nil"/>
              <w:bottom w:val="nil"/>
              <w:right w:val="nil"/>
            </w:tcBorders>
            <w:shd w:val="clear" w:color="000000" w:fill="E8F1F5"/>
            <w:vAlign w:val="center"/>
          </w:tcPr>
          <w:p w14:paraId="0190366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3054" w:type="dxa"/>
            <w:tcBorders>
              <w:top w:val="nil"/>
              <w:left w:val="nil"/>
              <w:bottom w:val="nil"/>
              <w:right w:val="nil"/>
            </w:tcBorders>
            <w:shd w:val="clear" w:color="000000" w:fill="E8F1F5"/>
            <w:vAlign w:val="center"/>
          </w:tcPr>
          <w:p w14:paraId="1482FCBC">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Antecedents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Feedback and monitoring</w:t>
            </w:r>
          </w:p>
        </w:tc>
        <w:tc>
          <w:tcPr>
            <w:tcW w:w="1248" w:type="dxa"/>
            <w:tcBorders>
              <w:top w:val="nil"/>
              <w:left w:val="nil"/>
              <w:bottom w:val="nil"/>
              <w:right w:val="nil"/>
            </w:tcBorders>
            <w:shd w:val="clear" w:color="000000" w:fill="E8F1F5"/>
            <w:vAlign w:val="center"/>
          </w:tcPr>
          <w:p w14:paraId="0026757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186/2914</w:t>
            </w:r>
          </w:p>
        </w:tc>
        <w:tc>
          <w:tcPr>
            <w:tcW w:w="1014" w:type="dxa"/>
            <w:tcBorders>
              <w:top w:val="nil"/>
              <w:left w:val="nil"/>
              <w:bottom w:val="nil"/>
              <w:right w:val="nil"/>
            </w:tcBorders>
            <w:shd w:val="clear" w:color="000000" w:fill="E8F1F5"/>
            <w:vAlign w:val="center"/>
          </w:tcPr>
          <w:p w14:paraId="5E74376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444/3833</w:t>
            </w:r>
          </w:p>
        </w:tc>
        <w:tc>
          <w:tcPr>
            <w:tcW w:w="1654" w:type="dxa"/>
            <w:tcBorders>
              <w:top w:val="nil"/>
              <w:left w:val="nil"/>
              <w:bottom w:val="nil"/>
              <w:right w:val="nil"/>
            </w:tcBorders>
            <w:shd w:val="clear" w:color="000000" w:fill="E8F1F5"/>
            <w:vAlign w:val="center"/>
          </w:tcPr>
          <w:p w14:paraId="6DC098AE">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bl>
    <w:p w14:paraId="3FFEFD31">
      <w:pPr>
        <w:rPr>
          <w:rFonts w:ascii="Times New Roman" w:hAnsi="Times New Roman" w:cs="Times New Roman"/>
          <w:b/>
          <w:bCs/>
          <w:sz w:val="24"/>
          <w:szCs w:val="24"/>
        </w:rPr>
        <w:sectPr>
          <w:pgSz w:w="16838" w:h="11906" w:orient="landscape"/>
          <w:pgMar w:top="1800" w:right="1440" w:bottom="1800" w:left="1440" w:header="851" w:footer="992" w:gutter="0"/>
          <w:cols w:space="425" w:num="1"/>
          <w:docGrid w:type="lines" w:linePitch="312" w:charSpace="0"/>
        </w:sectPr>
      </w:pPr>
    </w:p>
    <w:p w14:paraId="314C3372">
      <w:pPr>
        <w:rPr>
          <w:rFonts w:ascii="Times New Roman" w:hAnsi="Times New Roman" w:cs="Times New Roman"/>
          <w:sz w:val="24"/>
          <w:szCs w:val="24"/>
        </w:rPr>
      </w:pPr>
      <w:r>
        <w:rPr>
          <w:rFonts w:hint="eastAsia" w:ascii="Times New Roman" w:hAnsi="Times New Roman" w:cs="Times New Roman"/>
          <w:b/>
          <w:bCs/>
          <w:sz w:val="24"/>
          <w:szCs w:val="24"/>
        </w:rPr>
        <w:t>Table A11.</w:t>
      </w:r>
      <w:r>
        <w:rPr>
          <w:rFonts w:hint="eastAsia" w:ascii="Times New Roman" w:hAnsi="Times New Roman" w:cs="Times New Roman"/>
          <w:sz w:val="24"/>
          <w:szCs w:val="24"/>
        </w:rPr>
        <w:t xml:space="preserve">The characteristics of quantitative literature analyzing the changes in consumption rates(DDD or DOT </w:t>
      </w:r>
      <w:r>
        <w:rPr>
          <w:rFonts w:ascii="Times New Roman" w:hAnsi="Times New Roman" w:cs="Times New Roman"/>
          <w:sz w:val="24"/>
          <w:szCs w:val="24"/>
        </w:rPr>
        <w:t>per 100 Patient-Days</w:t>
      </w:r>
      <w:r>
        <w:rPr>
          <w:rFonts w:hint="eastAsia" w:ascii="Times New Roman" w:hAnsi="Times New Roman" w:cs="Times New Roman"/>
          <w:sz w:val="24"/>
          <w:szCs w:val="24"/>
        </w:rPr>
        <w:t>) caused by prescription intervention measures for antibacterial drugs</w:t>
      </w:r>
    </w:p>
    <w:tbl>
      <w:tblPr>
        <w:tblStyle w:val="6"/>
        <w:tblW w:w="14806" w:type="dxa"/>
        <w:jc w:val="center"/>
        <w:tblLayout w:type="fixed"/>
        <w:tblCellMar>
          <w:top w:w="0" w:type="dxa"/>
          <w:left w:w="108" w:type="dxa"/>
          <w:bottom w:w="0" w:type="dxa"/>
          <w:right w:w="108" w:type="dxa"/>
        </w:tblCellMar>
      </w:tblPr>
      <w:tblGrid>
        <w:gridCol w:w="909"/>
        <w:gridCol w:w="949"/>
        <w:gridCol w:w="889"/>
        <w:gridCol w:w="1662"/>
        <w:gridCol w:w="1489"/>
        <w:gridCol w:w="970"/>
        <w:gridCol w:w="2681"/>
        <w:gridCol w:w="1245"/>
        <w:gridCol w:w="1194"/>
        <w:gridCol w:w="1195"/>
        <w:gridCol w:w="1623"/>
      </w:tblGrid>
      <w:tr w14:paraId="0D186F73">
        <w:tblPrEx>
          <w:tblCellMar>
            <w:top w:w="0" w:type="dxa"/>
            <w:left w:w="108" w:type="dxa"/>
            <w:bottom w:w="0" w:type="dxa"/>
            <w:right w:w="108" w:type="dxa"/>
          </w:tblCellMar>
        </w:tblPrEx>
        <w:trPr>
          <w:cantSplit/>
          <w:trHeight w:val="0" w:hRule="atLeast"/>
          <w:tblHeader/>
          <w:jc w:val="center"/>
        </w:trPr>
        <w:tc>
          <w:tcPr>
            <w:tcW w:w="909" w:type="dxa"/>
            <w:tcBorders>
              <w:top w:val="nil"/>
              <w:left w:val="nil"/>
              <w:bottom w:val="nil"/>
              <w:right w:val="nil"/>
            </w:tcBorders>
            <w:shd w:val="clear" w:color="000000" w:fill="004A7C"/>
            <w:vAlign w:val="center"/>
          </w:tcPr>
          <w:p w14:paraId="535E5F79">
            <w:pPr>
              <w:widowControl/>
              <w:snapToGrid w:val="0"/>
              <w:jc w:val="center"/>
              <w:textAlignment w:val="center"/>
              <w:rPr>
                <w:rFonts w:ascii="Times New Roman" w:hAnsi="Times New Roman" w:eastAsia="等线" w:cs="Times New Roman"/>
                <w:b/>
                <w:bCs/>
                <w:color w:val="FFFFFF"/>
                <w:sz w:val="22"/>
              </w:rPr>
            </w:pPr>
            <w:r>
              <w:rPr>
                <w:rFonts w:hint="eastAsia" w:ascii="Times New Roman" w:hAnsi="Times New Roman" w:eastAsia="等线" w:cs="Times New Roman"/>
                <w:b/>
                <w:bCs/>
                <w:color w:val="FFFFFF"/>
                <w:kern w:val="0"/>
                <w:sz w:val="22"/>
                <w:lang w:bidi="ar"/>
              </w:rPr>
              <w:t>Study</w:t>
            </w:r>
          </w:p>
        </w:tc>
        <w:tc>
          <w:tcPr>
            <w:tcW w:w="949" w:type="dxa"/>
            <w:tcBorders>
              <w:top w:val="nil"/>
              <w:left w:val="nil"/>
              <w:bottom w:val="nil"/>
              <w:right w:val="nil"/>
            </w:tcBorders>
            <w:shd w:val="clear" w:color="000000" w:fill="004A7C"/>
            <w:vAlign w:val="center"/>
          </w:tcPr>
          <w:p w14:paraId="66819499">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Country</w:t>
            </w:r>
          </w:p>
        </w:tc>
        <w:tc>
          <w:tcPr>
            <w:tcW w:w="889" w:type="dxa"/>
            <w:tcBorders>
              <w:top w:val="nil"/>
              <w:left w:val="nil"/>
              <w:bottom w:val="nil"/>
              <w:right w:val="nil"/>
            </w:tcBorders>
            <w:shd w:val="clear" w:color="000000" w:fill="004A7C"/>
            <w:vAlign w:val="center"/>
          </w:tcPr>
          <w:p w14:paraId="142EA426">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National Income Level</w:t>
            </w:r>
          </w:p>
        </w:tc>
        <w:tc>
          <w:tcPr>
            <w:tcW w:w="1662" w:type="dxa"/>
            <w:tcBorders>
              <w:top w:val="nil"/>
              <w:left w:val="nil"/>
              <w:bottom w:val="nil"/>
              <w:right w:val="nil"/>
            </w:tcBorders>
            <w:shd w:val="clear" w:color="000000" w:fill="004A7C"/>
            <w:vAlign w:val="center"/>
          </w:tcPr>
          <w:p w14:paraId="5C5C153A">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Study Design</w:t>
            </w:r>
          </w:p>
        </w:tc>
        <w:tc>
          <w:tcPr>
            <w:tcW w:w="1489" w:type="dxa"/>
            <w:tcBorders>
              <w:top w:val="nil"/>
              <w:left w:val="nil"/>
              <w:bottom w:val="nil"/>
              <w:right w:val="nil"/>
            </w:tcBorders>
            <w:shd w:val="clear" w:color="000000" w:fill="004A7C"/>
            <w:vAlign w:val="center"/>
          </w:tcPr>
          <w:p w14:paraId="53A74097">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Intervention Measures</w:t>
            </w:r>
          </w:p>
        </w:tc>
        <w:tc>
          <w:tcPr>
            <w:tcW w:w="970" w:type="dxa"/>
            <w:tcBorders>
              <w:top w:val="nil"/>
              <w:left w:val="nil"/>
              <w:bottom w:val="nil"/>
              <w:right w:val="nil"/>
            </w:tcBorders>
            <w:shd w:val="clear" w:color="000000" w:fill="004A7C"/>
            <w:vAlign w:val="center"/>
          </w:tcPr>
          <w:p w14:paraId="5265B79F">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Control Group Measures</w:t>
            </w:r>
          </w:p>
        </w:tc>
        <w:tc>
          <w:tcPr>
            <w:tcW w:w="2681" w:type="dxa"/>
            <w:tcBorders>
              <w:top w:val="nil"/>
              <w:left w:val="nil"/>
              <w:bottom w:val="nil"/>
              <w:right w:val="nil"/>
            </w:tcBorders>
            <w:shd w:val="clear" w:color="000000" w:fill="004A7C"/>
            <w:vAlign w:val="center"/>
          </w:tcPr>
          <w:p w14:paraId="234235A4">
            <w:pPr>
              <w:widowControl/>
              <w:snapToGrid w:val="0"/>
              <w:jc w:val="center"/>
              <w:textAlignment w:val="center"/>
              <w:rPr>
                <w:rFonts w:ascii="Times New Roman" w:hAnsi="Times New Roman" w:eastAsia="等线" w:cs="Times New Roman"/>
                <w:b/>
                <w:bCs/>
                <w:color w:val="FFFFFF"/>
                <w:sz w:val="22"/>
              </w:rPr>
            </w:pPr>
            <w:r>
              <w:rPr>
                <w:rFonts w:hint="eastAsia" w:ascii="Times New Roman" w:hAnsi="Times New Roman" w:eastAsia="等线" w:cs="Times New Roman"/>
                <w:b/>
                <w:bCs/>
                <w:color w:val="FFFFFF"/>
                <w:kern w:val="0"/>
                <w:sz w:val="22"/>
                <w:lang w:bidi="ar"/>
              </w:rPr>
              <w:t>Behavior Change Technology(BCT)</w:t>
            </w:r>
            <w:r>
              <w:rPr>
                <w:rFonts w:ascii="Times New Roman" w:hAnsi="Times New Roman" w:eastAsia="等线" w:cs="Times New Roman"/>
                <w:b/>
                <w:bCs/>
                <w:color w:val="FFFFFF"/>
                <w:kern w:val="0"/>
                <w:sz w:val="22"/>
                <w:lang w:bidi="ar"/>
              </w:rPr>
              <w:t>Classification</w:t>
            </w:r>
          </w:p>
        </w:tc>
        <w:tc>
          <w:tcPr>
            <w:tcW w:w="1245" w:type="dxa"/>
            <w:tcBorders>
              <w:top w:val="nil"/>
              <w:left w:val="nil"/>
              <w:bottom w:val="nil"/>
              <w:right w:val="nil"/>
            </w:tcBorders>
            <w:shd w:val="clear" w:color="000000" w:fill="004A7C"/>
            <w:vAlign w:val="center"/>
          </w:tcPr>
          <w:p w14:paraId="3E10971D">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Outcome Indicator (per 1000 patient-days)</w:t>
            </w:r>
          </w:p>
        </w:tc>
        <w:tc>
          <w:tcPr>
            <w:tcW w:w="1194" w:type="dxa"/>
            <w:tcBorders>
              <w:top w:val="nil"/>
              <w:left w:val="nil"/>
              <w:bottom w:val="nil"/>
              <w:right w:val="nil"/>
            </w:tcBorders>
            <w:shd w:val="clear" w:color="000000" w:fill="004A7C"/>
            <w:vAlign w:val="center"/>
          </w:tcPr>
          <w:p w14:paraId="1D8218C4">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After Intervention</w:t>
            </w:r>
          </w:p>
        </w:tc>
        <w:tc>
          <w:tcPr>
            <w:tcW w:w="1195" w:type="dxa"/>
            <w:tcBorders>
              <w:top w:val="nil"/>
              <w:left w:val="nil"/>
              <w:bottom w:val="nil"/>
              <w:right w:val="nil"/>
            </w:tcBorders>
            <w:shd w:val="clear" w:color="000000" w:fill="004A7C"/>
            <w:vAlign w:val="center"/>
          </w:tcPr>
          <w:p w14:paraId="22FCD9E4">
            <w:pPr>
              <w:widowControl/>
              <w:snapToGrid w:val="0"/>
              <w:jc w:val="center"/>
              <w:textAlignment w:val="center"/>
              <w:rPr>
                <w:rFonts w:ascii="Times New Roman" w:hAnsi="Times New Roman" w:eastAsia="等线" w:cs="Times New Roman"/>
                <w:b/>
                <w:bCs/>
                <w:color w:val="FFFFFF"/>
                <w:sz w:val="22"/>
              </w:rPr>
            </w:pPr>
            <w:r>
              <w:rPr>
                <w:rFonts w:ascii="Times New Roman" w:hAnsi="Times New Roman" w:eastAsia="等线" w:cs="Times New Roman"/>
                <w:b/>
                <w:bCs/>
                <w:color w:val="FFFFFF"/>
                <w:kern w:val="0"/>
                <w:sz w:val="22"/>
                <w:lang w:bidi="ar"/>
              </w:rPr>
              <w:t>Before Intervention</w:t>
            </w:r>
          </w:p>
        </w:tc>
        <w:tc>
          <w:tcPr>
            <w:tcW w:w="1623" w:type="dxa"/>
            <w:tcBorders>
              <w:top w:val="nil"/>
              <w:left w:val="nil"/>
              <w:bottom w:val="nil"/>
              <w:right w:val="nil"/>
            </w:tcBorders>
            <w:shd w:val="clear" w:color="000000" w:fill="004A7C"/>
            <w:vAlign w:val="center"/>
          </w:tcPr>
          <w:p w14:paraId="79A07CD5">
            <w:pPr>
              <w:widowControl/>
              <w:snapToGrid w:val="0"/>
              <w:jc w:val="center"/>
              <w:textAlignment w:val="center"/>
              <w:rPr>
                <w:rFonts w:ascii="Times New Roman" w:hAnsi="Times New Roman" w:eastAsia="等线" w:cs="Times New Roman"/>
                <w:b/>
                <w:bCs/>
                <w:color w:val="FFFFFF"/>
                <w:kern w:val="0"/>
                <w:sz w:val="22"/>
                <w:lang w:bidi="ar"/>
              </w:rPr>
            </w:pPr>
            <w:r>
              <w:rPr>
                <w:rFonts w:hint="eastAsia" w:ascii="Times New Roman" w:hAnsi="Times New Roman" w:eastAsia="等线" w:cs="Times New Roman"/>
                <w:b/>
                <w:bCs/>
                <w:color w:val="FFFFFF"/>
                <w:kern w:val="0"/>
                <w:sz w:val="22"/>
                <w:lang w:bidi="ar"/>
              </w:rPr>
              <w:t>AMS Infrastructure/Support</w:t>
            </w:r>
          </w:p>
        </w:tc>
      </w:tr>
      <w:tr w14:paraId="12DDD4FF">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FAFAFA"/>
            <w:vAlign w:val="center"/>
          </w:tcPr>
          <w:p w14:paraId="7F9A1D4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Carol Dukes Hamilton et al.</w:t>
            </w:r>
            <w:r>
              <w:rPr>
                <w:rFonts w:hint="eastAsia" w:ascii="Times New Roman" w:hAnsi="Times New Roman" w:eastAsia="等线" w:cs="Times New Roman"/>
                <w:color w:val="000000"/>
                <w:kern w:val="0"/>
                <w:sz w:val="22"/>
                <w:lang w:bidi="ar"/>
              </w:rPr>
              <w:t>(2000)</w:t>
            </w:r>
          </w:p>
        </w:tc>
        <w:tc>
          <w:tcPr>
            <w:tcW w:w="949" w:type="dxa"/>
            <w:tcBorders>
              <w:top w:val="nil"/>
              <w:left w:val="nil"/>
              <w:bottom w:val="nil"/>
              <w:right w:val="nil"/>
            </w:tcBorders>
            <w:shd w:val="clear" w:color="000000" w:fill="FAFAFA"/>
            <w:noWrap/>
            <w:vAlign w:val="center"/>
          </w:tcPr>
          <w:p w14:paraId="5662BA2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889" w:type="dxa"/>
            <w:tcBorders>
              <w:top w:val="nil"/>
              <w:left w:val="nil"/>
              <w:bottom w:val="nil"/>
              <w:right w:val="nil"/>
            </w:tcBorders>
            <w:shd w:val="clear" w:color="000000" w:fill="FAFAFA"/>
            <w:vAlign w:val="center"/>
          </w:tcPr>
          <w:p w14:paraId="248C90B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HICs</w:t>
            </w:r>
          </w:p>
        </w:tc>
        <w:tc>
          <w:tcPr>
            <w:tcW w:w="1662" w:type="dxa"/>
            <w:tcBorders>
              <w:top w:val="nil"/>
              <w:left w:val="nil"/>
              <w:bottom w:val="nil"/>
              <w:right w:val="nil"/>
            </w:tcBorders>
            <w:shd w:val="clear" w:color="000000" w:fill="FAFAFA"/>
            <w:vAlign w:val="center"/>
          </w:tcPr>
          <w:p w14:paraId="3F994DF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 - after comparison</w:t>
            </w:r>
          </w:p>
        </w:tc>
        <w:tc>
          <w:tcPr>
            <w:tcW w:w="1489" w:type="dxa"/>
            <w:tcBorders>
              <w:top w:val="nil"/>
              <w:left w:val="nil"/>
              <w:bottom w:val="nil"/>
              <w:right w:val="nil"/>
            </w:tcBorders>
            <w:shd w:val="clear" w:color="000000" w:fill="FAFAFA"/>
            <w:vAlign w:val="center"/>
          </w:tcPr>
          <w:p w14:paraId="7750FC7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Training and guidelines</w:t>
            </w:r>
          </w:p>
        </w:tc>
        <w:tc>
          <w:tcPr>
            <w:tcW w:w="970" w:type="dxa"/>
            <w:tcBorders>
              <w:top w:val="nil"/>
              <w:left w:val="nil"/>
              <w:bottom w:val="nil"/>
              <w:right w:val="nil"/>
            </w:tcBorders>
            <w:shd w:val="clear" w:color="000000" w:fill="FAFAFA"/>
            <w:vAlign w:val="center"/>
          </w:tcPr>
          <w:p w14:paraId="78F2EF4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FAFAFA"/>
            <w:vAlign w:val="center"/>
          </w:tcPr>
          <w:p w14:paraId="1AD21C2F">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p>
        </w:tc>
        <w:tc>
          <w:tcPr>
            <w:tcW w:w="1245" w:type="dxa"/>
            <w:tcBorders>
              <w:top w:val="nil"/>
              <w:left w:val="nil"/>
              <w:bottom w:val="nil"/>
              <w:right w:val="nil"/>
            </w:tcBorders>
            <w:shd w:val="clear" w:color="000000" w:fill="FAFAFA"/>
            <w:vAlign w:val="center"/>
          </w:tcPr>
          <w:p w14:paraId="0990032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FAFAFA"/>
            <w:vAlign w:val="center"/>
          </w:tcPr>
          <w:p w14:paraId="74D4CA7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70.8</w:t>
            </w:r>
          </w:p>
        </w:tc>
        <w:tc>
          <w:tcPr>
            <w:tcW w:w="1195" w:type="dxa"/>
            <w:tcBorders>
              <w:top w:val="nil"/>
              <w:left w:val="nil"/>
              <w:bottom w:val="nil"/>
              <w:right w:val="nil"/>
            </w:tcBorders>
            <w:shd w:val="clear" w:color="000000" w:fill="FAFAFA"/>
            <w:vAlign w:val="center"/>
          </w:tcPr>
          <w:p w14:paraId="22687AB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96.9</w:t>
            </w:r>
          </w:p>
        </w:tc>
        <w:tc>
          <w:tcPr>
            <w:tcW w:w="1623" w:type="dxa"/>
            <w:tcBorders>
              <w:top w:val="nil"/>
              <w:left w:val="nil"/>
              <w:bottom w:val="nil"/>
              <w:right w:val="nil"/>
            </w:tcBorders>
            <w:shd w:val="clear" w:color="000000" w:fill="FAFAFA"/>
            <w:vAlign w:val="center"/>
          </w:tcPr>
          <w:p w14:paraId="63D96E10">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77EDC82E">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E8F1F5"/>
            <w:vAlign w:val="center"/>
          </w:tcPr>
          <w:p w14:paraId="246857B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Choe et al.</w:t>
            </w:r>
            <w:r>
              <w:rPr>
                <w:rFonts w:hint="eastAsia" w:ascii="Times New Roman" w:hAnsi="Times New Roman" w:eastAsia="等线" w:cs="Times New Roman"/>
                <w:color w:val="000000"/>
                <w:kern w:val="0"/>
                <w:sz w:val="22"/>
                <w:lang w:bidi="ar"/>
              </w:rPr>
              <w:t>(2018)</w:t>
            </w:r>
          </w:p>
        </w:tc>
        <w:tc>
          <w:tcPr>
            <w:tcW w:w="949" w:type="dxa"/>
            <w:tcBorders>
              <w:top w:val="nil"/>
              <w:left w:val="nil"/>
              <w:bottom w:val="nil"/>
              <w:right w:val="nil"/>
            </w:tcBorders>
            <w:shd w:val="clear" w:color="000000" w:fill="E8F1F5"/>
            <w:vAlign w:val="center"/>
          </w:tcPr>
          <w:p w14:paraId="51F9C8B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South Korea</w:t>
            </w:r>
          </w:p>
        </w:tc>
        <w:tc>
          <w:tcPr>
            <w:tcW w:w="889" w:type="dxa"/>
            <w:tcBorders>
              <w:top w:val="nil"/>
              <w:left w:val="nil"/>
              <w:bottom w:val="nil"/>
              <w:right w:val="nil"/>
            </w:tcBorders>
            <w:shd w:val="clear" w:color="000000" w:fill="E8F1F5"/>
            <w:vAlign w:val="center"/>
          </w:tcPr>
          <w:p w14:paraId="769702E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HICs</w:t>
            </w:r>
          </w:p>
        </w:tc>
        <w:tc>
          <w:tcPr>
            <w:tcW w:w="1662" w:type="dxa"/>
            <w:tcBorders>
              <w:top w:val="nil"/>
              <w:left w:val="nil"/>
              <w:bottom w:val="nil"/>
              <w:right w:val="nil"/>
            </w:tcBorders>
            <w:shd w:val="clear" w:color="000000" w:fill="E8F1F5"/>
            <w:vAlign w:val="center"/>
          </w:tcPr>
          <w:p w14:paraId="1A56541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Quasi-experimental study</w:t>
            </w:r>
          </w:p>
        </w:tc>
        <w:tc>
          <w:tcPr>
            <w:tcW w:w="1489" w:type="dxa"/>
            <w:tcBorders>
              <w:top w:val="nil"/>
              <w:left w:val="nil"/>
              <w:bottom w:val="nil"/>
              <w:right w:val="nil"/>
            </w:tcBorders>
            <w:shd w:val="clear" w:color="000000" w:fill="E8F1F5"/>
            <w:vAlign w:val="center"/>
          </w:tcPr>
          <w:p w14:paraId="7CE5EFC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Pharmacist intervention</w:t>
            </w:r>
          </w:p>
        </w:tc>
        <w:tc>
          <w:tcPr>
            <w:tcW w:w="970" w:type="dxa"/>
            <w:tcBorders>
              <w:top w:val="nil"/>
              <w:left w:val="nil"/>
              <w:bottom w:val="nil"/>
              <w:right w:val="nil"/>
            </w:tcBorders>
            <w:shd w:val="clear" w:color="000000" w:fill="E8F1F5"/>
            <w:vAlign w:val="center"/>
          </w:tcPr>
          <w:p w14:paraId="1C2C2F7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E8F1F5"/>
            <w:vAlign w:val="center"/>
          </w:tcPr>
          <w:p w14:paraId="6626767F">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Natural consequences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Antecedents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p>
        </w:tc>
        <w:tc>
          <w:tcPr>
            <w:tcW w:w="1245" w:type="dxa"/>
            <w:tcBorders>
              <w:top w:val="nil"/>
              <w:left w:val="nil"/>
              <w:bottom w:val="nil"/>
              <w:right w:val="nil"/>
            </w:tcBorders>
            <w:shd w:val="clear" w:color="000000" w:fill="E8F1F5"/>
            <w:vAlign w:val="center"/>
          </w:tcPr>
          <w:p w14:paraId="6C9CC6C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E8F1F5"/>
            <w:vAlign w:val="center"/>
          </w:tcPr>
          <w:p w14:paraId="55833FB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32.1</w:t>
            </w:r>
          </w:p>
        </w:tc>
        <w:tc>
          <w:tcPr>
            <w:tcW w:w="1195" w:type="dxa"/>
            <w:tcBorders>
              <w:top w:val="nil"/>
              <w:left w:val="nil"/>
              <w:bottom w:val="nil"/>
              <w:right w:val="nil"/>
            </w:tcBorders>
            <w:shd w:val="clear" w:color="000000" w:fill="E8F1F5"/>
            <w:vAlign w:val="center"/>
          </w:tcPr>
          <w:p w14:paraId="27307E4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37.6</w:t>
            </w:r>
          </w:p>
        </w:tc>
        <w:tc>
          <w:tcPr>
            <w:tcW w:w="1623" w:type="dxa"/>
            <w:tcBorders>
              <w:top w:val="nil"/>
              <w:left w:val="nil"/>
              <w:bottom w:val="nil"/>
              <w:right w:val="nil"/>
            </w:tcBorders>
            <w:shd w:val="clear" w:color="000000" w:fill="E8F1F5"/>
            <w:vAlign w:val="center"/>
          </w:tcPr>
          <w:p w14:paraId="30833AF8">
            <w:pPr>
              <w:widowControl/>
              <w:snapToGrid w:val="0"/>
              <w:jc w:val="center"/>
              <w:textAlignment w:val="center"/>
              <w:rPr>
                <w:rFonts w:hint="default" w:ascii="Times New Roman" w:hAnsi="Times New Roman" w:eastAsia="等线" w:cs="Times New Roman"/>
                <w:color w:val="000000"/>
                <w:kern w:val="0"/>
                <w:sz w:val="22"/>
                <w:lang w:bidi="ar"/>
              </w:rPr>
            </w:pPr>
            <w:r>
              <w:rPr>
                <w:rFonts w:hint="default" w:ascii="Times New Roman" w:hAnsi="Times New Roman" w:eastAsia="等线" w:cs="Times New Roman"/>
                <w:color w:val="000000"/>
                <w:kern w:val="0"/>
                <w:sz w:val="22"/>
                <w:szCs w:val="21"/>
                <w:lang w:bidi="ar"/>
              </w:rPr>
              <w:t>Yes</w:t>
            </w:r>
          </w:p>
        </w:tc>
      </w:tr>
      <w:tr w14:paraId="6FFD634E">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FAFAFA"/>
            <w:vAlign w:val="center"/>
          </w:tcPr>
          <w:p w14:paraId="133D984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Hamdy et al.</w:t>
            </w:r>
            <w:r>
              <w:rPr>
                <w:rFonts w:hint="eastAsia" w:ascii="Times New Roman" w:hAnsi="Times New Roman" w:eastAsia="等线" w:cs="Times New Roman"/>
                <w:color w:val="000000"/>
                <w:kern w:val="0"/>
                <w:sz w:val="22"/>
                <w:lang w:bidi="ar"/>
              </w:rPr>
              <w:t>(2020)</w:t>
            </w:r>
          </w:p>
        </w:tc>
        <w:tc>
          <w:tcPr>
            <w:tcW w:w="949" w:type="dxa"/>
            <w:tcBorders>
              <w:top w:val="nil"/>
              <w:left w:val="nil"/>
              <w:bottom w:val="nil"/>
              <w:right w:val="nil"/>
            </w:tcBorders>
            <w:shd w:val="clear" w:color="000000" w:fill="FAFAFA"/>
            <w:vAlign w:val="center"/>
          </w:tcPr>
          <w:p w14:paraId="3D07602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889" w:type="dxa"/>
            <w:tcBorders>
              <w:top w:val="nil"/>
              <w:left w:val="nil"/>
              <w:bottom w:val="nil"/>
              <w:right w:val="nil"/>
            </w:tcBorders>
            <w:shd w:val="clear" w:color="000000" w:fill="FAFAFA"/>
            <w:vAlign w:val="center"/>
          </w:tcPr>
          <w:p w14:paraId="5F000D1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HICs</w:t>
            </w:r>
          </w:p>
        </w:tc>
        <w:tc>
          <w:tcPr>
            <w:tcW w:w="1662" w:type="dxa"/>
            <w:tcBorders>
              <w:top w:val="nil"/>
              <w:left w:val="nil"/>
              <w:bottom w:val="nil"/>
              <w:right w:val="nil"/>
            </w:tcBorders>
            <w:shd w:val="clear" w:color="000000" w:fill="FAFAFA"/>
            <w:vAlign w:val="center"/>
          </w:tcPr>
          <w:p w14:paraId="2002CDD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single-center quality improvement project</w:t>
            </w:r>
          </w:p>
        </w:tc>
        <w:tc>
          <w:tcPr>
            <w:tcW w:w="1489" w:type="dxa"/>
            <w:tcBorders>
              <w:top w:val="nil"/>
              <w:left w:val="nil"/>
              <w:bottom w:val="nil"/>
              <w:right w:val="nil"/>
            </w:tcBorders>
            <w:shd w:val="clear" w:color="000000" w:fill="FAFAFA"/>
            <w:vAlign w:val="center"/>
          </w:tcPr>
          <w:p w14:paraId="269EE06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Policy implementation</w:t>
            </w:r>
          </w:p>
        </w:tc>
        <w:tc>
          <w:tcPr>
            <w:tcW w:w="970" w:type="dxa"/>
            <w:tcBorders>
              <w:top w:val="nil"/>
              <w:left w:val="nil"/>
              <w:bottom w:val="nil"/>
              <w:right w:val="nil"/>
            </w:tcBorders>
            <w:shd w:val="clear" w:color="000000" w:fill="FAFAFA"/>
            <w:vAlign w:val="center"/>
          </w:tcPr>
          <w:p w14:paraId="3813DDE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FAFAFA"/>
            <w:vAlign w:val="center"/>
          </w:tcPr>
          <w:p w14:paraId="6D35DFB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 xml:space="preserve">Outcome comparison, </w:t>
            </w: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nowledge</w:t>
            </w:r>
          </w:p>
        </w:tc>
        <w:tc>
          <w:tcPr>
            <w:tcW w:w="1245" w:type="dxa"/>
            <w:tcBorders>
              <w:top w:val="nil"/>
              <w:left w:val="nil"/>
              <w:bottom w:val="nil"/>
              <w:right w:val="nil"/>
            </w:tcBorders>
            <w:shd w:val="clear" w:color="000000" w:fill="FAFAFA"/>
            <w:vAlign w:val="center"/>
          </w:tcPr>
          <w:p w14:paraId="46D4F4D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DOT</w:t>
            </w:r>
          </w:p>
        </w:tc>
        <w:tc>
          <w:tcPr>
            <w:tcW w:w="1194" w:type="dxa"/>
            <w:tcBorders>
              <w:top w:val="nil"/>
              <w:left w:val="nil"/>
              <w:bottom w:val="nil"/>
              <w:right w:val="nil"/>
            </w:tcBorders>
            <w:shd w:val="clear" w:color="000000" w:fill="FAFAFA"/>
            <w:vAlign w:val="center"/>
          </w:tcPr>
          <w:p w14:paraId="72C1586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38</w:t>
            </w:r>
          </w:p>
        </w:tc>
        <w:tc>
          <w:tcPr>
            <w:tcW w:w="1195" w:type="dxa"/>
            <w:tcBorders>
              <w:top w:val="nil"/>
              <w:left w:val="nil"/>
              <w:bottom w:val="nil"/>
              <w:right w:val="nil"/>
            </w:tcBorders>
            <w:shd w:val="clear" w:color="000000" w:fill="FAFAFA"/>
            <w:vAlign w:val="center"/>
          </w:tcPr>
          <w:p w14:paraId="7E6A77F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112</w:t>
            </w:r>
          </w:p>
        </w:tc>
        <w:tc>
          <w:tcPr>
            <w:tcW w:w="1623" w:type="dxa"/>
            <w:tcBorders>
              <w:top w:val="nil"/>
              <w:left w:val="nil"/>
              <w:bottom w:val="nil"/>
              <w:right w:val="nil"/>
            </w:tcBorders>
            <w:shd w:val="clear" w:color="000000" w:fill="FAFAFA"/>
            <w:vAlign w:val="center"/>
          </w:tcPr>
          <w:p w14:paraId="6A0972F0">
            <w:pPr>
              <w:widowControl/>
              <w:snapToGrid w:val="0"/>
              <w:jc w:val="center"/>
              <w:textAlignment w:val="center"/>
              <w:rPr>
                <w:rFonts w:hint="default" w:ascii="Times New Roman" w:hAnsi="Times New Roman" w:eastAsia="等线" w:cs="Times New Roman"/>
                <w:color w:val="000000"/>
                <w:kern w:val="0"/>
                <w:sz w:val="22"/>
                <w:lang w:bidi="ar"/>
              </w:rPr>
            </w:pPr>
            <w:r>
              <w:rPr>
                <w:rFonts w:hint="default" w:ascii="Times New Roman" w:hAnsi="Times New Roman" w:eastAsia="等线" w:cs="Times New Roman"/>
                <w:color w:val="000000"/>
                <w:kern w:val="0"/>
                <w:sz w:val="22"/>
                <w:szCs w:val="21"/>
                <w:lang w:bidi="ar"/>
              </w:rPr>
              <w:t>Yes</w:t>
            </w:r>
          </w:p>
        </w:tc>
      </w:tr>
      <w:tr w14:paraId="47B8561B">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E8F1F5"/>
            <w:vAlign w:val="center"/>
          </w:tcPr>
          <w:p w14:paraId="248F9C1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Hurst et al</w:t>
            </w:r>
            <w:r>
              <w:rPr>
                <w:rFonts w:hint="eastAsia" w:ascii="Times New Roman" w:hAnsi="Times New Roman" w:eastAsia="等线" w:cs="Times New Roman"/>
                <w:color w:val="000000"/>
                <w:kern w:val="0"/>
                <w:sz w:val="22"/>
                <w:lang w:bidi="ar"/>
              </w:rPr>
              <w:t>.(2016)</w:t>
            </w:r>
          </w:p>
        </w:tc>
        <w:tc>
          <w:tcPr>
            <w:tcW w:w="949" w:type="dxa"/>
            <w:tcBorders>
              <w:top w:val="nil"/>
              <w:left w:val="nil"/>
              <w:bottom w:val="nil"/>
              <w:right w:val="nil"/>
            </w:tcBorders>
            <w:shd w:val="clear" w:color="000000" w:fill="E8F1F5"/>
            <w:vAlign w:val="center"/>
          </w:tcPr>
          <w:p w14:paraId="3463FE6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USA</w:t>
            </w:r>
          </w:p>
        </w:tc>
        <w:tc>
          <w:tcPr>
            <w:tcW w:w="889" w:type="dxa"/>
            <w:tcBorders>
              <w:top w:val="nil"/>
              <w:left w:val="nil"/>
              <w:bottom w:val="nil"/>
              <w:right w:val="nil"/>
            </w:tcBorders>
            <w:shd w:val="clear" w:color="000000" w:fill="E8F1F5"/>
            <w:vAlign w:val="center"/>
          </w:tcPr>
          <w:p w14:paraId="7B23FD1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HICs</w:t>
            </w:r>
          </w:p>
        </w:tc>
        <w:tc>
          <w:tcPr>
            <w:tcW w:w="1662" w:type="dxa"/>
            <w:tcBorders>
              <w:top w:val="nil"/>
              <w:left w:val="nil"/>
              <w:bottom w:val="nil"/>
              <w:right w:val="nil"/>
            </w:tcBorders>
            <w:shd w:val="clear" w:color="000000" w:fill="E8F1F5"/>
            <w:vAlign w:val="center"/>
          </w:tcPr>
          <w:p w14:paraId="2EB1AB0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Retrospective study design</w:t>
            </w:r>
          </w:p>
        </w:tc>
        <w:tc>
          <w:tcPr>
            <w:tcW w:w="1489" w:type="dxa"/>
            <w:tcBorders>
              <w:top w:val="nil"/>
              <w:left w:val="nil"/>
              <w:bottom w:val="nil"/>
              <w:right w:val="nil"/>
            </w:tcBorders>
            <w:shd w:val="clear" w:color="000000" w:fill="E8F1F5"/>
            <w:vAlign w:val="center"/>
          </w:tcPr>
          <w:p w14:paraId="70FC256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Review and feedback</w:t>
            </w:r>
          </w:p>
        </w:tc>
        <w:tc>
          <w:tcPr>
            <w:tcW w:w="970" w:type="dxa"/>
            <w:tcBorders>
              <w:top w:val="nil"/>
              <w:left w:val="nil"/>
              <w:bottom w:val="nil"/>
              <w:right w:val="nil"/>
            </w:tcBorders>
            <w:shd w:val="clear" w:color="000000" w:fill="E8F1F5"/>
            <w:vAlign w:val="center"/>
          </w:tcPr>
          <w:p w14:paraId="1433E12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E8F1F5"/>
            <w:vAlign w:val="center"/>
          </w:tcPr>
          <w:p w14:paraId="255124AE">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Feedback and monitoring</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Goals and Planning</w:t>
            </w:r>
          </w:p>
        </w:tc>
        <w:tc>
          <w:tcPr>
            <w:tcW w:w="1245" w:type="dxa"/>
            <w:tcBorders>
              <w:top w:val="nil"/>
              <w:left w:val="nil"/>
              <w:bottom w:val="nil"/>
              <w:right w:val="nil"/>
            </w:tcBorders>
            <w:shd w:val="clear" w:color="000000" w:fill="E8F1F5"/>
            <w:vAlign w:val="center"/>
          </w:tcPr>
          <w:p w14:paraId="34F8F1B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DOT</w:t>
            </w:r>
          </w:p>
        </w:tc>
        <w:tc>
          <w:tcPr>
            <w:tcW w:w="1194" w:type="dxa"/>
            <w:tcBorders>
              <w:top w:val="nil"/>
              <w:left w:val="nil"/>
              <w:bottom w:val="nil"/>
              <w:right w:val="nil"/>
            </w:tcBorders>
            <w:shd w:val="clear" w:color="000000" w:fill="E8F1F5"/>
            <w:vAlign w:val="center"/>
          </w:tcPr>
          <w:p w14:paraId="4D5CDBE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839</w:t>
            </w:r>
          </w:p>
        </w:tc>
        <w:tc>
          <w:tcPr>
            <w:tcW w:w="1195" w:type="dxa"/>
            <w:tcBorders>
              <w:top w:val="nil"/>
              <w:left w:val="nil"/>
              <w:bottom w:val="nil"/>
              <w:right w:val="nil"/>
            </w:tcBorders>
            <w:shd w:val="clear" w:color="000000" w:fill="E8F1F5"/>
            <w:vAlign w:val="center"/>
          </w:tcPr>
          <w:p w14:paraId="7E6D2D7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942</w:t>
            </w:r>
          </w:p>
        </w:tc>
        <w:tc>
          <w:tcPr>
            <w:tcW w:w="1623" w:type="dxa"/>
            <w:tcBorders>
              <w:top w:val="nil"/>
              <w:left w:val="nil"/>
              <w:bottom w:val="nil"/>
              <w:right w:val="nil"/>
            </w:tcBorders>
            <w:shd w:val="clear" w:color="000000" w:fill="E8F1F5"/>
            <w:vAlign w:val="center"/>
          </w:tcPr>
          <w:p w14:paraId="319FE62D">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2054BD1A">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FAFAFA"/>
            <w:vAlign w:val="center"/>
          </w:tcPr>
          <w:p w14:paraId="205DEEB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Carlos Bantar et al.</w:t>
            </w:r>
            <w:r>
              <w:rPr>
                <w:rFonts w:hint="eastAsia" w:ascii="Times New Roman" w:hAnsi="Times New Roman" w:eastAsia="等线" w:cs="Times New Roman"/>
                <w:color w:val="000000"/>
                <w:kern w:val="0"/>
                <w:sz w:val="22"/>
                <w:lang w:bidi="ar"/>
              </w:rPr>
              <w:t>(2003)</w:t>
            </w:r>
          </w:p>
        </w:tc>
        <w:tc>
          <w:tcPr>
            <w:tcW w:w="949" w:type="dxa"/>
            <w:tcBorders>
              <w:top w:val="nil"/>
              <w:left w:val="nil"/>
              <w:bottom w:val="nil"/>
              <w:right w:val="nil"/>
            </w:tcBorders>
            <w:shd w:val="clear" w:color="000000" w:fill="FAFAFA"/>
            <w:vAlign w:val="center"/>
          </w:tcPr>
          <w:p w14:paraId="4E9CC61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Argentina</w:t>
            </w:r>
          </w:p>
        </w:tc>
        <w:tc>
          <w:tcPr>
            <w:tcW w:w="889" w:type="dxa"/>
            <w:tcBorders>
              <w:top w:val="nil"/>
              <w:left w:val="nil"/>
              <w:bottom w:val="nil"/>
              <w:right w:val="nil"/>
            </w:tcBorders>
            <w:shd w:val="clear" w:color="000000" w:fill="FAFAFA"/>
            <w:vAlign w:val="center"/>
          </w:tcPr>
          <w:p w14:paraId="6F683CB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LMICs</w:t>
            </w:r>
          </w:p>
        </w:tc>
        <w:tc>
          <w:tcPr>
            <w:tcW w:w="1662" w:type="dxa"/>
            <w:tcBorders>
              <w:top w:val="nil"/>
              <w:left w:val="nil"/>
              <w:bottom w:val="nil"/>
              <w:right w:val="nil"/>
            </w:tcBorders>
            <w:shd w:val="clear" w:color="000000" w:fill="FAFAFA"/>
            <w:vAlign w:val="center"/>
          </w:tcPr>
          <w:p w14:paraId="0CEF1D71">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Before-and-after controlled intervention study design</w:t>
            </w:r>
          </w:p>
        </w:tc>
        <w:tc>
          <w:tcPr>
            <w:tcW w:w="1489" w:type="dxa"/>
            <w:tcBorders>
              <w:top w:val="nil"/>
              <w:left w:val="nil"/>
              <w:bottom w:val="nil"/>
              <w:right w:val="nil"/>
            </w:tcBorders>
            <w:shd w:val="clear" w:color="000000" w:fill="FAFAFA"/>
            <w:vAlign w:val="center"/>
          </w:tcPr>
          <w:p w14:paraId="4C49386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Multidisciplinary team</w:t>
            </w:r>
          </w:p>
        </w:tc>
        <w:tc>
          <w:tcPr>
            <w:tcW w:w="970" w:type="dxa"/>
            <w:tcBorders>
              <w:top w:val="nil"/>
              <w:left w:val="nil"/>
              <w:bottom w:val="nil"/>
              <w:right w:val="nil"/>
            </w:tcBorders>
            <w:shd w:val="clear" w:color="000000" w:fill="FAFAFA"/>
            <w:vAlign w:val="center"/>
          </w:tcPr>
          <w:p w14:paraId="3006157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FAFAFA"/>
            <w:vAlign w:val="center"/>
          </w:tcPr>
          <w:p w14:paraId="74728A10">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Comparison of behavior</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Antecedents</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Social support</w:t>
            </w:r>
          </w:p>
        </w:tc>
        <w:tc>
          <w:tcPr>
            <w:tcW w:w="1245" w:type="dxa"/>
            <w:tcBorders>
              <w:top w:val="nil"/>
              <w:left w:val="nil"/>
              <w:bottom w:val="nil"/>
              <w:right w:val="nil"/>
            </w:tcBorders>
            <w:shd w:val="clear" w:color="000000" w:fill="FAFAFA"/>
            <w:vAlign w:val="center"/>
          </w:tcPr>
          <w:p w14:paraId="6927701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FAFAFA"/>
            <w:vAlign w:val="center"/>
          </w:tcPr>
          <w:p w14:paraId="2904DC6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276.35</w:t>
            </w:r>
          </w:p>
        </w:tc>
        <w:tc>
          <w:tcPr>
            <w:tcW w:w="1195" w:type="dxa"/>
            <w:tcBorders>
              <w:top w:val="nil"/>
              <w:left w:val="nil"/>
              <w:bottom w:val="nil"/>
              <w:right w:val="nil"/>
            </w:tcBorders>
            <w:shd w:val="clear" w:color="000000" w:fill="FAFAFA"/>
            <w:vAlign w:val="center"/>
          </w:tcPr>
          <w:p w14:paraId="3A8758E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313.06</w:t>
            </w:r>
          </w:p>
        </w:tc>
        <w:tc>
          <w:tcPr>
            <w:tcW w:w="1623" w:type="dxa"/>
            <w:tcBorders>
              <w:top w:val="nil"/>
              <w:left w:val="nil"/>
              <w:bottom w:val="nil"/>
              <w:right w:val="nil"/>
            </w:tcBorders>
            <w:shd w:val="clear" w:color="000000" w:fill="FAFAFA"/>
            <w:vAlign w:val="center"/>
          </w:tcPr>
          <w:p w14:paraId="61BE6F9E">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6F856FBB">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E8F1F5"/>
            <w:vAlign w:val="center"/>
          </w:tcPr>
          <w:p w14:paraId="0167974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Usman Hadi et al.</w:t>
            </w:r>
            <w:r>
              <w:rPr>
                <w:rFonts w:hint="eastAsia" w:ascii="Times New Roman" w:hAnsi="Times New Roman" w:eastAsia="等线" w:cs="Times New Roman"/>
                <w:color w:val="000000"/>
                <w:kern w:val="0"/>
                <w:sz w:val="22"/>
                <w:lang w:bidi="ar"/>
              </w:rPr>
              <w:t>(2008)</w:t>
            </w:r>
          </w:p>
        </w:tc>
        <w:tc>
          <w:tcPr>
            <w:tcW w:w="949" w:type="dxa"/>
            <w:tcBorders>
              <w:top w:val="nil"/>
              <w:left w:val="nil"/>
              <w:bottom w:val="nil"/>
              <w:right w:val="nil"/>
            </w:tcBorders>
            <w:shd w:val="clear" w:color="000000" w:fill="E8F1F5"/>
            <w:vAlign w:val="center"/>
          </w:tcPr>
          <w:p w14:paraId="7E22718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Indonesia</w:t>
            </w:r>
          </w:p>
        </w:tc>
        <w:tc>
          <w:tcPr>
            <w:tcW w:w="889" w:type="dxa"/>
            <w:tcBorders>
              <w:top w:val="nil"/>
              <w:left w:val="nil"/>
              <w:bottom w:val="nil"/>
              <w:right w:val="nil"/>
            </w:tcBorders>
            <w:shd w:val="clear" w:color="000000" w:fill="E8F1F5"/>
            <w:vAlign w:val="center"/>
          </w:tcPr>
          <w:p w14:paraId="0A6B1F5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LMICs</w:t>
            </w:r>
          </w:p>
        </w:tc>
        <w:tc>
          <w:tcPr>
            <w:tcW w:w="1662" w:type="dxa"/>
            <w:tcBorders>
              <w:top w:val="nil"/>
              <w:left w:val="nil"/>
              <w:bottom w:val="nil"/>
              <w:right w:val="nil"/>
            </w:tcBorders>
            <w:shd w:val="clear" w:color="000000" w:fill="E8F1F5"/>
            <w:vAlign w:val="center"/>
          </w:tcPr>
          <w:p w14:paraId="4A9F22C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intervention study</w:t>
            </w:r>
          </w:p>
        </w:tc>
        <w:tc>
          <w:tcPr>
            <w:tcW w:w="1489" w:type="dxa"/>
            <w:tcBorders>
              <w:top w:val="nil"/>
              <w:left w:val="nil"/>
              <w:bottom w:val="nil"/>
              <w:right w:val="nil"/>
            </w:tcBorders>
            <w:shd w:val="clear" w:color="000000" w:fill="E8F1F5"/>
            <w:vAlign w:val="center"/>
          </w:tcPr>
          <w:p w14:paraId="5607018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Develop guidelines</w:t>
            </w:r>
          </w:p>
        </w:tc>
        <w:tc>
          <w:tcPr>
            <w:tcW w:w="970" w:type="dxa"/>
            <w:tcBorders>
              <w:top w:val="nil"/>
              <w:left w:val="nil"/>
              <w:bottom w:val="nil"/>
              <w:right w:val="nil"/>
            </w:tcBorders>
            <w:shd w:val="clear" w:color="000000" w:fill="E8F1F5"/>
            <w:vAlign w:val="center"/>
          </w:tcPr>
          <w:p w14:paraId="65D2062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E8F1F5"/>
            <w:vAlign w:val="center"/>
          </w:tcPr>
          <w:p w14:paraId="454236BE">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nowledge</w:t>
            </w:r>
          </w:p>
        </w:tc>
        <w:tc>
          <w:tcPr>
            <w:tcW w:w="1245" w:type="dxa"/>
            <w:tcBorders>
              <w:top w:val="nil"/>
              <w:left w:val="nil"/>
              <w:bottom w:val="nil"/>
              <w:right w:val="nil"/>
            </w:tcBorders>
            <w:shd w:val="clear" w:color="000000" w:fill="E8F1F5"/>
            <w:vAlign w:val="center"/>
          </w:tcPr>
          <w:p w14:paraId="183B028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E8F1F5"/>
            <w:vAlign w:val="center"/>
          </w:tcPr>
          <w:p w14:paraId="2ADD817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530</w:t>
            </w:r>
          </w:p>
        </w:tc>
        <w:tc>
          <w:tcPr>
            <w:tcW w:w="1195" w:type="dxa"/>
            <w:tcBorders>
              <w:top w:val="nil"/>
              <w:left w:val="nil"/>
              <w:bottom w:val="nil"/>
              <w:right w:val="nil"/>
            </w:tcBorders>
            <w:shd w:val="clear" w:color="000000" w:fill="E8F1F5"/>
            <w:vAlign w:val="center"/>
          </w:tcPr>
          <w:p w14:paraId="0EBB719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998</w:t>
            </w:r>
          </w:p>
        </w:tc>
        <w:tc>
          <w:tcPr>
            <w:tcW w:w="1623" w:type="dxa"/>
            <w:vMerge w:val="restart"/>
            <w:tcBorders>
              <w:top w:val="nil"/>
              <w:left w:val="nil"/>
              <w:right w:val="nil"/>
            </w:tcBorders>
            <w:shd w:val="clear" w:color="000000" w:fill="E8F1F5"/>
            <w:vAlign w:val="center"/>
          </w:tcPr>
          <w:p w14:paraId="37034D29">
            <w:pPr>
              <w:widowControl/>
              <w:snapToGrid w:val="0"/>
              <w:jc w:val="center"/>
              <w:textAlignment w:val="center"/>
              <w:rPr>
                <w:rFonts w:ascii="Times New Roman" w:hAnsi="Times New Roman" w:eastAsia="等线" w:cs="Times New Roman"/>
                <w:color w:val="000000"/>
                <w:kern w:val="0"/>
                <w:sz w:val="22"/>
                <w:lang w:bidi="ar"/>
              </w:rPr>
            </w:pPr>
            <w:r>
              <w:rPr>
                <w:rFonts w:hint="eastAsia" w:ascii="Times New Roman" w:hAnsi="Times New Roman" w:eastAsia="等线" w:cs="Times New Roman"/>
                <w:color w:val="000000"/>
                <w:kern w:val="0"/>
                <w:sz w:val="22"/>
                <w:szCs w:val="21"/>
                <w:lang w:bidi="ar"/>
              </w:rPr>
              <w:t>Not mentioned</w:t>
            </w:r>
          </w:p>
        </w:tc>
      </w:tr>
      <w:tr w14:paraId="4E132919">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FAFAFA"/>
            <w:vAlign w:val="center"/>
          </w:tcPr>
          <w:p w14:paraId="7DC2693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Usman Hadi et al.</w:t>
            </w:r>
            <w:r>
              <w:rPr>
                <w:rFonts w:hint="eastAsia" w:ascii="Times New Roman" w:hAnsi="Times New Roman" w:eastAsia="等线" w:cs="Times New Roman"/>
                <w:color w:val="000000"/>
                <w:kern w:val="0"/>
                <w:sz w:val="22"/>
                <w:lang w:bidi="ar"/>
              </w:rPr>
              <w:t>(2008)</w:t>
            </w:r>
          </w:p>
        </w:tc>
        <w:tc>
          <w:tcPr>
            <w:tcW w:w="949" w:type="dxa"/>
            <w:tcBorders>
              <w:top w:val="nil"/>
              <w:left w:val="nil"/>
              <w:bottom w:val="nil"/>
              <w:right w:val="nil"/>
            </w:tcBorders>
            <w:shd w:val="clear" w:color="000000" w:fill="FAFAFA"/>
            <w:vAlign w:val="center"/>
          </w:tcPr>
          <w:p w14:paraId="264AEB8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Indonesia</w:t>
            </w:r>
          </w:p>
        </w:tc>
        <w:tc>
          <w:tcPr>
            <w:tcW w:w="889" w:type="dxa"/>
            <w:tcBorders>
              <w:top w:val="nil"/>
              <w:left w:val="nil"/>
              <w:bottom w:val="nil"/>
              <w:right w:val="nil"/>
            </w:tcBorders>
            <w:shd w:val="clear" w:color="000000" w:fill="FAFAFA"/>
            <w:vAlign w:val="center"/>
          </w:tcPr>
          <w:p w14:paraId="233A426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LMICs</w:t>
            </w:r>
          </w:p>
        </w:tc>
        <w:tc>
          <w:tcPr>
            <w:tcW w:w="1662" w:type="dxa"/>
            <w:tcBorders>
              <w:top w:val="nil"/>
              <w:left w:val="nil"/>
              <w:bottom w:val="nil"/>
              <w:right w:val="nil"/>
            </w:tcBorders>
            <w:shd w:val="clear" w:color="000000" w:fill="FAFAFA"/>
            <w:vAlign w:val="center"/>
          </w:tcPr>
          <w:p w14:paraId="0D134C2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intervention study</w:t>
            </w:r>
          </w:p>
        </w:tc>
        <w:tc>
          <w:tcPr>
            <w:tcW w:w="1489" w:type="dxa"/>
            <w:tcBorders>
              <w:top w:val="nil"/>
              <w:left w:val="nil"/>
              <w:bottom w:val="nil"/>
              <w:right w:val="nil"/>
            </w:tcBorders>
            <w:shd w:val="clear" w:color="000000" w:fill="FAFAFA"/>
            <w:vAlign w:val="center"/>
          </w:tcPr>
          <w:p w14:paraId="385C637B">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Teaching</w:t>
            </w:r>
          </w:p>
        </w:tc>
        <w:tc>
          <w:tcPr>
            <w:tcW w:w="970" w:type="dxa"/>
            <w:tcBorders>
              <w:top w:val="nil"/>
              <w:left w:val="nil"/>
              <w:bottom w:val="nil"/>
              <w:right w:val="nil"/>
            </w:tcBorders>
            <w:shd w:val="clear" w:color="000000" w:fill="FAFAFA"/>
            <w:vAlign w:val="center"/>
          </w:tcPr>
          <w:p w14:paraId="4B61493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FAFAFA"/>
            <w:vAlign w:val="center"/>
          </w:tcPr>
          <w:p w14:paraId="6E4198AA">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p>
        </w:tc>
        <w:tc>
          <w:tcPr>
            <w:tcW w:w="1245" w:type="dxa"/>
            <w:tcBorders>
              <w:top w:val="nil"/>
              <w:left w:val="nil"/>
              <w:bottom w:val="nil"/>
              <w:right w:val="nil"/>
            </w:tcBorders>
            <w:shd w:val="clear" w:color="000000" w:fill="FAFAFA"/>
            <w:vAlign w:val="center"/>
          </w:tcPr>
          <w:p w14:paraId="658AB6FA">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FAFAFA"/>
            <w:vAlign w:val="center"/>
          </w:tcPr>
          <w:p w14:paraId="159A938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914</w:t>
            </w:r>
          </w:p>
        </w:tc>
        <w:tc>
          <w:tcPr>
            <w:tcW w:w="1195" w:type="dxa"/>
            <w:tcBorders>
              <w:top w:val="nil"/>
              <w:left w:val="nil"/>
              <w:bottom w:val="nil"/>
              <w:right w:val="nil"/>
            </w:tcBorders>
            <w:shd w:val="clear" w:color="000000" w:fill="FAFAFA"/>
            <w:vAlign w:val="center"/>
          </w:tcPr>
          <w:p w14:paraId="661A5B70">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998</w:t>
            </w:r>
          </w:p>
        </w:tc>
        <w:tc>
          <w:tcPr>
            <w:tcW w:w="1623" w:type="dxa"/>
            <w:vMerge w:val="continue"/>
            <w:tcBorders>
              <w:left w:val="nil"/>
              <w:right w:val="nil"/>
            </w:tcBorders>
            <w:shd w:val="clear" w:color="000000" w:fill="FAFAFA"/>
            <w:vAlign w:val="center"/>
          </w:tcPr>
          <w:p w14:paraId="58FF08F3">
            <w:pPr>
              <w:widowControl/>
              <w:snapToGrid w:val="0"/>
              <w:jc w:val="center"/>
              <w:textAlignment w:val="center"/>
              <w:rPr>
                <w:rFonts w:ascii="Times New Roman" w:hAnsi="Times New Roman" w:eastAsia="等线" w:cs="Times New Roman"/>
                <w:color w:val="000000"/>
                <w:kern w:val="0"/>
                <w:sz w:val="22"/>
                <w:lang w:bidi="ar"/>
              </w:rPr>
            </w:pPr>
          </w:p>
        </w:tc>
      </w:tr>
      <w:tr w14:paraId="5F34F2FD">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E8F1F5"/>
            <w:vAlign w:val="center"/>
          </w:tcPr>
          <w:p w14:paraId="609A90A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Usman Hadi et al.</w:t>
            </w:r>
            <w:r>
              <w:rPr>
                <w:rFonts w:hint="eastAsia" w:ascii="Times New Roman" w:hAnsi="Times New Roman" w:eastAsia="等线" w:cs="Times New Roman"/>
                <w:color w:val="000000"/>
                <w:kern w:val="0"/>
                <w:sz w:val="22"/>
                <w:lang w:bidi="ar"/>
              </w:rPr>
              <w:t>(2008)</w:t>
            </w:r>
          </w:p>
        </w:tc>
        <w:tc>
          <w:tcPr>
            <w:tcW w:w="949" w:type="dxa"/>
            <w:tcBorders>
              <w:top w:val="nil"/>
              <w:left w:val="nil"/>
              <w:bottom w:val="nil"/>
              <w:right w:val="nil"/>
            </w:tcBorders>
            <w:shd w:val="clear" w:color="000000" w:fill="E8F1F5"/>
            <w:vAlign w:val="center"/>
          </w:tcPr>
          <w:p w14:paraId="24AC8F38">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Indonesia</w:t>
            </w:r>
          </w:p>
        </w:tc>
        <w:tc>
          <w:tcPr>
            <w:tcW w:w="889" w:type="dxa"/>
            <w:tcBorders>
              <w:top w:val="nil"/>
              <w:left w:val="nil"/>
              <w:bottom w:val="nil"/>
              <w:right w:val="nil"/>
            </w:tcBorders>
            <w:shd w:val="clear" w:color="000000" w:fill="E8F1F5"/>
            <w:vAlign w:val="center"/>
          </w:tcPr>
          <w:p w14:paraId="0AFF196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LMICs</w:t>
            </w:r>
          </w:p>
        </w:tc>
        <w:tc>
          <w:tcPr>
            <w:tcW w:w="1662" w:type="dxa"/>
            <w:tcBorders>
              <w:top w:val="nil"/>
              <w:left w:val="nil"/>
              <w:bottom w:val="nil"/>
              <w:right w:val="nil"/>
            </w:tcBorders>
            <w:shd w:val="clear" w:color="000000" w:fill="E8F1F5"/>
            <w:vAlign w:val="center"/>
          </w:tcPr>
          <w:p w14:paraId="777F72B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intervention study</w:t>
            </w:r>
          </w:p>
        </w:tc>
        <w:tc>
          <w:tcPr>
            <w:tcW w:w="1489" w:type="dxa"/>
            <w:tcBorders>
              <w:top w:val="nil"/>
              <w:left w:val="nil"/>
              <w:bottom w:val="nil"/>
              <w:right w:val="nil"/>
            </w:tcBorders>
            <w:shd w:val="clear" w:color="000000" w:fill="E8F1F5"/>
            <w:vAlign w:val="center"/>
          </w:tcPr>
          <w:p w14:paraId="6F61BE6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Refresher courses</w:t>
            </w:r>
          </w:p>
        </w:tc>
        <w:tc>
          <w:tcPr>
            <w:tcW w:w="970" w:type="dxa"/>
            <w:tcBorders>
              <w:top w:val="nil"/>
              <w:left w:val="nil"/>
              <w:bottom w:val="nil"/>
              <w:right w:val="nil"/>
            </w:tcBorders>
            <w:shd w:val="clear" w:color="000000" w:fill="E8F1F5"/>
            <w:vAlign w:val="center"/>
          </w:tcPr>
          <w:p w14:paraId="13D3993F">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E8F1F5"/>
            <w:vAlign w:val="center"/>
          </w:tcPr>
          <w:p w14:paraId="37AAAF2C">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p>
        </w:tc>
        <w:tc>
          <w:tcPr>
            <w:tcW w:w="1245" w:type="dxa"/>
            <w:tcBorders>
              <w:top w:val="nil"/>
              <w:left w:val="nil"/>
              <w:bottom w:val="nil"/>
              <w:right w:val="nil"/>
            </w:tcBorders>
            <w:shd w:val="clear" w:color="000000" w:fill="E8F1F5"/>
            <w:vAlign w:val="center"/>
          </w:tcPr>
          <w:p w14:paraId="2A0F080C">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E8F1F5"/>
            <w:vAlign w:val="center"/>
          </w:tcPr>
          <w:p w14:paraId="1DB47EC4">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640</w:t>
            </w:r>
          </w:p>
        </w:tc>
        <w:tc>
          <w:tcPr>
            <w:tcW w:w="1195" w:type="dxa"/>
            <w:tcBorders>
              <w:top w:val="nil"/>
              <w:left w:val="nil"/>
              <w:bottom w:val="nil"/>
              <w:right w:val="nil"/>
            </w:tcBorders>
            <w:shd w:val="clear" w:color="000000" w:fill="E8F1F5"/>
            <w:vAlign w:val="center"/>
          </w:tcPr>
          <w:p w14:paraId="306FE6D7">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998</w:t>
            </w:r>
          </w:p>
        </w:tc>
        <w:tc>
          <w:tcPr>
            <w:tcW w:w="1623" w:type="dxa"/>
            <w:vMerge w:val="continue"/>
            <w:tcBorders>
              <w:left w:val="nil"/>
              <w:right w:val="nil"/>
            </w:tcBorders>
            <w:shd w:val="clear" w:color="000000" w:fill="E8F1F5"/>
            <w:vAlign w:val="center"/>
          </w:tcPr>
          <w:p w14:paraId="35C3CB18">
            <w:pPr>
              <w:widowControl/>
              <w:snapToGrid w:val="0"/>
              <w:jc w:val="center"/>
              <w:textAlignment w:val="center"/>
              <w:rPr>
                <w:rFonts w:ascii="Times New Roman" w:hAnsi="Times New Roman" w:eastAsia="等线" w:cs="Times New Roman"/>
                <w:color w:val="000000"/>
                <w:kern w:val="0"/>
                <w:sz w:val="22"/>
                <w:lang w:bidi="ar"/>
              </w:rPr>
            </w:pPr>
          </w:p>
        </w:tc>
      </w:tr>
      <w:tr w14:paraId="72942F9B">
        <w:tblPrEx>
          <w:tblCellMar>
            <w:top w:w="0" w:type="dxa"/>
            <w:left w:w="108" w:type="dxa"/>
            <w:bottom w:w="0" w:type="dxa"/>
            <w:right w:w="108" w:type="dxa"/>
          </w:tblCellMar>
        </w:tblPrEx>
        <w:trPr>
          <w:cantSplit/>
          <w:trHeight w:val="0" w:hRule="atLeast"/>
          <w:jc w:val="center"/>
        </w:trPr>
        <w:tc>
          <w:tcPr>
            <w:tcW w:w="909" w:type="dxa"/>
            <w:tcBorders>
              <w:top w:val="nil"/>
              <w:left w:val="nil"/>
              <w:bottom w:val="nil"/>
              <w:right w:val="nil"/>
            </w:tcBorders>
            <w:shd w:val="clear" w:color="000000" w:fill="FAFAFA"/>
            <w:vAlign w:val="center"/>
          </w:tcPr>
          <w:p w14:paraId="6A6C50D3">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Usman Hadi et al.</w:t>
            </w:r>
            <w:r>
              <w:rPr>
                <w:rFonts w:hint="eastAsia" w:ascii="Times New Roman" w:hAnsi="Times New Roman" w:eastAsia="等线" w:cs="Times New Roman"/>
                <w:color w:val="000000"/>
                <w:kern w:val="0"/>
                <w:sz w:val="22"/>
                <w:lang w:bidi="ar"/>
              </w:rPr>
              <w:t>(2008)</w:t>
            </w:r>
          </w:p>
        </w:tc>
        <w:tc>
          <w:tcPr>
            <w:tcW w:w="949" w:type="dxa"/>
            <w:tcBorders>
              <w:top w:val="nil"/>
              <w:left w:val="nil"/>
              <w:bottom w:val="nil"/>
              <w:right w:val="nil"/>
            </w:tcBorders>
            <w:shd w:val="clear" w:color="000000" w:fill="FAFAFA"/>
            <w:vAlign w:val="center"/>
          </w:tcPr>
          <w:p w14:paraId="58659D52">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Indonesia</w:t>
            </w:r>
          </w:p>
        </w:tc>
        <w:tc>
          <w:tcPr>
            <w:tcW w:w="889" w:type="dxa"/>
            <w:tcBorders>
              <w:top w:val="nil"/>
              <w:left w:val="nil"/>
              <w:bottom w:val="nil"/>
              <w:right w:val="nil"/>
            </w:tcBorders>
            <w:shd w:val="clear" w:color="000000" w:fill="FAFAFA"/>
            <w:vAlign w:val="center"/>
          </w:tcPr>
          <w:p w14:paraId="4D51377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LMICs</w:t>
            </w:r>
          </w:p>
        </w:tc>
        <w:tc>
          <w:tcPr>
            <w:tcW w:w="1662" w:type="dxa"/>
            <w:tcBorders>
              <w:top w:val="nil"/>
              <w:left w:val="nil"/>
              <w:bottom w:val="nil"/>
              <w:right w:val="nil"/>
            </w:tcBorders>
            <w:shd w:val="clear" w:color="000000" w:fill="FAFAFA"/>
            <w:vAlign w:val="center"/>
          </w:tcPr>
          <w:p w14:paraId="3FCABB69">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Prospective intervention study</w:t>
            </w:r>
          </w:p>
        </w:tc>
        <w:tc>
          <w:tcPr>
            <w:tcW w:w="1489" w:type="dxa"/>
            <w:tcBorders>
              <w:top w:val="nil"/>
              <w:left w:val="nil"/>
              <w:bottom w:val="nil"/>
              <w:right w:val="nil"/>
            </w:tcBorders>
            <w:shd w:val="clear" w:color="000000" w:fill="FAFAFA"/>
            <w:vAlign w:val="center"/>
          </w:tcPr>
          <w:p w14:paraId="5F846E6E">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Comprehensive</w:t>
            </w:r>
          </w:p>
        </w:tc>
        <w:tc>
          <w:tcPr>
            <w:tcW w:w="970" w:type="dxa"/>
            <w:tcBorders>
              <w:top w:val="nil"/>
              <w:left w:val="nil"/>
              <w:bottom w:val="nil"/>
              <w:right w:val="nil"/>
            </w:tcBorders>
            <w:shd w:val="clear" w:color="000000" w:fill="FAFAFA"/>
            <w:vAlign w:val="center"/>
          </w:tcPr>
          <w:p w14:paraId="768D5025">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Baseline</w:t>
            </w:r>
          </w:p>
        </w:tc>
        <w:tc>
          <w:tcPr>
            <w:tcW w:w="2681" w:type="dxa"/>
            <w:tcBorders>
              <w:top w:val="nil"/>
              <w:left w:val="nil"/>
              <w:bottom w:val="nil"/>
              <w:right w:val="nil"/>
            </w:tcBorders>
            <w:shd w:val="clear" w:color="000000" w:fill="FAFAFA"/>
            <w:vAlign w:val="center"/>
          </w:tcPr>
          <w:p w14:paraId="264881A5">
            <w:pPr>
              <w:widowControl/>
              <w:snapToGrid w:val="0"/>
              <w:jc w:val="center"/>
              <w:textAlignment w:val="center"/>
              <w:rPr>
                <w:rFonts w:ascii="Times New Roman" w:hAnsi="Times New Roman" w:eastAsia="等线" w:cs="Times New Roman"/>
                <w:color w:val="000000"/>
                <w:sz w:val="22"/>
              </w:rPr>
            </w:pPr>
            <w:r>
              <w:rPr>
                <w:rFonts w:hint="eastAsia" w:ascii="Times New Roman" w:hAnsi="Times New Roman" w:eastAsia="等线" w:cs="Times New Roman"/>
                <w:color w:val="000000"/>
                <w:kern w:val="0"/>
                <w:sz w:val="22"/>
                <w:lang w:bidi="ar"/>
              </w:rPr>
              <w:t>Shaping k</w:t>
            </w:r>
            <w:r>
              <w:rPr>
                <w:rFonts w:ascii="Times New Roman" w:hAnsi="Times New Roman" w:eastAsia="等线" w:cs="Times New Roman"/>
                <w:color w:val="000000"/>
                <w:kern w:val="0"/>
                <w:sz w:val="22"/>
                <w:lang w:bidi="ar"/>
              </w:rPr>
              <w:t xml:space="preserve">nowledge, </w:t>
            </w:r>
            <w:r>
              <w:rPr>
                <w:rFonts w:hint="eastAsia" w:ascii="Times New Roman" w:hAnsi="Times New Roman" w:eastAsia="等线" w:cs="Times New Roman"/>
                <w:color w:val="000000"/>
                <w:kern w:val="0"/>
                <w:sz w:val="22"/>
                <w:lang w:bidi="ar"/>
              </w:rPr>
              <w:t>Social support</w:t>
            </w:r>
            <w:r>
              <w:rPr>
                <w:rFonts w:ascii="Times New Roman" w:hAnsi="Times New Roman" w:eastAsia="等线" w:cs="Times New Roman"/>
                <w:color w:val="000000"/>
                <w:kern w:val="0"/>
                <w:sz w:val="22"/>
                <w:lang w:bidi="ar"/>
              </w:rPr>
              <w:t xml:space="preserve">, </w:t>
            </w:r>
            <w:r>
              <w:rPr>
                <w:rFonts w:hint="eastAsia" w:ascii="Times New Roman" w:hAnsi="Times New Roman" w:eastAsia="等线" w:cs="Times New Roman"/>
                <w:color w:val="000000"/>
                <w:kern w:val="0"/>
                <w:sz w:val="22"/>
                <w:lang w:bidi="ar"/>
              </w:rPr>
              <w:t>Comparison of behavior</w:t>
            </w:r>
          </w:p>
        </w:tc>
        <w:tc>
          <w:tcPr>
            <w:tcW w:w="1245" w:type="dxa"/>
            <w:tcBorders>
              <w:top w:val="nil"/>
              <w:left w:val="nil"/>
              <w:bottom w:val="nil"/>
              <w:right w:val="nil"/>
            </w:tcBorders>
            <w:shd w:val="clear" w:color="000000" w:fill="FAFAFA"/>
            <w:vAlign w:val="center"/>
          </w:tcPr>
          <w:p w14:paraId="46A2677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DDD</w:t>
            </w:r>
          </w:p>
        </w:tc>
        <w:tc>
          <w:tcPr>
            <w:tcW w:w="1194" w:type="dxa"/>
            <w:tcBorders>
              <w:top w:val="nil"/>
              <w:left w:val="nil"/>
              <w:bottom w:val="nil"/>
              <w:right w:val="nil"/>
            </w:tcBorders>
            <w:shd w:val="clear" w:color="000000" w:fill="FAFAFA"/>
            <w:vAlign w:val="center"/>
          </w:tcPr>
          <w:p w14:paraId="5F690A5D">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730</w:t>
            </w:r>
          </w:p>
        </w:tc>
        <w:tc>
          <w:tcPr>
            <w:tcW w:w="1195" w:type="dxa"/>
            <w:tcBorders>
              <w:top w:val="nil"/>
              <w:left w:val="nil"/>
              <w:bottom w:val="nil"/>
              <w:right w:val="nil"/>
            </w:tcBorders>
            <w:shd w:val="clear" w:color="000000" w:fill="FAFAFA"/>
            <w:vAlign w:val="center"/>
          </w:tcPr>
          <w:p w14:paraId="5BBF7776">
            <w:pPr>
              <w:widowControl/>
              <w:snapToGrid w:val="0"/>
              <w:jc w:val="center"/>
              <w:textAlignment w:val="center"/>
              <w:rPr>
                <w:rFonts w:ascii="Times New Roman" w:hAnsi="Times New Roman" w:eastAsia="等线" w:cs="Times New Roman"/>
                <w:color w:val="000000"/>
                <w:sz w:val="22"/>
              </w:rPr>
            </w:pPr>
            <w:r>
              <w:rPr>
                <w:rFonts w:ascii="Times New Roman" w:hAnsi="Times New Roman" w:eastAsia="等线" w:cs="Times New Roman"/>
                <w:color w:val="000000"/>
                <w:kern w:val="0"/>
                <w:sz w:val="22"/>
                <w:lang w:bidi="ar"/>
              </w:rPr>
              <w:t>998</w:t>
            </w:r>
          </w:p>
        </w:tc>
        <w:tc>
          <w:tcPr>
            <w:tcW w:w="1623" w:type="dxa"/>
            <w:vMerge w:val="continue"/>
            <w:tcBorders>
              <w:left w:val="nil"/>
              <w:bottom w:val="nil"/>
              <w:right w:val="nil"/>
            </w:tcBorders>
            <w:shd w:val="clear" w:color="000000" w:fill="FAFAFA"/>
            <w:vAlign w:val="center"/>
          </w:tcPr>
          <w:p w14:paraId="1C22B7ED">
            <w:pPr>
              <w:widowControl/>
              <w:snapToGrid w:val="0"/>
              <w:jc w:val="center"/>
              <w:textAlignment w:val="center"/>
              <w:rPr>
                <w:rFonts w:ascii="Times New Roman" w:hAnsi="Times New Roman" w:eastAsia="等线" w:cs="Times New Roman"/>
                <w:color w:val="000000"/>
                <w:kern w:val="0"/>
                <w:sz w:val="22"/>
                <w:lang w:bidi="ar"/>
              </w:rPr>
            </w:pPr>
          </w:p>
        </w:tc>
      </w:tr>
    </w:tbl>
    <w:p w14:paraId="5F3016AA">
      <w:pPr>
        <w:rPr>
          <w:rFonts w:ascii="Times New Roman" w:hAnsi="Times New Roman" w:cs="Times New Roman"/>
          <w:sz w:val="24"/>
          <w:szCs w:val="24"/>
        </w:rPr>
      </w:pPr>
    </w:p>
    <w:p w14:paraId="5249AAC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889C6DF">
      <w:pPr>
        <w:widowControl/>
        <w:jc w:val="left"/>
        <w:rPr>
          <w:rFonts w:ascii="Times New Roman" w:hAnsi="Times New Roman" w:cs="Times New Roman"/>
          <w:sz w:val="24"/>
          <w:szCs w:val="24"/>
        </w:rPr>
      </w:pPr>
      <w:r>
        <w:rPr>
          <w:rFonts w:ascii="Times New Roman" w:hAnsi="Times New Roman" w:cs="Times New Roman"/>
          <w:b/>
          <w:bCs/>
          <w:sz w:val="28"/>
          <w:szCs w:val="28"/>
          <w14:ligatures w14:val="none"/>
        </w:rPr>
        <w:drawing>
          <wp:anchor distT="0" distB="0" distL="114300" distR="114300" simplePos="0" relativeHeight="251659264" behindDoc="0" locked="0" layoutInCell="1" allowOverlap="1">
            <wp:simplePos x="0" y="0"/>
            <wp:positionH relativeFrom="column">
              <wp:posOffset>2006600</wp:posOffset>
            </wp:positionH>
            <wp:positionV relativeFrom="paragraph">
              <wp:posOffset>438150</wp:posOffset>
            </wp:positionV>
            <wp:extent cx="4299585" cy="4017010"/>
            <wp:effectExtent l="0" t="0" r="5715" b="2540"/>
            <wp:wrapTopAndBottom/>
            <wp:docPr id="15319086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08678"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299585" cy="4017010"/>
                    </a:xfrm>
                    <a:prstGeom prst="rect">
                      <a:avLst/>
                    </a:prstGeom>
                    <a:noFill/>
                  </pic:spPr>
                </pic:pic>
              </a:graphicData>
            </a:graphic>
          </wp:anchor>
        </w:drawing>
      </w:r>
      <w:r>
        <w:rPr>
          <w:rFonts w:ascii="Times New Roman" w:hAnsi="Times New Roman" w:cs="Times New Roman"/>
          <w:b/>
          <w:bCs/>
          <w:sz w:val="28"/>
          <w:szCs w:val="28"/>
        </w:rPr>
        <w:t xml:space="preserve">Appendix </w:t>
      </w:r>
      <w:r>
        <w:rPr>
          <w:rFonts w:hint="eastAsia" w:ascii="Times New Roman" w:hAnsi="Times New Roman" w:cs="Times New Roman"/>
          <w:b/>
          <w:bCs/>
          <w:sz w:val="28"/>
          <w:szCs w:val="28"/>
        </w:rPr>
        <w:t xml:space="preserve">5 </w:t>
      </w:r>
      <w:r>
        <w:rPr>
          <w:rFonts w:hint="eastAsia" w:ascii="Times New Roman" w:hAnsi="Times New Roman" w:cs="Times New Roman"/>
          <w:sz w:val="28"/>
          <w:szCs w:val="28"/>
        </w:rPr>
        <w:t>Funnel plot of the study on the influencing factors of antibacterial drug prescriptions.</w:t>
      </w:r>
    </w:p>
    <w:p w14:paraId="6C3775E5">
      <w:pPr>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bookmarkStart w:id="12" w:name="_Hlk205986319"/>
      <w:r>
        <w:rPr>
          <w:rFonts w:hint="eastAsia" w:ascii="Times New Roman" w:hAnsi="Times New Roman" w:cs="Times New Roman"/>
          <w:b/>
          <w:bCs/>
          <w:sz w:val="24"/>
          <w:szCs w:val="24"/>
        </w:rPr>
        <w:t>Figure A1</w:t>
      </w:r>
      <w:bookmarkEnd w:id="12"/>
      <w:r>
        <w:rPr>
          <w:rFonts w:hint="eastAsia"/>
          <w:sz w:val="24"/>
          <w:szCs w:val="24"/>
        </w:rPr>
        <w:t xml:space="preserve">. </w:t>
      </w:r>
      <w:r>
        <w:rPr>
          <w:rFonts w:hint="eastAsia" w:ascii="Times New Roman" w:hAnsi="Times New Roman" w:cs="Times New Roman"/>
          <w:sz w:val="24"/>
          <w:szCs w:val="24"/>
        </w:rPr>
        <w:t>Funnel plots of different subgroups of influencing factors and the overall situation.</w:t>
      </w:r>
      <w:r>
        <w:rPr>
          <w:rFonts w:hint="eastAsia" w:ascii="Times New Roman" w:hAnsi="Times New Roman" w:cs="Times New Roman"/>
        </w:rPr>
        <w:t xml:space="preserve"> </w:t>
      </w:r>
      <w:r>
        <w:rPr>
          <w:rFonts w:hint="eastAsia" w:ascii="Times New Roman" w:hAnsi="Times New Roman" w:cs="Times New Roman"/>
          <w:sz w:val="24"/>
          <w:szCs w:val="24"/>
        </w:rPr>
        <w:t>Funnel plot of overall influencing factors(A)</w:t>
      </w:r>
      <w:r>
        <w:rPr>
          <w:rFonts w:hint="eastAsia"/>
        </w:rPr>
        <w:t>;</w:t>
      </w:r>
      <w:r>
        <w:rPr>
          <w:rFonts w:hint="eastAsia" w:ascii="Times New Roman" w:hAnsi="Times New Roman" w:cs="Times New Roman"/>
          <w:sz w:val="24"/>
          <w:szCs w:val="24"/>
        </w:rPr>
        <w:t>The funnel plot of the sub-group of prescriber factors among the influencing factors(B);</w:t>
      </w:r>
      <w:r>
        <w:rPr>
          <w:rFonts w:hint="eastAsia"/>
        </w:rPr>
        <w:t xml:space="preserve"> </w:t>
      </w:r>
      <w:bookmarkStart w:id="13" w:name="OLE_LINK32"/>
      <w:r>
        <w:rPr>
          <w:rFonts w:hint="eastAsia" w:ascii="Times New Roman" w:hAnsi="Times New Roman" w:cs="Times New Roman"/>
          <w:sz w:val="24"/>
          <w:szCs w:val="24"/>
        </w:rPr>
        <w:t>Funnel plot of</w:t>
      </w:r>
      <w:bookmarkEnd w:id="13"/>
      <w:r>
        <w:rPr>
          <w:rFonts w:hint="eastAsia" w:ascii="Times New Roman" w:hAnsi="Times New Roman" w:cs="Times New Roman"/>
          <w:sz w:val="24"/>
          <w:szCs w:val="24"/>
        </w:rPr>
        <w:t xml:space="preserve"> the subgroup of patient factors among the influencing factors(C).</w:t>
      </w:r>
    </w:p>
    <w:p w14:paraId="434C58EA">
      <w:pPr>
        <w:rPr>
          <w:rFonts w:ascii="Times New Roman" w:hAnsi="Times New Roman" w:cs="Times New Roman"/>
          <w:sz w:val="24"/>
          <w:szCs w:val="24"/>
        </w:rPr>
      </w:pPr>
      <w:r>
        <w:rPr>
          <w:rFonts w:ascii="Times New Roman" w:hAnsi="Times New Roman" w:cs="Times New Roman"/>
          <w:b/>
          <w:bCs/>
          <w:sz w:val="28"/>
          <w:szCs w:val="28"/>
        </w:rPr>
        <w:t xml:space="preserve">Appendix </w:t>
      </w:r>
      <w:r>
        <w:rPr>
          <w:rFonts w:hint="eastAsia" w:ascii="Times New Roman" w:hAnsi="Times New Roman" w:cs="Times New Roman"/>
          <w:b/>
          <w:bCs/>
          <w:sz w:val="28"/>
          <w:szCs w:val="28"/>
        </w:rPr>
        <w:t xml:space="preserve">6 </w:t>
      </w:r>
      <w:bookmarkStart w:id="14" w:name="_Hlk205982862"/>
      <w:r>
        <w:rPr>
          <w:rFonts w:hint="eastAsia" w:ascii="Times New Roman" w:hAnsi="Times New Roman" w:cs="Times New Roman"/>
          <w:sz w:val="28"/>
          <w:szCs w:val="28"/>
        </w:rPr>
        <w:t>Forest plot and funnel plot of the study on the effect of antimicrobial drug prescription intervention measures</w:t>
      </w:r>
      <w:bookmarkEnd w:id="14"/>
      <w:r>
        <w:rPr>
          <w:rFonts w:hint="eastAsia" w:ascii="Times New Roman" w:hAnsi="Times New Roman" w:cs="Times New Roman"/>
          <w:sz w:val="28"/>
          <w:szCs w:val="28"/>
        </w:rPr>
        <w:t>.</w:t>
      </w:r>
    </w:p>
    <w:p w14:paraId="5679636C">
      <w:pPr>
        <w:spacing w:line="360" w:lineRule="auto"/>
        <w:ind w:firstLine="420" w:firstLineChars="200"/>
        <w:jc w:val="center"/>
        <w:rPr>
          <w:rFonts w:ascii="Times New Roman" w:hAnsi="Times New Roman" w:cs="Times New Roman"/>
          <w:szCs w:val="21"/>
        </w:rPr>
      </w:pPr>
      <w:r>
        <w:rPr>
          <w:rFonts w:ascii="Calibri" w:hAnsi="Calibri" w:eastAsia="宋体" w:cs="Times New Roman"/>
          <w:szCs w:val="24"/>
          <w:lang w:bidi="ar"/>
        </w:rPr>
        <w:drawing>
          <wp:inline distT="0" distB="0" distL="114300" distR="114300">
            <wp:extent cx="5060950" cy="3821430"/>
            <wp:effectExtent l="0" t="0" r="6350" b="762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6"/>
                    <a:srcRect t="17085" r="192" b="17400"/>
                    <a:stretch>
                      <a:fillRect/>
                    </a:stretch>
                  </pic:blipFill>
                  <pic:spPr>
                    <a:xfrm>
                      <a:off x="0" y="0"/>
                      <a:ext cx="5065062" cy="3824763"/>
                    </a:xfrm>
                    <a:prstGeom prst="rect">
                      <a:avLst/>
                    </a:prstGeom>
                    <a:noFill/>
                    <a:ln>
                      <a:noFill/>
                    </a:ln>
                  </pic:spPr>
                </pic:pic>
              </a:graphicData>
            </a:graphic>
          </wp:inline>
        </w:drawing>
      </w:r>
    </w:p>
    <w:p w14:paraId="1A7F1E6F">
      <w:pPr>
        <w:ind w:firstLine="480" w:firstLineChars="200"/>
        <w:jc w:val="left"/>
        <w:rPr>
          <w:rFonts w:ascii="Times New Roman" w:hAnsi="Times New Roman" w:cs="Times New Roman"/>
          <w:sz w:val="24"/>
          <w:szCs w:val="24"/>
        </w:rPr>
      </w:pPr>
      <w:r>
        <w:rPr>
          <w:rFonts w:ascii="Times New Roman" w:hAnsi="Times New Roman" w:cs="Times New Roman"/>
          <w:b/>
          <w:bCs/>
          <w:sz w:val="24"/>
          <w:szCs w:val="24"/>
        </w:rPr>
        <w:t xml:space="preserve">Figure </w:t>
      </w:r>
      <w:r>
        <w:rPr>
          <w:rFonts w:hint="eastAsia" w:ascii="Times New Roman" w:hAnsi="Times New Roman" w:cs="Times New Roman"/>
          <w:b/>
          <w:bCs/>
          <w:sz w:val="24"/>
          <w:szCs w:val="24"/>
        </w:rPr>
        <w:t>A</w:t>
      </w:r>
      <w:r>
        <w:rPr>
          <w:rFonts w:ascii="Times New Roman" w:hAnsi="Times New Roman" w:cs="Times New Roman"/>
          <w:b/>
          <w:bCs/>
          <w:sz w:val="24"/>
          <w:szCs w:val="24"/>
        </w:rPr>
        <w:t>2.</w:t>
      </w:r>
      <w:r>
        <w:rPr>
          <w:rFonts w:hint="eastAsia" w:ascii="Times New Roman" w:hAnsi="Times New Roman" w:cs="Times New Roman"/>
          <w:b/>
          <w:bCs/>
          <w:sz w:val="24"/>
          <w:szCs w:val="24"/>
        </w:rPr>
        <w:t xml:space="preserve"> </w:t>
      </w:r>
      <w:r>
        <w:rPr>
          <w:rFonts w:ascii="Times New Roman" w:hAnsi="Times New Roman" w:cs="Times New Roman"/>
          <w:sz w:val="24"/>
          <w:szCs w:val="24"/>
        </w:rPr>
        <w:t>Subgroup Analyses (</w:t>
      </w:r>
      <w:r>
        <w:rPr>
          <w:rFonts w:hint="eastAsia" w:ascii="Times New Roman" w:hAnsi="Times New Roman" w:cs="Times New Roman"/>
          <w:sz w:val="24"/>
          <w:szCs w:val="24"/>
        </w:rPr>
        <w:t xml:space="preserve">The rate of </w:t>
      </w:r>
      <w:r>
        <w:rPr>
          <w:rFonts w:ascii="Times New Roman" w:hAnsi="Times New Roman" w:cs="Times New Roman"/>
          <w:sz w:val="24"/>
          <w:szCs w:val="24"/>
        </w:rPr>
        <w:t>appropriate</w:t>
      </w:r>
      <w:r>
        <w:rPr>
          <w:rFonts w:hint="eastAsia" w:ascii="Times New Roman" w:hAnsi="Times New Roman" w:cs="Times New Roman"/>
          <w:sz w:val="24"/>
          <w:szCs w:val="24"/>
        </w:rPr>
        <w:t xml:space="preserve"> antibiotic prescription</w:t>
      </w:r>
      <w:r>
        <w:rPr>
          <w:rFonts w:ascii="Times New Roman" w:hAnsi="Times New Roman" w:cs="Times New Roman"/>
          <w:sz w:val="24"/>
          <w:szCs w:val="24"/>
        </w:rPr>
        <w:t>)</w:t>
      </w:r>
      <w:r>
        <w:rPr>
          <w:rFonts w:hint="eastAsia" w:ascii="Times New Roman" w:hAnsi="Times New Roman" w:cs="Times New Roman"/>
          <w:sz w:val="24"/>
          <w:szCs w:val="24"/>
        </w:rPr>
        <w:t>.</w:t>
      </w:r>
    </w:p>
    <w:p w14:paraId="3D1E3917">
      <w:pPr>
        <w:ind w:firstLine="480" w:firstLineChars="200"/>
        <w:jc w:val="left"/>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r>
        <w:rPr>
          <w:rFonts w:ascii="Times New Roman" w:hAnsi="Times New Roman" w:cs="Times New Roman"/>
          <w:sz w:val="24"/>
          <w:szCs w:val="24"/>
        </w:rPr>
        <w:t>A Forest plot of included studies stratified by</w:t>
      </w:r>
      <w:r>
        <w:rPr>
          <w:rFonts w:hint="eastAsia" w:ascii="Times New Roman" w:hAnsi="Times New Roman" w:cs="Times New Roman"/>
          <w:sz w:val="24"/>
          <w:szCs w:val="24"/>
        </w:rPr>
        <w:t xml:space="preserve"> national income </w:t>
      </w:r>
      <w:r>
        <w:rPr>
          <w:rFonts w:ascii="Times New Roman" w:hAnsi="Times New Roman" w:cs="Times New Roman"/>
          <w:sz w:val="24"/>
          <w:szCs w:val="24"/>
        </w:rPr>
        <w:t>level</w:t>
      </w:r>
      <w:r>
        <w:rPr>
          <w:rFonts w:hint="eastAsia" w:ascii="Times New Roman" w:hAnsi="Times New Roman" w:cs="Times New Roman"/>
          <w:sz w:val="24"/>
          <w:szCs w:val="24"/>
        </w:rPr>
        <w:t>.</w:t>
      </w:r>
    </w:p>
    <w:p w14:paraId="308F619C">
      <w:pPr>
        <w:jc w:val="center"/>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940425" cy="4514850"/>
            <wp:effectExtent l="0" t="0" r="3175" b="0"/>
            <wp:docPr id="14814205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20502"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946407" cy="4519393"/>
                    </a:xfrm>
                    <a:prstGeom prst="rect">
                      <a:avLst/>
                    </a:prstGeom>
                    <a:noFill/>
                  </pic:spPr>
                </pic:pic>
              </a:graphicData>
            </a:graphic>
          </wp:inline>
        </w:drawing>
      </w:r>
    </w:p>
    <w:p w14:paraId="31693606">
      <w:pPr>
        <w:jc w:val="center"/>
        <w:rPr>
          <w:rFonts w:ascii="Times New Roman" w:hAnsi="Times New Roman" w:cs="Times New Roman"/>
          <w:b/>
          <w:bCs/>
          <w:sz w:val="24"/>
          <w:szCs w:val="24"/>
        </w:rPr>
      </w:pPr>
    </w:p>
    <w:p w14:paraId="0DC33C11">
      <w:pPr>
        <w:jc w:val="left"/>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r>
        <w:rPr>
          <w:rFonts w:ascii="Times New Roman" w:hAnsi="Times New Roman" w:cs="Times New Roman"/>
          <w:b/>
          <w:bCs/>
          <w:sz w:val="24"/>
          <w:szCs w:val="24"/>
        </w:rPr>
        <w:t xml:space="preserve">Figure </w:t>
      </w:r>
      <w:r>
        <w:rPr>
          <w:rFonts w:hint="eastAsia" w:ascii="Times New Roman" w:hAnsi="Times New Roman" w:cs="Times New Roman"/>
          <w:b/>
          <w:bCs/>
          <w:sz w:val="24"/>
          <w:szCs w:val="24"/>
        </w:rPr>
        <w:t xml:space="preserve">A3. </w:t>
      </w:r>
      <w:r>
        <w:rPr>
          <w:rFonts w:ascii="Times New Roman" w:hAnsi="Times New Roman" w:cs="Times New Roman"/>
          <w:sz w:val="24"/>
          <w:szCs w:val="24"/>
        </w:rPr>
        <w:t xml:space="preserve">The funnel plot for studies using the rate of </w:t>
      </w:r>
      <w:bookmarkStart w:id="15" w:name="OLE_LINK33"/>
      <w:r>
        <w:rPr>
          <w:rFonts w:ascii="Times New Roman" w:hAnsi="Times New Roman" w:cs="Times New Roman"/>
          <w:sz w:val="24"/>
          <w:szCs w:val="24"/>
        </w:rPr>
        <w:t>appropriate</w:t>
      </w:r>
      <w:bookmarkEnd w:id="15"/>
      <w:r>
        <w:rPr>
          <w:rFonts w:ascii="Times New Roman" w:hAnsi="Times New Roman" w:cs="Times New Roman"/>
          <w:sz w:val="24"/>
          <w:szCs w:val="24"/>
        </w:rPr>
        <w:t xml:space="preserve"> antibiotic prescribing as the outcome measure.</w:t>
      </w:r>
    </w:p>
    <w:p w14:paraId="617F91A1">
      <w:pPr>
        <w:ind w:left="210" w:hanging="210" w:hangingChars="100"/>
        <w:jc w:val="center"/>
        <w:rPr>
          <w:rFonts w:ascii="Times New Roman" w:hAnsi="Times New Roman" w:cs="Times New Roman"/>
        </w:rPr>
      </w:pPr>
      <w:r>
        <w:rPr>
          <w:rFonts w:ascii="Times New Roman" w:hAnsi="Times New Roman" w:eastAsia="宋体" w:cs="Times New Roman"/>
          <w:szCs w:val="21"/>
          <w:lang w:bidi="ar"/>
        </w:rPr>
        <w:drawing>
          <wp:inline distT="0" distB="0" distL="114300" distR="114300">
            <wp:extent cx="6642100" cy="4236085"/>
            <wp:effectExtent l="0" t="0" r="6350" b="0"/>
            <wp:docPr id="5" name="图片 5" descr="国家收入亚组次要干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国家收入亚组次要干预"/>
                    <pic:cNvPicPr>
                      <a:picLocks noChangeAspect="1"/>
                    </pic:cNvPicPr>
                  </pic:nvPicPr>
                  <pic:blipFill>
                    <a:blip r:embed="rId8"/>
                    <a:stretch>
                      <a:fillRect/>
                    </a:stretch>
                  </pic:blipFill>
                  <pic:spPr>
                    <a:xfrm>
                      <a:off x="0" y="0"/>
                      <a:ext cx="6655788" cy="4245201"/>
                    </a:xfrm>
                    <a:prstGeom prst="rect">
                      <a:avLst/>
                    </a:prstGeom>
                  </pic:spPr>
                </pic:pic>
              </a:graphicData>
            </a:graphic>
          </wp:inline>
        </w:drawing>
      </w:r>
    </w:p>
    <w:p w14:paraId="3DA8AFC0">
      <w:pPr>
        <w:ind w:firstLine="480" w:firstLineChars="200"/>
        <w:jc w:val="left"/>
        <w:rPr>
          <w:rFonts w:ascii="Times New Roman" w:hAnsi="Times New Roman" w:cs="Times New Roman"/>
          <w:sz w:val="24"/>
          <w:szCs w:val="24"/>
        </w:rPr>
      </w:pPr>
      <w:r>
        <w:rPr>
          <w:rFonts w:ascii="Times New Roman" w:hAnsi="Times New Roman" w:cs="Times New Roman"/>
          <w:b/>
          <w:bCs/>
          <w:sz w:val="24"/>
          <w:szCs w:val="24"/>
        </w:rPr>
        <w:t xml:space="preserve">Figure </w:t>
      </w:r>
      <w:r>
        <w:rPr>
          <w:rFonts w:hint="eastAsia" w:ascii="Times New Roman" w:hAnsi="Times New Roman" w:cs="Times New Roman"/>
          <w:b/>
          <w:bCs/>
          <w:sz w:val="24"/>
          <w:szCs w:val="24"/>
        </w:rPr>
        <w:t>A4</w:t>
      </w:r>
      <w:r>
        <w:rPr>
          <w:rFonts w:ascii="Times New Roman" w:hAnsi="Times New Roman" w:cs="Times New Roman"/>
          <w:b/>
          <w:bCs/>
          <w:sz w:val="24"/>
          <w:szCs w:val="24"/>
        </w:rPr>
        <w:t>.</w:t>
      </w:r>
      <w:r>
        <w:rPr>
          <w:rFonts w:ascii="Times New Roman" w:hAnsi="Times New Roman" w:cs="Times New Roman"/>
          <w:sz w:val="24"/>
          <w:szCs w:val="24"/>
        </w:rPr>
        <w:t xml:space="preserve"> Subgroup Analyses (</w:t>
      </w:r>
      <w:r>
        <w:rPr>
          <w:rFonts w:hint="eastAsia" w:ascii="Times New Roman" w:hAnsi="Times New Roman" w:cs="Times New Roman"/>
          <w:sz w:val="24"/>
          <w:szCs w:val="24"/>
        </w:rPr>
        <w:t>Antibiotic prescribing rate</w:t>
      </w:r>
      <w:r>
        <w:rPr>
          <w:rFonts w:ascii="Times New Roman" w:hAnsi="Times New Roman" w:cs="Times New Roman"/>
          <w:sz w:val="24"/>
          <w:szCs w:val="24"/>
        </w:rPr>
        <w:t>)</w:t>
      </w:r>
      <w:r>
        <w:rPr>
          <w:rFonts w:hint="eastAsia" w:ascii="Times New Roman" w:hAnsi="Times New Roman" w:cs="Times New Roman"/>
          <w:sz w:val="24"/>
          <w:szCs w:val="24"/>
        </w:rPr>
        <w:t>.</w:t>
      </w:r>
    </w:p>
    <w:p w14:paraId="604D5878">
      <w:pPr>
        <w:ind w:firstLine="480" w:firstLineChars="200"/>
        <w:jc w:val="left"/>
        <w:rPr>
          <w:rFonts w:ascii="Times New Roman" w:hAnsi="Times New Roman" w:cs="Times New Roman"/>
          <w:sz w:val="24"/>
          <w:szCs w:val="24"/>
        </w:rPr>
      </w:pPr>
      <w:r>
        <w:rPr>
          <w:rFonts w:ascii="Times New Roman" w:hAnsi="Times New Roman" w:cs="Times New Roman"/>
          <w:sz w:val="24"/>
          <w:szCs w:val="24"/>
        </w:rPr>
        <w:t>A Forest plot of included studies stratified by</w:t>
      </w:r>
      <w:r>
        <w:rPr>
          <w:rFonts w:hint="eastAsia" w:ascii="Times New Roman" w:hAnsi="Times New Roman" w:cs="Times New Roman"/>
          <w:sz w:val="24"/>
          <w:szCs w:val="24"/>
        </w:rPr>
        <w:t xml:space="preserve"> national income level.</w:t>
      </w:r>
    </w:p>
    <w:p w14:paraId="0B6B3849">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1C55CD2">
      <w:pPr>
        <w:jc w:val="left"/>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p>
    <w:p w14:paraId="5F4D0E03">
      <w:pPr>
        <w:jc w:val="center"/>
        <w:rPr>
          <w:rFonts w:ascii="Times New Roman" w:hAnsi="Times New Roman" w:eastAsia="宋体" w:cs="Times New Roman"/>
          <w:szCs w:val="21"/>
          <w:lang w:bidi="ar"/>
        </w:rPr>
      </w:pPr>
      <w:r>
        <w:rPr>
          <w:rFonts w:ascii="Times New Roman" w:hAnsi="Times New Roman" w:cs="Times New Roman"/>
        </w:rPr>
        <w:drawing>
          <wp:inline distT="0" distB="0" distL="114300" distR="114300">
            <wp:extent cx="6565900" cy="4560570"/>
            <wp:effectExtent l="0" t="0" r="6350" b="0"/>
            <wp:docPr id="3" name="图片 3" descr="次要年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次要年份"/>
                    <pic:cNvPicPr>
                      <a:picLocks noChangeAspect="1"/>
                    </pic:cNvPicPr>
                  </pic:nvPicPr>
                  <pic:blipFill>
                    <a:blip r:embed="rId9"/>
                    <a:srcRect t="17107" r="1422" b="18667"/>
                    <a:stretch>
                      <a:fillRect/>
                    </a:stretch>
                  </pic:blipFill>
                  <pic:spPr>
                    <a:xfrm>
                      <a:off x="0" y="0"/>
                      <a:ext cx="6584324" cy="4573542"/>
                    </a:xfrm>
                    <a:prstGeom prst="rect">
                      <a:avLst/>
                    </a:prstGeom>
                  </pic:spPr>
                </pic:pic>
              </a:graphicData>
            </a:graphic>
          </wp:inline>
        </w:drawing>
      </w:r>
    </w:p>
    <w:p w14:paraId="1DE42911">
      <w:pPr>
        <w:ind w:firstLine="480" w:firstLineChars="200"/>
        <w:jc w:val="left"/>
        <w:rPr>
          <w:rFonts w:ascii="Times New Roman" w:hAnsi="Times New Roman" w:cs="Times New Roman"/>
          <w:sz w:val="24"/>
          <w:szCs w:val="24"/>
        </w:rPr>
      </w:pPr>
      <w:r>
        <w:rPr>
          <w:rFonts w:ascii="Times New Roman" w:hAnsi="Times New Roman" w:cs="Times New Roman"/>
          <w:b/>
          <w:bCs/>
          <w:sz w:val="24"/>
          <w:szCs w:val="24"/>
        </w:rPr>
        <w:t xml:space="preserve">Figure </w:t>
      </w:r>
      <w:r>
        <w:rPr>
          <w:rFonts w:hint="eastAsia" w:ascii="Times New Roman" w:hAnsi="Times New Roman" w:cs="Times New Roman"/>
          <w:b/>
          <w:bCs/>
          <w:sz w:val="24"/>
          <w:szCs w:val="24"/>
        </w:rPr>
        <w:t>A5</w:t>
      </w:r>
      <w:r>
        <w:rPr>
          <w:rFonts w:ascii="Times New Roman" w:hAnsi="Times New Roman" w:cs="Times New Roman"/>
          <w:b/>
          <w:bCs/>
          <w:sz w:val="24"/>
          <w:szCs w:val="24"/>
        </w:rPr>
        <w:t>.</w:t>
      </w:r>
      <w:r>
        <w:rPr>
          <w:rFonts w:ascii="Times New Roman" w:hAnsi="Times New Roman" w:cs="Times New Roman"/>
          <w:sz w:val="24"/>
          <w:szCs w:val="24"/>
        </w:rPr>
        <w:t xml:space="preserve"> Subgroup Analyses (</w:t>
      </w:r>
      <w:r>
        <w:rPr>
          <w:rFonts w:hint="eastAsia" w:ascii="Times New Roman" w:hAnsi="Times New Roman" w:cs="Times New Roman"/>
          <w:sz w:val="24"/>
          <w:szCs w:val="24"/>
        </w:rPr>
        <w:t>Antibiotic prescribing rate</w:t>
      </w:r>
      <w:r>
        <w:rPr>
          <w:rFonts w:ascii="Times New Roman" w:hAnsi="Times New Roman" w:cs="Times New Roman"/>
          <w:sz w:val="24"/>
          <w:szCs w:val="24"/>
        </w:rPr>
        <w:t xml:space="preserve">) </w:t>
      </w:r>
    </w:p>
    <w:p w14:paraId="550842D9">
      <w:pPr>
        <w:ind w:firstLine="480" w:firstLineChars="200"/>
        <w:jc w:val="left"/>
        <w:rPr>
          <w:rFonts w:ascii="Times New Roman" w:hAnsi="Times New Roman" w:cs="Times New Roman"/>
          <w:sz w:val="24"/>
          <w:szCs w:val="24"/>
        </w:rPr>
      </w:pPr>
      <w:r>
        <w:rPr>
          <w:rFonts w:ascii="Times New Roman" w:hAnsi="Times New Roman" w:cs="Times New Roman"/>
          <w:sz w:val="24"/>
          <w:szCs w:val="24"/>
        </w:rPr>
        <w:t>A Forest plot of included studies stratified by</w:t>
      </w:r>
      <w:r>
        <w:rPr>
          <w:rFonts w:hint="eastAsia" w:ascii="Times New Roman" w:hAnsi="Times New Roman" w:cs="Times New Roman"/>
          <w:sz w:val="24"/>
          <w:szCs w:val="24"/>
        </w:rPr>
        <w:t xml:space="preserve"> research time.</w:t>
      </w:r>
    </w:p>
    <w:p w14:paraId="765DA26E">
      <w:pPr>
        <w:jc w:val="center"/>
        <w:rPr>
          <w:rFonts w:ascii="Times New Roman" w:hAnsi="Times New Roman" w:eastAsia="宋体" w:cs="Times New Roman"/>
          <w:b/>
          <w:bCs/>
          <w:sz w:val="24"/>
          <w:szCs w:val="24"/>
          <w:lang w:bidi="ar"/>
        </w:rPr>
      </w:pPr>
    </w:p>
    <w:p w14:paraId="7FC92858">
      <w:pPr>
        <w:jc w:val="center"/>
        <w:rPr>
          <w:rFonts w:ascii="Times New Roman" w:hAnsi="Times New Roman" w:eastAsia="宋体" w:cs="Times New Roman"/>
          <w:b/>
          <w:bCs/>
          <w:sz w:val="28"/>
          <w:szCs w:val="28"/>
          <w:lang w:bidi="ar"/>
        </w:rPr>
      </w:pPr>
      <w:r>
        <w:rPr>
          <w:rFonts w:ascii="Times New Roman" w:hAnsi="Times New Roman" w:eastAsia="宋体" w:cs="Times New Roman"/>
          <w:b/>
          <w:bCs/>
          <w:sz w:val="28"/>
          <w:szCs w:val="28"/>
          <w:lang w:bidi="ar"/>
        </w:rPr>
        <w:drawing>
          <wp:inline distT="0" distB="0" distL="114300" distR="114300">
            <wp:extent cx="7848600" cy="3893820"/>
            <wp:effectExtent l="0" t="0" r="0" b="0"/>
            <wp:docPr id="8" name="图片 8" descr="DDD国家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DD国家亚组"/>
                    <pic:cNvPicPr>
                      <a:picLocks noChangeAspect="1"/>
                    </pic:cNvPicPr>
                  </pic:nvPicPr>
                  <pic:blipFill>
                    <a:blip r:embed="rId10"/>
                    <a:stretch>
                      <a:fillRect/>
                    </a:stretch>
                  </pic:blipFill>
                  <pic:spPr>
                    <a:xfrm>
                      <a:off x="0" y="0"/>
                      <a:ext cx="7876853" cy="3908036"/>
                    </a:xfrm>
                    <a:prstGeom prst="rect">
                      <a:avLst/>
                    </a:prstGeom>
                  </pic:spPr>
                </pic:pic>
              </a:graphicData>
            </a:graphic>
          </wp:inline>
        </w:drawing>
      </w:r>
    </w:p>
    <w:p w14:paraId="2431841E">
      <w:pPr>
        <w:rPr>
          <w:rFonts w:ascii="Times New Roman" w:hAnsi="Times New Roman" w:cs="Times New Roman"/>
          <w:sz w:val="24"/>
          <w:szCs w:val="24"/>
        </w:rPr>
      </w:pPr>
      <w:r>
        <w:rPr>
          <w:rFonts w:ascii="Times New Roman" w:hAnsi="Times New Roman" w:cs="Times New Roman"/>
          <w:b/>
          <w:bCs/>
          <w:sz w:val="24"/>
          <w:szCs w:val="24"/>
        </w:rPr>
        <w:t xml:space="preserve">Figure </w:t>
      </w:r>
      <w:r>
        <w:rPr>
          <w:rFonts w:hint="eastAsia" w:ascii="Times New Roman" w:hAnsi="Times New Roman" w:cs="Times New Roman"/>
          <w:b/>
          <w:bCs/>
          <w:sz w:val="24"/>
          <w:szCs w:val="24"/>
        </w:rPr>
        <w:t>A6</w:t>
      </w:r>
      <w:r>
        <w:rPr>
          <w:rFonts w:ascii="Times New Roman" w:hAnsi="Times New Roman" w:cs="Times New Roman"/>
          <w:b/>
          <w:bCs/>
          <w:sz w:val="24"/>
          <w:szCs w:val="24"/>
        </w:rPr>
        <w:t>.</w:t>
      </w:r>
      <w:r>
        <w:rPr>
          <w:rFonts w:ascii="Times New Roman" w:hAnsi="Times New Roman" w:cs="Times New Roman"/>
          <w:sz w:val="24"/>
          <w:szCs w:val="24"/>
        </w:rPr>
        <w:t xml:space="preserve"> Subgroup Analyses (</w:t>
      </w:r>
      <w:r>
        <w:rPr>
          <w:rFonts w:hint="eastAsia" w:ascii="Times New Roman" w:hAnsi="Times New Roman" w:cs="Times New Roman"/>
          <w:sz w:val="24"/>
          <w:szCs w:val="24"/>
        </w:rPr>
        <w:t>Consumption of antimicrobial drugs</w:t>
      </w:r>
      <w:r>
        <w:rPr>
          <w:rFonts w:ascii="Times New Roman" w:hAnsi="Times New Roman" w:cs="Times New Roman"/>
          <w:sz w:val="24"/>
          <w:szCs w:val="24"/>
        </w:rPr>
        <w:t>)</w:t>
      </w:r>
      <w:r>
        <w:rPr>
          <w:rFonts w:hint="eastAsia" w:ascii="Times New Roman" w:hAnsi="Times New Roman" w:cs="Times New Roman"/>
          <w:sz w:val="24"/>
          <w:szCs w:val="24"/>
        </w:rPr>
        <w:t>.</w:t>
      </w:r>
    </w:p>
    <w:p w14:paraId="1AA6294D">
      <w:pPr>
        <w:rPr>
          <w:rFonts w:ascii="Times New Roman" w:hAnsi="Times New Roman" w:cs="Times New Roman"/>
          <w:sz w:val="24"/>
          <w:szCs w:val="24"/>
        </w:rPr>
      </w:pPr>
      <w:r>
        <w:rPr>
          <w:rFonts w:ascii="Times New Roman" w:hAnsi="Times New Roman" w:cs="Times New Roman"/>
          <w:sz w:val="24"/>
          <w:szCs w:val="24"/>
        </w:rPr>
        <w:t>A Forest plot of included studies stratified by</w:t>
      </w:r>
      <w:r>
        <w:rPr>
          <w:rFonts w:hint="eastAsia" w:ascii="Times New Roman" w:hAnsi="Times New Roman" w:cs="Times New Roman"/>
          <w:sz w:val="24"/>
          <w:szCs w:val="24"/>
        </w:rPr>
        <w:t xml:space="preserve"> national income level.</w:t>
      </w:r>
    </w:p>
    <w:p w14:paraId="5B869A89">
      <w:pPr>
        <w:widowControl/>
        <w:jc w:val="left"/>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r>
        <w:rPr>
          <w:rFonts w:ascii="Times New Roman" w:hAnsi="Times New Roman" w:cs="Times New Roman"/>
          <w:sz w:val="24"/>
          <w:szCs w:val="24"/>
        </w:rPr>
        <w:br w:type="page"/>
      </w:r>
    </w:p>
    <w:p w14:paraId="1F4D2C84">
      <w:pPr>
        <w:rPr>
          <w:rFonts w:ascii="Times New Roman" w:hAnsi="Times New Roman" w:eastAsia="宋体" w:cs="Times New Roman"/>
          <w:b/>
          <w:bCs/>
          <w:sz w:val="24"/>
          <w:szCs w:val="24"/>
          <w:lang w:bidi="ar"/>
        </w:rPr>
      </w:pPr>
      <w:r>
        <w:rPr>
          <w:rFonts w:ascii="Times New Roman" w:hAnsi="Times New Roman" w:cs="Times New Roman"/>
          <w:b/>
          <w:bCs/>
          <w:sz w:val="28"/>
          <w:szCs w:val="28"/>
        </w:rPr>
        <w:t xml:space="preserve">Appendix </w:t>
      </w:r>
      <w:r>
        <w:rPr>
          <w:rFonts w:hint="eastAsia" w:ascii="Times New Roman" w:hAnsi="Times New Roman" w:cs="Times New Roman"/>
          <w:b/>
          <w:bCs/>
          <w:sz w:val="28"/>
          <w:szCs w:val="28"/>
        </w:rPr>
        <w:t>7</w:t>
      </w:r>
    </w:p>
    <w:p w14:paraId="35AD6F04">
      <w:pPr>
        <w:jc w:val="left"/>
        <w:rPr>
          <w:rFonts w:ascii="Times New Roman" w:hAnsi="Times New Roman" w:eastAsia="宋体" w:cs="Times New Roman"/>
          <w:sz w:val="24"/>
          <w:szCs w:val="24"/>
          <w:lang w:bidi="ar"/>
        </w:rPr>
      </w:pPr>
      <w:r>
        <w:rPr>
          <w:rFonts w:hint="eastAsia" w:ascii="Times New Roman" w:hAnsi="Times New Roman" w:cs="Times New Roman"/>
          <w:b/>
          <w:bCs/>
          <w:sz w:val="24"/>
          <w:szCs w:val="24"/>
        </w:rPr>
        <w:t>Table A12.</w:t>
      </w:r>
      <w:r>
        <w:rPr>
          <w:rFonts w:hint="eastAsia" w:ascii="Times New Roman" w:hAnsi="Times New Roman" w:eastAsia="宋体" w:cs="Times New Roman"/>
          <w:sz w:val="24"/>
          <w:szCs w:val="24"/>
          <w:lang w:bidi="ar"/>
        </w:rPr>
        <w:t>Studies assessing the effect of intervention on antibiotic prescribing behavior.</w:t>
      </w:r>
    </w:p>
    <w:tbl>
      <w:tblPr>
        <w:tblStyle w:val="6"/>
        <w:tblW w:w="6236" w:type="pct"/>
        <w:tblInd w:w="-714" w:type="dxa"/>
        <w:tblLayout w:type="autofit"/>
        <w:tblCellMar>
          <w:top w:w="0" w:type="dxa"/>
          <w:left w:w="108" w:type="dxa"/>
          <w:bottom w:w="0" w:type="dxa"/>
          <w:right w:w="108" w:type="dxa"/>
        </w:tblCellMar>
      </w:tblPr>
      <w:tblGrid>
        <w:gridCol w:w="1402"/>
        <w:gridCol w:w="2681"/>
        <w:gridCol w:w="1121"/>
        <w:gridCol w:w="2528"/>
        <w:gridCol w:w="2627"/>
      </w:tblGrid>
      <w:tr w14:paraId="4B9C8EA8">
        <w:tblPrEx>
          <w:tblCellMar>
            <w:top w:w="0" w:type="dxa"/>
            <w:left w:w="108" w:type="dxa"/>
            <w:bottom w:w="0" w:type="dxa"/>
            <w:right w:w="108" w:type="dxa"/>
          </w:tblCellMar>
        </w:tblPrEx>
        <w:trPr>
          <w:trHeight w:val="280" w:hRule="atLeast"/>
        </w:trPr>
        <w:tc>
          <w:tcPr>
            <w:tcW w:w="684" w:type="pct"/>
            <w:tcBorders>
              <w:top w:val="single" w:color="B9D7EA" w:sz="4" w:space="0"/>
              <w:left w:val="single" w:color="B9D7EA" w:sz="4" w:space="0"/>
              <w:bottom w:val="single" w:color="B9D7EA" w:sz="4" w:space="0"/>
              <w:right w:val="dashed" w:color="DDDDDD" w:sz="4" w:space="0"/>
            </w:tcBorders>
            <w:shd w:val="clear" w:color="auto" w:fill="B9D7EA"/>
            <w:noWrap/>
            <w:vAlign w:val="center"/>
          </w:tcPr>
          <w:p w14:paraId="5988CDEF">
            <w:pPr>
              <w:widowControl/>
              <w:jc w:val="center"/>
              <w:rPr>
                <w:rFonts w:ascii="Times New Roman" w:hAnsi="Times New Roman" w:eastAsia="宋体" w:cs="Times New Roman"/>
                <w:b/>
                <w:bCs/>
                <w:color w:val="000000"/>
                <w:kern w:val="0"/>
                <w:sz w:val="20"/>
                <w:szCs w:val="20"/>
              </w:rPr>
            </w:pPr>
            <w:r>
              <w:rPr>
                <w:rFonts w:hint="eastAsia" w:ascii="Times New Roman" w:hAnsi="Times New Roman" w:eastAsia="宋体" w:cs="Times New Roman"/>
                <w:b/>
                <w:bCs/>
                <w:color w:val="000000"/>
                <w:kern w:val="0"/>
                <w:sz w:val="20"/>
                <w:szCs w:val="20"/>
                <w:lang w:bidi="ar"/>
              </w:rPr>
              <w:t>　</w:t>
            </w:r>
          </w:p>
        </w:tc>
        <w:tc>
          <w:tcPr>
            <w:tcW w:w="1301" w:type="pct"/>
            <w:tcBorders>
              <w:top w:val="single" w:color="B9D7EA" w:sz="4" w:space="0"/>
              <w:left w:val="nil"/>
              <w:bottom w:val="single" w:color="B9D7EA" w:sz="4" w:space="0"/>
              <w:right w:val="dashed" w:color="DDDDDD" w:sz="4" w:space="0"/>
            </w:tcBorders>
            <w:shd w:val="clear" w:color="auto" w:fill="B9D7EA"/>
            <w:vAlign w:val="center"/>
          </w:tcPr>
          <w:p w14:paraId="70512FB9">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Outcome measure</w:t>
            </w:r>
          </w:p>
        </w:tc>
        <w:tc>
          <w:tcPr>
            <w:tcW w:w="548" w:type="pct"/>
            <w:tcBorders>
              <w:top w:val="single" w:color="B9D7EA" w:sz="4" w:space="0"/>
              <w:left w:val="nil"/>
              <w:bottom w:val="single" w:color="B9D7EA" w:sz="4" w:space="0"/>
              <w:right w:val="dashed" w:color="DDDDDD" w:sz="4" w:space="0"/>
            </w:tcBorders>
            <w:shd w:val="clear" w:color="auto" w:fill="B9D7EA"/>
            <w:vAlign w:val="center"/>
          </w:tcPr>
          <w:p w14:paraId="75A0CD9B">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Effect</w:t>
            </w:r>
          </w:p>
        </w:tc>
        <w:tc>
          <w:tcPr>
            <w:tcW w:w="1227" w:type="pct"/>
            <w:tcBorders>
              <w:top w:val="single" w:color="B9D7EA" w:sz="4" w:space="0"/>
              <w:left w:val="nil"/>
              <w:bottom w:val="single" w:color="B9D7EA" w:sz="4" w:space="0"/>
              <w:right w:val="dashed" w:color="DDDDDD" w:sz="4" w:space="0"/>
            </w:tcBorders>
            <w:shd w:val="clear" w:color="auto" w:fill="B9D7EA"/>
            <w:vAlign w:val="center"/>
          </w:tcPr>
          <w:p w14:paraId="34FCA7D3">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Statistics</w:t>
            </w:r>
          </w:p>
        </w:tc>
        <w:tc>
          <w:tcPr>
            <w:tcW w:w="1238" w:type="pct"/>
            <w:tcBorders>
              <w:top w:val="single" w:color="B9D7EA" w:sz="4" w:space="0"/>
              <w:left w:val="nil"/>
              <w:bottom w:val="single" w:color="B9D7EA" w:sz="4" w:space="0"/>
              <w:right w:val="single" w:color="B9D7EA" w:sz="4" w:space="0"/>
            </w:tcBorders>
            <w:shd w:val="clear" w:color="auto" w:fill="B9D7EA"/>
            <w:vAlign w:val="center"/>
          </w:tcPr>
          <w:p w14:paraId="5BBF0E83">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 xml:space="preserve">95%CI </w:t>
            </w:r>
          </w:p>
        </w:tc>
      </w:tr>
      <w:tr w14:paraId="33DF4E92">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50199F6B">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Anthony</w:t>
            </w:r>
            <w:r>
              <w:rPr>
                <w:rFonts w:hint="eastAsia" w:ascii="Times New Roman" w:hAnsi="Times New Roman" w:eastAsia="宋体" w:cs="Times New Roman"/>
                <w:b/>
                <w:bCs/>
                <w:color w:val="000000"/>
                <w:kern w:val="0"/>
                <w:sz w:val="20"/>
                <w:szCs w:val="20"/>
                <w:lang w:bidi="ar"/>
              </w:rPr>
              <w:t xml:space="preserve"> </w:t>
            </w:r>
            <w:r>
              <w:rPr>
                <w:rFonts w:ascii="Times New Roman" w:hAnsi="Times New Roman" w:eastAsia="宋体" w:cs="Times New Roman"/>
                <w:b/>
                <w:bCs/>
                <w:color w:val="000000"/>
                <w:kern w:val="0"/>
                <w:sz w:val="20"/>
                <w:szCs w:val="20"/>
                <w:lang w:bidi="ar"/>
              </w:rPr>
              <w:t>M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2008</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0205A44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2D7C6B3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192B2A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RR=0.95</w:t>
            </w:r>
          </w:p>
        </w:tc>
        <w:tc>
          <w:tcPr>
            <w:tcW w:w="1238" w:type="pct"/>
            <w:tcBorders>
              <w:top w:val="nil"/>
              <w:left w:val="nil"/>
              <w:bottom w:val="dashed" w:color="DDDDDD" w:sz="4" w:space="0"/>
              <w:right w:val="single" w:color="B9D7EA" w:sz="4" w:space="0"/>
            </w:tcBorders>
            <w:shd w:val="clear" w:color="auto" w:fill="FFFFFF"/>
            <w:vAlign w:val="center"/>
          </w:tcPr>
          <w:p w14:paraId="2817CB4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95%CI:0.93to0.97</w:t>
            </w:r>
          </w:p>
        </w:tc>
      </w:tr>
      <w:tr w14:paraId="371849E1">
        <w:tblPrEx>
          <w:tblCellMar>
            <w:top w:w="0" w:type="dxa"/>
            <w:left w:w="108" w:type="dxa"/>
            <w:bottom w:w="0" w:type="dxa"/>
            <w:right w:w="108" w:type="dxa"/>
          </w:tblCellMar>
        </w:tblPrEx>
        <w:trPr>
          <w:trHeight w:val="131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18D60BB6">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Carlos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2003</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668C025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p w14:paraId="2442601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216CBA0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Partially effective</w:t>
            </w:r>
          </w:p>
        </w:tc>
        <w:tc>
          <w:tcPr>
            <w:tcW w:w="1227" w:type="pct"/>
            <w:tcBorders>
              <w:top w:val="nil"/>
              <w:left w:val="nil"/>
              <w:bottom w:val="dashed" w:color="DDDDDD" w:sz="4" w:space="0"/>
              <w:right w:val="dashed" w:color="DDDDDD" w:sz="4" w:space="0"/>
            </w:tcBorders>
            <w:shd w:val="clear" w:color="auto" w:fill="F7FBFC"/>
            <w:vAlign w:val="center"/>
          </w:tcPr>
          <w:p w14:paraId="632890E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 RR=0.11</w:t>
            </w:r>
          </w:p>
          <w:p w14:paraId="264CC8C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 RR=0.88</w:t>
            </w:r>
          </w:p>
        </w:tc>
        <w:tc>
          <w:tcPr>
            <w:tcW w:w="1238" w:type="pct"/>
            <w:tcBorders>
              <w:top w:val="nil"/>
              <w:left w:val="nil"/>
              <w:bottom w:val="dashed" w:color="DDDDDD" w:sz="4" w:space="0"/>
              <w:right w:val="single" w:color="B9D7EA" w:sz="4" w:space="0"/>
            </w:tcBorders>
            <w:shd w:val="clear" w:color="auto" w:fill="F7FBFC"/>
            <w:vAlign w:val="center"/>
          </w:tcPr>
          <w:p w14:paraId="6ABEB38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Antibiotic:95%CI:0.07to0.18</w:t>
            </w:r>
          </w:p>
          <w:p w14:paraId="30FB632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Antibiotic:95%CI:0.73to1.06</w:t>
            </w:r>
          </w:p>
        </w:tc>
      </w:tr>
      <w:tr w14:paraId="614379F7">
        <w:tblPrEx>
          <w:tblCellMar>
            <w:top w:w="0" w:type="dxa"/>
            <w:left w:w="108" w:type="dxa"/>
            <w:bottom w:w="0" w:type="dxa"/>
            <w:right w:w="108" w:type="dxa"/>
          </w:tblCellMar>
        </w:tblPrEx>
        <w:trPr>
          <w:trHeight w:val="135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39D70DBD">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Carol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2000</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0A36CCB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p w14:paraId="7357BBF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07D35491">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5160042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 RR=1.14</w:t>
            </w:r>
          </w:p>
          <w:p w14:paraId="6B8B74C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 RR=0.73</w:t>
            </w:r>
          </w:p>
        </w:tc>
        <w:tc>
          <w:tcPr>
            <w:tcW w:w="1238" w:type="pct"/>
            <w:tcBorders>
              <w:top w:val="nil"/>
              <w:left w:val="nil"/>
              <w:bottom w:val="dashed" w:color="DDDDDD" w:sz="4" w:space="0"/>
              <w:right w:val="single" w:color="B9D7EA" w:sz="4" w:space="0"/>
            </w:tcBorders>
            <w:shd w:val="clear" w:color="auto" w:fill="FFFFFF"/>
            <w:vAlign w:val="center"/>
          </w:tcPr>
          <w:p w14:paraId="600CBE4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Antibiotic:95%CI:0.96to1.35</w:t>
            </w:r>
          </w:p>
          <w:p w14:paraId="63EB9F1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Antibiotic:95%CI:0.48to-1.11</w:t>
            </w:r>
          </w:p>
        </w:tc>
      </w:tr>
      <w:tr w14:paraId="09CC60A4">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74AAEA8B">
            <w:pPr>
              <w:widowControl/>
              <w:jc w:val="center"/>
              <w:rPr>
                <w:rFonts w:ascii="Times New Roman" w:hAnsi="Times New Roman" w:eastAsia="宋体" w:cs="Times New Roman"/>
                <w:b/>
                <w:bCs/>
                <w:color w:val="000000"/>
                <w:kern w:val="0"/>
                <w:sz w:val="20"/>
                <w:szCs w:val="20"/>
              </w:rPr>
            </w:pPr>
            <w:bookmarkStart w:id="16" w:name="_Hlk202952405"/>
            <w:r>
              <w:rPr>
                <w:rFonts w:ascii="Times New Roman" w:hAnsi="Times New Roman" w:eastAsia="宋体" w:cs="Times New Roman"/>
                <w:b/>
                <w:bCs/>
                <w:color w:val="000000"/>
                <w:kern w:val="0"/>
                <w:sz w:val="20"/>
                <w:szCs w:val="20"/>
              </w:rPr>
              <w:t>Choe et al.</w:t>
            </w:r>
            <w:r>
              <w:rPr>
                <w:rFonts w:hint="eastAsia" w:ascii="宋体" w:hAnsi="宋体" w:eastAsia="宋体" w:cs="Times New Roman"/>
                <w:b/>
                <w:bCs/>
                <w:color w:val="000000"/>
                <w:kern w:val="0"/>
                <w:sz w:val="20"/>
                <w:szCs w:val="20"/>
              </w:rPr>
              <w:t>（</w:t>
            </w:r>
            <w:r>
              <w:rPr>
                <w:rFonts w:ascii="Times New Roman" w:hAnsi="Times New Roman" w:eastAsia="宋体" w:cs="Times New Roman"/>
                <w:b/>
                <w:bCs/>
                <w:color w:val="000000"/>
                <w:kern w:val="0"/>
                <w:sz w:val="20"/>
                <w:szCs w:val="20"/>
              </w:rPr>
              <w:t>2018</w:t>
            </w:r>
            <w:r>
              <w:rPr>
                <w:rFonts w:hint="eastAsia" w:ascii="宋体" w:hAnsi="宋体" w:eastAsia="宋体" w:cs="Times New Roman"/>
                <w:b/>
                <w:bCs/>
                <w:color w:val="000000"/>
                <w:kern w:val="0"/>
                <w:sz w:val="20"/>
                <w:szCs w:val="20"/>
              </w:rPr>
              <w:t>）</w:t>
            </w:r>
          </w:p>
        </w:tc>
        <w:tc>
          <w:tcPr>
            <w:tcW w:w="1301" w:type="pct"/>
            <w:tcBorders>
              <w:top w:val="nil"/>
              <w:left w:val="nil"/>
              <w:bottom w:val="dashed" w:color="DDDDDD" w:sz="4" w:space="0"/>
              <w:right w:val="dashed" w:color="DDDDDD" w:sz="4" w:space="0"/>
            </w:tcBorders>
            <w:shd w:val="clear" w:color="auto" w:fill="F7FBFC"/>
            <w:vAlign w:val="center"/>
          </w:tcPr>
          <w:p w14:paraId="5BF4D35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Actual Consumption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5A5C08A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Ineffective</w:t>
            </w:r>
          </w:p>
        </w:tc>
        <w:tc>
          <w:tcPr>
            <w:tcW w:w="1227" w:type="pct"/>
            <w:tcBorders>
              <w:top w:val="nil"/>
              <w:left w:val="nil"/>
              <w:bottom w:val="dashed" w:color="DDDDDD" w:sz="4" w:space="0"/>
              <w:right w:val="dashed" w:color="DDDDDD" w:sz="4" w:space="0"/>
            </w:tcBorders>
            <w:shd w:val="clear" w:color="auto" w:fill="F7FBFC"/>
            <w:vAlign w:val="center"/>
          </w:tcPr>
          <w:p w14:paraId="17C5691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RR=-0.16</w:t>
            </w:r>
          </w:p>
        </w:tc>
        <w:tc>
          <w:tcPr>
            <w:tcW w:w="1238" w:type="pct"/>
            <w:tcBorders>
              <w:top w:val="nil"/>
              <w:left w:val="nil"/>
              <w:bottom w:val="dashed" w:color="DDDDDD" w:sz="4" w:space="0"/>
              <w:right w:val="single" w:color="B9D7EA" w:sz="4" w:space="0"/>
            </w:tcBorders>
            <w:shd w:val="clear" w:color="auto" w:fill="F7FBFC"/>
            <w:vAlign w:val="center"/>
          </w:tcPr>
          <w:p w14:paraId="0B5CFFC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95%CI:-0.63to0.31</w:t>
            </w:r>
          </w:p>
        </w:tc>
      </w:tr>
      <w:bookmarkEnd w:id="16"/>
      <w:tr w14:paraId="6E0B455C">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00A418AC">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Flora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2008</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32532E9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3C2F21D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7732D37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RR=1.72</w:t>
            </w:r>
          </w:p>
        </w:tc>
        <w:tc>
          <w:tcPr>
            <w:tcW w:w="1238" w:type="pct"/>
            <w:tcBorders>
              <w:top w:val="nil"/>
              <w:left w:val="nil"/>
              <w:bottom w:val="dashed" w:color="DDDDDD" w:sz="4" w:space="0"/>
              <w:right w:val="single" w:color="B9D7EA" w:sz="4" w:space="0"/>
            </w:tcBorders>
            <w:shd w:val="clear" w:color="auto" w:fill="FFFFFF"/>
            <w:vAlign w:val="center"/>
          </w:tcPr>
          <w:p w14:paraId="73E6886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95%CI:1.44to2.05</w:t>
            </w:r>
          </w:p>
        </w:tc>
      </w:tr>
      <w:tr w14:paraId="1495338D">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4170BCF4">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Fouzia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2021</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1D0DB11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314F67A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7FBFC"/>
            <w:vAlign w:val="center"/>
          </w:tcPr>
          <w:p w14:paraId="4E48DA5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RR=1.05</w:t>
            </w:r>
          </w:p>
        </w:tc>
        <w:tc>
          <w:tcPr>
            <w:tcW w:w="1238" w:type="pct"/>
            <w:tcBorders>
              <w:top w:val="nil"/>
              <w:left w:val="nil"/>
              <w:bottom w:val="dashed" w:color="DDDDDD" w:sz="4" w:space="0"/>
              <w:right w:val="single" w:color="B9D7EA" w:sz="4" w:space="0"/>
            </w:tcBorders>
            <w:shd w:val="clear" w:color="auto" w:fill="F7FBFC"/>
            <w:vAlign w:val="center"/>
          </w:tcPr>
          <w:p w14:paraId="5BEC55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95%CI:0.87to1.27</w:t>
            </w:r>
          </w:p>
        </w:tc>
      </w:tr>
      <w:tr w14:paraId="0B10DBD9">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3AE7679D">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George F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2021</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5A7EBF2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4B7778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4144AE5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RR=1.09</w:t>
            </w:r>
          </w:p>
        </w:tc>
        <w:tc>
          <w:tcPr>
            <w:tcW w:w="1238" w:type="pct"/>
            <w:tcBorders>
              <w:top w:val="nil"/>
              <w:left w:val="nil"/>
              <w:bottom w:val="dashed" w:color="DDDDDD" w:sz="4" w:space="0"/>
              <w:right w:val="single" w:color="B9D7EA" w:sz="4" w:space="0"/>
            </w:tcBorders>
            <w:shd w:val="clear" w:color="auto" w:fill="FFFFFF"/>
            <w:vAlign w:val="center"/>
          </w:tcPr>
          <w:p w14:paraId="02E0F48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95%CI:1.07to1.10</w:t>
            </w:r>
          </w:p>
        </w:tc>
      </w:tr>
      <w:tr w14:paraId="2665EF1C">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20CEC54A">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Gonzalo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1994</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37736D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624A4E2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7FBFC"/>
            <w:vAlign w:val="center"/>
          </w:tcPr>
          <w:p w14:paraId="57A5EDD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RR=0.55</w:t>
            </w:r>
          </w:p>
        </w:tc>
        <w:tc>
          <w:tcPr>
            <w:tcW w:w="1238" w:type="pct"/>
            <w:tcBorders>
              <w:top w:val="nil"/>
              <w:left w:val="nil"/>
              <w:bottom w:val="dashed" w:color="DDDDDD" w:sz="4" w:space="0"/>
              <w:right w:val="single" w:color="B9D7EA" w:sz="4" w:space="0"/>
            </w:tcBorders>
            <w:shd w:val="clear" w:color="auto" w:fill="F7FBFC"/>
            <w:vAlign w:val="center"/>
          </w:tcPr>
          <w:p w14:paraId="13A119C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95%CI:0.22to1.35</w:t>
            </w:r>
          </w:p>
        </w:tc>
      </w:tr>
      <w:tr w14:paraId="333D93A0">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2F92D186">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Hamdy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2020</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2E7CDF0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078568EA">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24168A2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RR=0.34</w:t>
            </w:r>
          </w:p>
        </w:tc>
        <w:tc>
          <w:tcPr>
            <w:tcW w:w="1238" w:type="pct"/>
            <w:tcBorders>
              <w:top w:val="nil"/>
              <w:left w:val="nil"/>
              <w:bottom w:val="dashed" w:color="DDDDDD" w:sz="4" w:space="0"/>
              <w:right w:val="single" w:color="B9D7EA" w:sz="4" w:space="0"/>
            </w:tcBorders>
            <w:shd w:val="clear" w:color="auto" w:fill="FFFFFF"/>
            <w:vAlign w:val="center"/>
          </w:tcPr>
          <w:p w14:paraId="0FBF26B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95%CI:0.11to1.01</w:t>
            </w:r>
          </w:p>
        </w:tc>
      </w:tr>
      <w:tr w14:paraId="0E9DEAAE">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5C5523BC">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Hurst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2016</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4948CF7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094CF9B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7FBFC"/>
            <w:vAlign w:val="center"/>
          </w:tcPr>
          <w:p w14:paraId="69143B9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RR=-0.89</w:t>
            </w:r>
          </w:p>
        </w:tc>
        <w:tc>
          <w:tcPr>
            <w:tcW w:w="1238" w:type="pct"/>
            <w:tcBorders>
              <w:top w:val="nil"/>
              <w:left w:val="nil"/>
              <w:bottom w:val="dashed" w:color="DDDDDD" w:sz="4" w:space="0"/>
              <w:right w:val="single" w:color="B9D7EA" w:sz="4" w:space="0"/>
            </w:tcBorders>
            <w:shd w:val="clear" w:color="auto" w:fill="F7FBFC"/>
            <w:vAlign w:val="center"/>
          </w:tcPr>
          <w:p w14:paraId="483E06F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95%CI:0.80to0.99</w:t>
            </w:r>
          </w:p>
        </w:tc>
      </w:tr>
      <w:tr w14:paraId="4CED45B2">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5B40CA7C">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James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1980</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5FA4D68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51C5FC7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33722BE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RR=0.86</w:t>
            </w:r>
          </w:p>
        </w:tc>
        <w:tc>
          <w:tcPr>
            <w:tcW w:w="1238" w:type="pct"/>
            <w:tcBorders>
              <w:top w:val="nil"/>
              <w:left w:val="nil"/>
              <w:bottom w:val="dashed" w:color="DDDDDD" w:sz="4" w:space="0"/>
              <w:right w:val="single" w:color="B9D7EA" w:sz="4" w:space="0"/>
            </w:tcBorders>
            <w:shd w:val="clear" w:color="auto" w:fill="FFFFFF"/>
            <w:vAlign w:val="center"/>
          </w:tcPr>
          <w:p w14:paraId="3E0B273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95%CI:0.64to1.15</w:t>
            </w:r>
          </w:p>
        </w:tc>
      </w:tr>
      <w:tr w14:paraId="51578467">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4597A524">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Kalyan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2021</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65A729F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5903064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7FBFC"/>
            <w:vAlign w:val="center"/>
          </w:tcPr>
          <w:p w14:paraId="6413FE0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RR=1.87</w:t>
            </w:r>
          </w:p>
        </w:tc>
        <w:tc>
          <w:tcPr>
            <w:tcW w:w="1238" w:type="pct"/>
            <w:tcBorders>
              <w:top w:val="nil"/>
              <w:left w:val="nil"/>
              <w:bottom w:val="dashed" w:color="DDDDDD" w:sz="4" w:space="0"/>
              <w:right w:val="single" w:color="B9D7EA" w:sz="4" w:space="0"/>
            </w:tcBorders>
            <w:shd w:val="clear" w:color="auto" w:fill="F7FBFC"/>
            <w:vAlign w:val="center"/>
          </w:tcPr>
          <w:p w14:paraId="6E05032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95%CI:1.54to2.27</w:t>
            </w:r>
          </w:p>
        </w:tc>
      </w:tr>
      <w:tr w14:paraId="18618BBE">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257F3FF5">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Kirsty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2008</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1DC559F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371A43C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05A6453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RR=1.28</w:t>
            </w:r>
          </w:p>
        </w:tc>
        <w:tc>
          <w:tcPr>
            <w:tcW w:w="1238" w:type="pct"/>
            <w:tcBorders>
              <w:top w:val="nil"/>
              <w:left w:val="nil"/>
              <w:bottom w:val="dashed" w:color="DDDDDD" w:sz="4" w:space="0"/>
              <w:right w:val="single" w:color="B9D7EA" w:sz="4" w:space="0"/>
            </w:tcBorders>
            <w:shd w:val="clear" w:color="auto" w:fill="FFFFFF"/>
            <w:vAlign w:val="center"/>
          </w:tcPr>
          <w:p w14:paraId="56B928D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95%CI:1.16to1.42</w:t>
            </w:r>
          </w:p>
        </w:tc>
      </w:tr>
      <w:tr w14:paraId="49E94D34">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713AA940">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Lilliam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2013</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727BE30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15C24BA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7FBFC"/>
            <w:vAlign w:val="center"/>
          </w:tcPr>
          <w:p w14:paraId="59DD2F1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RR=1.00</w:t>
            </w:r>
          </w:p>
        </w:tc>
        <w:tc>
          <w:tcPr>
            <w:tcW w:w="1238" w:type="pct"/>
            <w:tcBorders>
              <w:top w:val="nil"/>
              <w:left w:val="nil"/>
              <w:bottom w:val="dashed" w:color="DDDDDD" w:sz="4" w:space="0"/>
              <w:right w:val="single" w:color="B9D7EA" w:sz="4" w:space="0"/>
            </w:tcBorders>
            <w:shd w:val="clear" w:color="auto" w:fill="F7FBFC"/>
            <w:vAlign w:val="center"/>
          </w:tcPr>
          <w:p w14:paraId="1564750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95%CI:0.98to1.02</w:t>
            </w:r>
          </w:p>
        </w:tc>
      </w:tr>
      <w:tr w14:paraId="025DFB22">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16439351">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Lucy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2016</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3977529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31A7F4E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136ADC1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RR=1.25</w:t>
            </w:r>
          </w:p>
        </w:tc>
        <w:tc>
          <w:tcPr>
            <w:tcW w:w="1238" w:type="pct"/>
            <w:tcBorders>
              <w:top w:val="nil"/>
              <w:left w:val="nil"/>
              <w:bottom w:val="dashed" w:color="DDDDDD" w:sz="4" w:space="0"/>
              <w:right w:val="single" w:color="B9D7EA" w:sz="4" w:space="0"/>
            </w:tcBorders>
            <w:shd w:val="clear" w:color="auto" w:fill="FFFFFF"/>
            <w:vAlign w:val="center"/>
          </w:tcPr>
          <w:p w14:paraId="0589611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95%CI:0.91to1.71</w:t>
            </w:r>
          </w:p>
        </w:tc>
      </w:tr>
      <w:tr w14:paraId="3856179A">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6A780A09">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Mona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2019</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1A25EE7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3C39102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7FBFC"/>
            <w:vAlign w:val="center"/>
          </w:tcPr>
          <w:p w14:paraId="742CD33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RR=0.95</w:t>
            </w:r>
          </w:p>
        </w:tc>
        <w:tc>
          <w:tcPr>
            <w:tcW w:w="1238" w:type="pct"/>
            <w:tcBorders>
              <w:top w:val="nil"/>
              <w:left w:val="nil"/>
              <w:bottom w:val="dashed" w:color="DDDDDD" w:sz="4" w:space="0"/>
              <w:right w:val="single" w:color="B9D7EA" w:sz="4" w:space="0"/>
            </w:tcBorders>
            <w:shd w:val="clear" w:color="auto" w:fill="F7FBFC"/>
            <w:vAlign w:val="center"/>
          </w:tcPr>
          <w:p w14:paraId="76AF261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95%CI:0.84to1.09</w:t>
            </w:r>
          </w:p>
        </w:tc>
      </w:tr>
      <w:tr w14:paraId="11EE047D">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59D44C88">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Muhammad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2024</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4088D23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5BF5C63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7EC259A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RR=0.97</w:t>
            </w:r>
          </w:p>
        </w:tc>
        <w:tc>
          <w:tcPr>
            <w:tcW w:w="1238" w:type="pct"/>
            <w:tcBorders>
              <w:top w:val="nil"/>
              <w:left w:val="nil"/>
              <w:bottom w:val="dashed" w:color="DDDDDD" w:sz="4" w:space="0"/>
              <w:right w:val="single" w:color="B9D7EA" w:sz="4" w:space="0"/>
            </w:tcBorders>
            <w:shd w:val="clear" w:color="auto" w:fill="FFFFFF"/>
            <w:vAlign w:val="center"/>
          </w:tcPr>
          <w:p w14:paraId="00F6AA4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95%CI:0.87to1.07</w:t>
            </w:r>
          </w:p>
        </w:tc>
      </w:tr>
      <w:tr w14:paraId="068A309C">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732EDB77">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Nancy E.et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1989</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67A6687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760191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7FBFC"/>
            <w:vAlign w:val="center"/>
          </w:tcPr>
          <w:p w14:paraId="352BCBF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RR=0.39</w:t>
            </w:r>
          </w:p>
        </w:tc>
        <w:tc>
          <w:tcPr>
            <w:tcW w:w="1238" w:type="pct"/>
            <w:tcBorders>
              <w:top w:val="nil"/>
              <w:left w:val="nil"/>
              <w:bottom w:val="dashed" w:color="DDDDDD" w:sz="4" w:space="0"/>
              <w:right w:val="single" w:color="B9D7EA" w:sz="4" w:space="0"/>
            </w:tcBorders>
            <w:shd w:val="clear" w:color="auto" w:fill="F7FBFC"/>
            <w:vAlign w:val="center"/>
          </w:tcPr>
          <w:p w14:paraId="6C3D4B9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95%CI:0.30to0.50</w:t>
            </w:r>
          </w:p>
        </w:tc>
      </w:tr>
      <w:tr w14:paraId="20A925F9">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7E77863E">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S Deuster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2010</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4A65F3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4448F1C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3D7105C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RR=1.61</w:t>
            </w:r>
          </w:p>
        </w:tc>
        <w:tc>
          <w:tcPr>
            <w:tcW w:w="1238" w:type="pct"/>
            <w:tcBorders>
              <w:top w:val="nil"/>
              <w:left w:val="nil"/>
              <w:bottom w:val="dashed" w:color="DDDDDD" w:sz="4" w:space="0"/>
              <w:right w:val="single" w:color="B9D7EA" w:sz="4" w:space="0"/>
            </w:tcBorders>
            <w:shd w:val="clear" w:color="auto" w:fill="FFFFFF"/>
            <w:vAlign w:val="center"/>
          </w:tcPr>
          <w:p w14:paraId="33F6DDD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95%CI:1.18to2.19</w:t>
            </w:r>
          </w:p>
        </w:tc>
      </w:tr>
      <w:tr w14:paraId="23ACDCAE">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14228306">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Seikh F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2009</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0B092E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7A3D92F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7FBFC"/>
            <w:vAlign w:val="center"/>
          </w:tcPr>
          <w:p w14:paraId="273C226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RR=1.79</w:t>
            </w:r>
          </w:p>
        </w:tc>
        <w:tc>
          <w:tcPr>
            <w:tcW w:w="1238" w:type="pct"/>
            <w:tcBorders>
              <w:top w:val="nil"/>
              <w:left w:val="nil"/>
              <w:bottom w:val="dashed" w:color="DDDDDD" w:sz="4" w:space="0"/>
              <w:right w:val="single" w:color="B9D7EA" w:sz="4" w:space="0"/>
            </w:tcBorders>
            <w:shd w:val="clear" w:color="auto" w:fill="F7FBFC"/>
            <w:vAlign w:val="center"/>
          </w:tcPr>
          <w:p w14:paraId="4900183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95%CI:1.69to1.90</w:t>
            </w:r>
          </w:p>
        </w:tc>
      </w:tr>
      <w:tr w14:paraId="0C727ABB">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399AC0A0">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Stephen D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2002</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00DC838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26AFB8B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3E4E7EC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RR=0.35</w:t>
            </w:r>
          </w:p>
        </w:tc>
        <w:tc>
          <w:tcPr>
            <w:tcW w:w="1238" w:type="pct"/>
            <w:tcBorders>
              <w:top w:val="nil"/>
              <w:left w:val="nil"/>
              <w:bottom w:val="dashed" w:color="DDDDDD" w:sz="4" w:space="0"/>
              <w:right w:val="single" w:color="B9D7EA" w:sz="4" w:space="0"/>
            </w:tcBorders>
            <w:shd w:val="clear" w:color="auto" w:fill="FFFFFF"/>
            <w:vAlign w:val="center"/>
          </w:tcPr>
          <w:p w14:paraId="6461868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95%CI:0.17to0.71</w:t>
            </w:r>
          </w:p>
        </w:tc>
      </w:tr>
      <w:tr w14:paraId="79BADB92">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1EDB0651">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Susan A al .</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2000</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538E159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0CDFE6C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7FBFC"/>
            <w:vAlign w:val="center"/>
          </w:tcPr>
          <w:p w14:paraId="04A42ED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RR=1.25</w:t>
            </w:r>
          </w:p>
        </w:tc>
        <w:tc>
          <w:tcPr>
            <w:tcW w:w="1238" w:type="pct"/>
            <w:tcBorders>
              <w:top w:val="nil"/>
              <w:left w:val="nil"/>
              <w:bottom w:val="dashed" w:color="DDDDDD" w:sz="4" w:space="0"/>
              <w:right w:val="single" w:color="B9D7EA" w:sz="4" w:space="0"/>
            </w:tcBorders>
            <w:shd w:val="clear" w:color="auto" w:fill="F7FBFC"/>
            <w:vAlign w:val="center"/>
          </w:tcPr>
          <w:p w14:paraId="29A6A95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95%CI:1.01to1.56</w:t>
            </w:r>
          </w:p>
        </w:tc>
      </w:tr>
      <w:tr w14:paraId="270DF253">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10866B00">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Tay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2019</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0FC3955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5D445F1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dashed" w:color="DDDDDD" w:sz="4" w:space="0"/>
              <w:right w:val="dashed" w:color="DDDDDD" w:sz="4" w:space="0"/>
            </w:tcBorders>
            <w:shd w:val="clear" w:color="auto" w:fill="FFFFFF"/>
            <w:vAlign w:val="center"/>
          </w:tcPr>
          <w:p w14:paraId="2300588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RR=0.47</w:t>
            </w:r>
          </w:p>
        </w:tc>
        <w:tc>
          <w:tcPr>
            <w:tcW w:w="1238" w:type="pct"/>
            <w:tcBorders>
              <w:top w:val="nil"/>
              <w:left w:val="nil"/>
              <w:bottom w:val="dashed" w:color="DDDDDD" w:sz="4" w:space="0"/>
              <w:right w:val="single" w:color="B9D7EA" w:sz="4" w:space="0"/>
            </w:tcBorders>
            <w:shd w:val="clear" w:color="auto" w:fill="FFFFFF"/>
            <w:vAlign w:val="center"/>
          </w:tcPr>
          <w:p w14:paraId="5F504FB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95%CI:0.40to0.56</w:t>
            </w:r>
          </w:p>
        </w:tc>
      </w:tr>
      <w:tr w14:paraId="72DCF4C3">
        <w:tblPrEx>
          <w:tblCellMar>
            <w:top w:w="0" w:type="dxa"/>
            <w:left w:w="108" w:type="dxa"/>
            <w:bottom w:w="0" w:type="dxa"/>
            <w:right w:w="108" w:type="dxa"/>
          </w:tblCellMar>
        </w:tblPrEx>
        <w:trPr>
          <w:trHeight w:val="107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5D161665">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Usman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2008</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7FBFC"/>
            <w:vAlign w:val="center"/>
          </w:tcPr>
          <w:p w14:paraId="3365FC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p w14:paraId="6A82827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w:t>
            </w:r>
          </w:p>
        </w:tc>
        <w:tc>
          <w:tcPr>
            <w:tcW w:w="548" w:type="pct"/>
            <w:tcBorders>
              <w:top w:val="nil"/>
              <w:left w:val="nil"/>
              <w:bottom w:val="dashed" w:color="DDDDDD" w:sz="4" w:space="0"/>
              <w:right w:val="dashed" w:color="DDDDDD" w:sz="4" w:space="0"/>
            </w:tcBorders>
            <w:shd w:val="clear" w:color="auto" w:fill="F7FBFC"/>
            <w:vAlign w:val="center"/>
          </w:tcPr>
          <w:p w14:paraId="2BD4EF7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Partially effective</w:t>
            </w:r>
          </w:p>
        </w:tc>
        <w:tc>
          <w:tcPr>
            <w:tcW w:w="1227" w:type="pct"/>
            <w:tcBorders>
              <w:top w:val="nil"/>
              <w:left w:val="nil"/>
              <w:bottom w:val="dashed" w:color="DDDDDD" w:sz="4" w:space="0"/>
              <w:right w:val="dashed" w:color="DDDDDD" w:sz="4" w:space="0"/>
            </w:tcBorders>
            <w:shd w:val="clear" w:color="auto" w:fill="F7FBFC"/>
            <w:vAlign w:val="center"/>
          </w:tcPr>
          <w:p w14:paraId="22F3A45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 xml:space="preserve">Prescription Rate of </w:t>
            </w:r>
            <w:bookmarkStart w:id="17" w:name="_GoBack"/>
            <w:bookmarkEnd w:id="17"/>
            <w:r>
              <w:rPr>
                <w:rFonts w:ascii="Times New Roman" w:hAnsi="Times New Roman" w:eastAsia="宋体" w:cs="Times New Roman"/>
                <w:color w:val="000000"/>
                <w:kern w:val="0"/>
                <w:sz w:val="20"/>
                <w:szCs w:val="20"/>
                <w:lang w:bidi="ar"/>
              </w:rPr>
              <w:t>Antibiotic: RR=0.79</w:t>
            </w:r>
          </w:p>
          <w:p w14:paraId="77F3631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 RR=0.92</w:t>
            </w:r>
          </w:p>
        </w:tc>
        <w:tc>
          <w:tcPr>
            <w:tcW w:w="1238" w:type="pct"/>
            <w:tcBorders>
              <w:top w:val="nil"/>
              <w:left w:val="nil"/>
              <w:bottom w:val="dashed" w:color="DDDDDD" w:sz="4" w:space="0"/>
              <w:right w:val="single" w:color="B9D7EA" w:sz="4" w:space="0"/>
            </w:tcBorders>
            <w:shd w:val="clear" w:color="auto" w:fill="F7FBFC"/>
            <w:vAlign w:val="center"/>
          </w:tcPr>
          <w:p w14:paraId="4F2DFF0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Antibiotic:95%CI:0.74to0.85</w:t>
            </w:r>
          </w:p>
          <w:p w14:paraId="329E02C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Actual Consumption Rate of Antibiotic:95%CI:0.83to1.01</w:t>
            </w:r>
          </w:p>
        </w:tc>
      </w:tr>
      <w:tr w14:paraId="0714CF3F">
        <w:tblPrEx>
          <w:tblCellMar>
            <w:top w:w="0" w:type="dxa"/>
            <w:left w:w="108" w:type="dxa"/>
            <w:bottom w:w="0" w:type="dxa"/>
            <w:right w:w="108" w:type="dxa"/>
          </w:tblCellMar>
        </w:tblPrEx>
        <w:trPr>
          <w:trHeight w:val="530" w:hRule="atLeast"/>
        </w:trPr>
        <w:tc>
          <w:tcPr>
            <w:tcW w:w="684" w:type="pct"/>
            <w:tcBorders>
              <w:top w:val="nil"/>
              <w:left w:val="single" w:color="B9D7EA" w:sz="4" w:space="0"/>
              <w:bottom w:val="dashed" w:color="DDDDDD" w:sz="4" w:space="0"/>
              <w:right w:val="single" w:color="B9D7EA" w:sz="4" w:space="0"/>
            </w:tcBorders>
            <w:shd w:val="clear" w:color="auto" w:fill="D6E6F2"/>
            <w:vAlign w:val="center"/>
          </w:tcPr>
          <w:p w14:paraId="21A6DBB2">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Willem L et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1996</w:t>
            </w:r>
            <w:r>
              <w:rPr>
                <w:rFonts w:hint="eastAsia" w:ascii="宋体" w:hAnsi="宋体" w:eastAsia="宋体" w:cs="Times New Roman"/>
                <w:b/>
                <w:bCs/>
                <w:color w:val="000000"/>
                <w:kern w:val="0"/>
                <w:sz w:val="20"/>
                <w:szCs w:val="20"/>
                <w:lang w:bidi="ar"/>
              </w:rPr>
              <w:t>）</w:t>
            </w:r>
          </w:p>
        </w:tc>
        <w:tc>
          <w:tcPr>
            <w:tcW w:w="1301" w:type="pct"/>
            <w:tcBorders>
              <w:top w:val="nil"/>
              <w:left w:val="nil"/>
              <w:bottom w:val="dashed" w:color="DDDDDD" w:sz="4" w:space="0"/>
              <w:right w:val="dashed" w:color="DDDDDD" w:sz="4" w:space="0"/>
            </w:tcBorders>
            <w:shd w:val="clear" w:color="auto" w:fill="FFFFFF"/>
            <w:vAlign w:val="center"/>
          </w:tcPr>
          <w:p w14:paraId="1947031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Reasonable Prescription Rate of Antibiotic</w:t>
            </w:r>
          </w:p>
        </w:tc>
        <w:tc>
          <w:tcPr>
            <w:tcW w:w="548" w:type="pct"/>
            <w:tcBorders>
              <w:top w:val="nil"/>
              <w:left w:val="nil"/>
              <w:bottom w:val="dashed" w:color="DDDDDD" w:sz="4" w:space="0"/>
              <w:right w:val="dashed" w:color="DDDDDD" w:sz="4" w:space="0"/>
            </w:tcBorders>
            <w:shd w:val="clear" w:color="auto" w:fill="FFFFFF"/>
            <w:vAlign w:val="center"/>
          </w:tcPr>
          <w:p w14:paraId="544DA75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Ineffective</w:t>
            </w:r>
          </w:p>
        </w:tc>
        <w:tc>
          <w:tcPr>
            <w:tcW w:w="1227" w:type="pct"/>
            <w:tcBorders>
              <w:top w:val="nil"/>
              <w:left w:val="nil"/>
              <w:bottom w:val="dashed" w:color="DDDDDD" w:sz="4" w:space="0"/>
              <w:right w:val="dashed" w:color="DDDDDD" w:sz="4" w:space="0"/>
            </w:tcBorders>
            <w:shd w:val="clear" w:color="auto" w:fill="FFFFFF"/>
            <w:vAlign w:val="center"/>
          </w:tcPr>
          <w:p w14:paraId="4219EB0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RR=0.76</w:t>
            </w:r>
          </w:p>
        </w:tc>
        <w:tc>
          <w:tcPr>
            <w:tcW w:w="1238" w:type="pct"/>
            <w:tcBorders>
              <w:top w:val="nil"/>
              <w:left w:val="nil"/>
              <w:bottom w:val="dashed" w:color="DDDDDD" w:sz="4" w:space="0"/>
              <w:right w:val="single" w:color="B9D7EA" w:sz="4" w:space="0"/>
            </w:tcBorders>
            <w:shd w:val="clear" w:color="auto" w:fill="FFFFFF"/>
            <w:vAlign w:val="center"/>
          </w:tcPr>
          <w:p w14:paraId="775B5D3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95%CI:0.71to0.83</w:t>
            </w:r>
          </w:p>
        </w:tc>
      </w:tr>
      <w:tr w14:paraId="4CDB4B25">
        <w:tblPrEx>
          <w:tblCellMar>
            <w:top w:w="0" w:type="dxa"/>
            <w:left w:w="108" w:type="dxa"/>
            <w:bottom w:w="0" w:type="dxa"/>
            <w:right w:w="108" w:type="dxa"/>
          </w:tblCellMar>
        </w:tblPrEx>
        <w:trPr>
          <w:trHeight w:val="530" w:hRule="atLeast"/>
        </w:trPr>
        <w:tc>
          <w:tcPr>
            <w:tcW w:w="684" w:type="pct"/>
            <w:tcBorders>
              <w:top w:val="nil"/>
              <w:left w:val="single" w:color="B9D7EA" w:sz="4" w:space="0"/>
              <w:bottom w:val="single" w:color="B9D7EA" w:sz="4" w:space="0"/>
              <w:right w:val="single" w:color="B9D7EA" w:sz="4" w:space="0"/>
            </w:tcBorders>
            <w:shd w:val="clear" w:color="auto" w:fill="D6E6F2"/>
            <w:vAlign w:val="center"/>
          </w:tcPr>
          <w:p w14:paraId="445F4E85">
            <w:pPr>
              <w:widowControl/>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lang w:bidi="ar"/>
              </w:rPr>
              <w:t>Zongmei al.</w:t>
            </w:r>
            <w:r>
              <w:rPr>
                <w:rFonts w:hint="eastAsia" w:ascii="宋体" w:hAnsi="宋体" w:eastAsia="宋体" w:cs="Times New Roman"/>
                <w:b/>
                <w:bCs/>
                <w:color w:val="000000"/>
                <w:kern w:val="0"/>
                <w:sz w:val="20"/>
                <w:szCs w:val="20"/>
                <w:lang w:bidi="ar"/>
              </w:rPr>
              <w:t>（</w:t>
            </w:r>
            <w:r>
              <w:rPr>
                <w:rFonts w:ascii="Times New Roman" w:hAnsi="Times New Roman" w:eastAsia="宋体" w:cs="Times New Roman"/>
                <w:b/>
                <w:bCs/>
                <w:color w:val="000000"/>
                <w:kern w:val="0"/>
                <w:sz w:val="20"/>
                <w:szCs w:val="20"/>
                <w:lang w:bidi="ar"/>
              </w:rPr>
              <w:t>2016</w:t>
            </w:r>
            <w:r>
              <w:rPr>
                <w:rFonts w:hint="eastAsia" w:ascii="宋体" w:hAnsi="宋体" w:eastAsia="宋体" w:cs="Times New Roman"/>
                <w:b/>
                <w:bCs/>
                <w:color w:val="000000"/>
                <w:kern w:val="0"/>
                <w:sz w:val="20"/>
                <w:szCs w:val="20"/>
                <w:lang w:bidi="ar"/>
              </w:rPr>
              <w:t>）</w:t>
            </w:r>
          </w:p>
        </w:tc>
        <w:tc>
          <w:tcPr>
            <w:tcW w:w="1301" w:type="pct"/>
            <w:tcBorders>
              <w:top w:val="nil"/>
              <w:left w:val="nil"/>
              <w:bottom w:val="single" w:color="B9D7EA" w:sz="4" w:space="0"/>
              <w:right w:val="dashed" w:color="DDDDDD" w:sz="4" w:space="0"/>
            </w:tcBorders>
            <w:shd w:val="clear" w:color="auto" w:fill="F7FBFC"/>
            <w:vAlign w:val="center"/>
          </w:tcPr>
          <w:p w14:paraId="17542BB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Prescription Rate of Antibiotic</w:t>
            </w:r>
          </w:p>
        </w:tc>
        <w:tc>
          <w:tcPr>
            <w:tcW w:w="548" w:type="pct"/>
            <w:tcBorders>
              <w:top w:val="nil"/>
              <w:left w:val="nil"/>
              <w:bottom w:val="single" w:color="B9D7EA" w:sz="4" w:space="0"/>
              <w:right w:val="dashed" w:color="DDDDDD" w:sz="4" w:space="0"/>
            </w:tcBorders>
            <w:shd w:val="clear" w:color="auto" w:fill="F7FBFC"/>
            <w:vAlign w:val="center"/>
          </w:tcPr>
          <w:p w14:paraId="131DFEC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Effective</w:t>
            </w:r>
          </w:p>
        </w:tc>
        <w:tc>
          <w:tcPr>
            <w:tcW w:w="1227" w:type="pct"/>
            <w:tcBorders>
              <w:top w:val="nil"/>
              <w:left w:val="nil"/>
              <w:bottom w:val="single" w:color="B9D7EA" w:sz="4" w:space="0"/>
              <w:right w:val="dashed" w:color="DDDDDD" w:sz="4" w:space="0"/>
            </w:tcBorders>
            <w:shd w:val="clear" w:color="auto" w:fill="F7FBFC"/>
            <w:vAlign w:val="center"/>
          </w:tcPr>
          <w:p w14:paraId="00C4A07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RR=0.55</w:t>
            </w:r>
          </w:p>
        </w:tc>
        <w:tc>
          <w:tcPr>
            <w:tcW w:w="1238" w:type="pct"/>
            <w:tcBorders>
              <w:top w:val="nil"/>
              <w:left w:val="nil"/>
              <w:bottom w:val="single" w:color="B9D7EA" w:sz="4" w:space="0"/>
              <w:right w:val="single" w:color="B9D7EA" w:sz="4" w:space="0"/>
            </w:tcBorders>
            <w:shd w:val="clear" w:color="auto" w:fill="F7FBFC"/>
            <w:vAlign w:val="center"/>
          </w:tcPr>
          <w:p w14:paraId="124DC71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lang w:bidi="ar"/>
              </w:rPr>
              <w:t>95%CI:0.47to0.65</w:t>
            </w:r>
          </w:p>
        </w:tc>
      </w:tr>
    </w:tbl>
    <w:p w14:paraId="5DB7924B">
      <w:pPr>
        <w:rPr>
          <w:rFonts w:ascii="Times New Roman" w:hAnsi="Times New Roman" w:eastAsia="宋体" w:cs="Times New Roman"/>
          <w:b/>
          <w:bCs/>
          <w:sz w:val="24"/>
          <w:szCs w:val="24"/>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2869934"/>
      <w:docPartObj>
        <w:docPartGallery w:val="autotext"/>
      </w:docPartObj>
    </w:sdtPr>
    <w:sdtContent>
      <w:p w14:paraId="02C0F5E2">
        <w:pPr>
          <w:pStyle w:val="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B5A666A">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lMzc2OWM0Y2U5NzExZTRlNzJhYzc1NTRjOWI4YTAifQ=="/>
    <w:docVar w:name="EN.InstantFormat" w:val="&lt;ENInstantFormat&gt;&lt;Enabled&gt;1&lt;/Enabled&gt;&lt;ScanUnformatted&gt;1&lt;/ScanUnformatted&gt;&lt;ScanChanges&gt;1&lt;/ScanChanges&gt;&lt;Suspended&gt;1&lt;/Suspended&gt;&lt;/ENInstantFormat&gt;"/>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0zdzzfi2ap9xewtsr5axpi22ptfdzvszfv&quot;&gt;教-Converted&lt;record-ids&gt;&lt;item&gt;11954&lt;/item&gt;&lt;item&gt;12119&lt;/item&gt;&lt;item&gt;12152&lt;/item&gt;&lt;item&gt;12209&lt;/item&gt;&lt;item&gt;12415&lt;/item&gt;&lt;item&gt;12417&lt;/item&gt;&lt;item&gt;13324&lt;/item&gt;&lt;item&gt;13335&lt;/item&gt;&lt;item&gt;13898&lt;/item&gt;&lt;item&gt;17245&lt;/item&gt;&lt;item&gt;17279&lt;/item&gt;&lt;item&gt;50420&lt;/item&gt;&lt;item&gt;51737&lt;/item&gt;&lt;item&gt;51933&lt;/item&gt;&lt;item&gt;71419&lt;/item&gt;&lt;item&gt;71420&lt;/item&gt;&lt;item&gt;71480&lt;/item&gt;&lt;item&gt;71834&lt;/item&gt;&lt;item&gt;72791&lt;/item&gt;&lt;item&gt;73855&lt;/item&gt;&lt;/record-ids&gt;&lt;/item&gt;&lt;/Libraries&gt;"/>
    <w:docVar w:name="KSO_WPS_MARK_KEY" w:val="faeb9540-7e5a-4c5b-9e1d-7095e07c8bef"/>
  </w:docVars>
  <w:rsids>
    <w:rsidRoot w:val="00172A27"/>
    <w:rsid w:val="00063E9D"/>
    <w:rsid w:val="000B23C2"/>
    <w:rsid w:val="000D035B"/>
    <w:rsid w:val="00112FE5"/>
    <w:rsid w:val="00133E76"/>
    <w:rsid w:val="0015532E"/>
    <w:rsid w:val="00172A27"/>
    <w:rsid w:val="00173666"/>
    <w:rsid w:val="001A0595"/>
    <w:rsid w:val="001A2138"/>
    <w:rsid w:val="001A5E39"/>
    <w:rsid w:val="001C3314"/>
    <w:rsid w:val="001C47C7"/>
    <w:rsid w:val="001F1C00"/>
    <w:rsid w:val="001F28D6"/>
    <w:rsid w:val="0022382E"/>
    <w:rsid w:val="002261A7"/>
    <w:rsid w:val="0024134F"/>
    <w:rsid w:val="00265955"/>
    <w:rsid w:val="002E7ABF"/>
    <w:rsid w:val="00300C49"/>
    <w:rsid w:val="003734E0"/>
    <w:rsid w:val="00384CE1"/>
    <w:rsid w:val="003B7AA1"/>
    <w:rsid w:val="003C02FC"/>
    <w:rsid w:val="00436488"/>
    <w:rsid w:val="004412BE"/>
    <w:rsid w:val="0044428F"/>
    <w:rsid w:val="00461861"/>
    <w:rsid w:val="00464BF1"/>
    <w:rsid w:val="004844FB"/>
    <w:rsid w:val="00495C59"/>
    <w:rsid w:val="004A648A"/>
    <w:rsid w:val="004A7711"/>
    <w:rsid w:val="004B037F"/>
    <w:rsid w:val="005319F4"/>
    <w:rsid w:val="0055191C"/>
    <w:rsid w:val="0056274B"/>
    <w:rsid w:val="00580EF7"/>
    <w:rsid w:val="005A7A4C"/>
    <w:rsid w:val="005D4B8D"/>
    <w:rsid w:val="005F7E33"/>
    <w:rsid w:val="006001BC"/>
    <w:rsid w:val="00603F12"/>
    <w:rsid w:val="00613D75"/>
    <w:rsid w:val="006710D0"/>
    <w:rsid w:val="006A2613"/>
    <w:rsid w:val="006B4A39"/>
    <w:rsid w:val="00721DAD"/>
    <w:rsid w:val="007302A4"/>
    <w:rsid w:val="0077013A"/>
    <w:rsid w:val="007E01BA"/>
    <w:rsid w:val="007E0E22"/>
    <w:rsid w:val="007F7758"/>
    <w:rsid w:val="00804546"/>
    <w:rsid w:val="009004F2"/>
    <w:rsid w:val="00980D32"/>
    <w:rsid w:val="00986462"/>
    <w:rsid w:val="009C6FB7"/>
    <w:rsid w:val="009F7A79"/>
    <w:rsid w:val="00A43D13"/>
    <w:rsid w:val="00A548B2"/>
    <w:rsid w:val="00A672A3"/>
    <w:rsid w:val="00AA0BD9"/>
    <w:rsid w:val="00B12D38"/>
    <w:rsid w:val="00BB46FF"/>
    <w:rsid w:val="00BD5D06"/>
    <w:rsid w:val="00BD6D3A"/>
    <w:rsid w:val="00C52AE7"/>
    <w:rsid w:val="00C54132"/>
    <w:rsid w:val="00C5649C"/>
    <w:rsid w:val="00C61D78"/>
    <w:rsid w:val="00C71323"/>
    <w:rsid w:val="00C8105B"/>
    <w:rsid w:val="00C84683"/>
    <w:rsid w:val="00C92EE2"/>
    <w:rsid w:val="00CD1BAB"/>
    <w:rsid w:val="00D34870"/>
    <w:rsid w:val="00D44808"/>
    <w:rsid w:val="00D94417"/>
    <w:rsid w:val="00DC04BE"/>
    <w:rsid w:val="00DD64AC"/>
    <w:rsid w:val="00E043F9"/>
    <w:rsid w:val="00E417BE"/>
    <w:rsid w:val="00E74638"/>
    <w:rsid w:val="00ED3C90"/>
    <w:rsid w:val="00EF135C"/>
    <w:rsid w:val="00EF5661"/>
    <w:rsid w:val="00F02843"/>
    <w:rsid w:val="00F1782B"/>
    <w:rsid w:val="00F25A06"/>
    <w:rsid w:val="00F37BF9"/>
    <w:rsid w:val="00F45B64"/>
    <w:rsid w:val="00F75452"/>
    <w:rsid w:val="00FA282D"/>
    <w:rsid w:val="00FA4345"/>
    <w:rsid w:val="00FA6FBA"/>
    <w:rsid w:val="02816CCE"/>
    <w:rsid w:val="0357132A"/>
    <w:rsid w:val="03C74BB5"/>
    <w:rsid w:val="07CF228A"/>
    <w:rsid w:val="12455FBE"/>
    <w:rsid w:val="152327BA"/>
    <w:rsid w:val="1A4343C3"/>
    <w:rsid w:val="1C0A43F5"/>
    <w:rsid w:val="1CC74E27"/>
    <w:rsid w:val="224F0282"/>
    <w:rsid w:val="2A5D2745"/>
    <w:rsid w:val="2AA0097D"/>
    <w:rsid w:val="2C6D6314"/>
    <w:rsid w:val="31A00B2F"/>
    <w:rsid w:val="33650EE0"/>
    <w:rsid w:val="359F5D43"/>
    <w:rsid w:val="3D8D12BB"/>
    <w:rsid w:val="46C860E8"/>
    <w:rsid w:val="53664C7C"/>
    <w:rsid w:val="55FC6D5E"/>
    <w:rsid w:val="56BA1EA8"/>
    <w:rsid w:val="5C952549"/>
    <w:rsid w:val="5E241B1B"/>
    <w:rsid w:val="66BD6ACF"/>
    <w:rsid w:val="6CAE1DE6"/>
    <w:rsid w:val="71113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42"/>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FollowedHyperlink"/>
    <w:basedOn w:val="8"/>
    <w:unhideWhenUsed/>
    <w:qFormat/>
    <w:uiPriority w:val="99"/>
    <w:rPr>
      <w:color w:val="954F72" w:themeColor="followedHyperlink"/>
      <w:u w:val="single"/>
      <w14:textFill>
        <w14:solidFill>
          <w14:schemeClr w14:val="folHlink"/>
        </w14:solidFill>
      </w14:textFill>
    </w:rPr>
  </w:style>
  <w:style w:type="character" w:styleId="11">
    <w:name w:val="Hyperlink"/>
    <w:basedOn w:val="8"/>
    <w:unhideWhenUsed/>
    <w:qFormat/>
    <w:uiPriority w:val="99"/>
    <w:rPr>
      <w:color w:val="0563C1" w:themeColor="hyperlink"/>
      <w:u w:val="single"/>
      <w14:textFill>
        <w14:solidFill>
          <w14:schemeClr w14:val="hlink"/>
        </w14:solidFill>
      </w14:textFill>
    </w:rPr>
  </w:style>
  <w:style w:type="character" w:styleId="12">
    <w:name w:val="HTML Code"/>
    <w:basedOn w:val="8"/>
    <w:semiHidden/>
    <w:unhideWhenUsed/>
    <w:qFormat/>
    <w:uiPriority w:val="99"/>
    <w:rPr>
      <w:rFonts w:ascii="Courier New" w:hAnsi="Courier New"/>
      <w:sz w:val="20"/>
    </w:rPr>
  </w:style>
  <w:style w:type="character" w:customStyle="1" w:styleId="13">
    <w:name w:val="页眉 字符"/>
    <w:basedOn w:val="8"/>
    <w:link w:val="4"/>
    <w:qFormat/>
    <w:uiPriority w:val="99"/>
    <w:rPr>
      <w:sz w:val="18"/>
      <w:szCs w:val="18"/>
    </w:rPr>
  </w:style>
  <w:style w:type="character" w:customStyle="1" w:styleId="14">
    <w:name w:val="页脚 字符"/>
    <w:basedOn w:val="8"/>
    <w:link w:val="3"/>
    <w:qFormat/>
    <w:uiPriority w:val="99"/>
    <w:rPr>
      <w:sz w:val="18"/>
      <w:szCs w:val="18"/>
    </w:rPr>
  </w:style>
  <w:style w:type="character" w:customStyle="1" w:styleId="15">
    <w:name w:val="未处理的提及1"/>
    <w:basedOn w:val="8"/>
    <w:semiHidden/>
    <w:unhideWhenUsed/>
    <w:qFormat/>
    <w:uiPriority w:val="99"/>
    <w:rPr>
      <w:color w:val="605E5C"/>
      <w:shd w:val="clear" w:color="auto" w:fill="E1DFDD"/>
    </w:rPr>
  </w:style>
  <w:style w:type="character" w:customStyle="1" w:styleId="16">
    <w:name w:val="font31"/>
    <w:basedOn w:val="8"/>
    <w:qFormat/>
    <w:uiPriority w:val="0"/>
    <w:rPr>
      <w:rFonts w:hint="eastAsia" w:ascii="宋体" w:hAnsi="宋体" w:eastAsia="宋体" w:cs="宋体"/>
      <w:b/>
      <w:bCs/>
      <w:color w:val="000000"/>
      <w:sz w:val="22"/>
      <w:szCs w:val="22"/>
      <w:u w:val="none"/>
    </w:rPr>
  </w:style>
  <w:style w:type="character" w:customStyle="1" w:styleId="17">
    <w:name w:val="font51"/>
    <w:basedOn w:val="8"/>
    <w:qFormat/>
    <w:uiPriority w:val="0"/>
    <w:rPr>
      <w:rFonts w:hint="default" w:ascii="Times New Roman" w:hAnsi="Times New Roman" w:cs="Times New Roman"/>
      <w:b/>
      <w:bCs/>
      <w:color w:val="000000"/>
      <w:sz w:val="22"/>
      <w:szCs w:val="22"/>
      <w:u w:val="none"/>
    </w:rPr>
  </w:style>
  <w:style w:type="character" w:customStyle="1" w:styleId="18">
    <w:name w:val="font21"/>
    <w:basedOn w:val="8"/>
    <w:qFormat/>
    <w:uiPriority w:val="0"/>
    <w:rPr>
      <w:rFonts w:hint="eastAsia" w:ascii="宋体" w:hAnsi="宋体" w:eastAsia="宋体" w:cs="宋体"/>
      <w:b/>
      <w:bCs/>
      <w:color w:val="000000"/>
      <w:sz w:val="23"/>
      <w:szCs w:val="23"/>
      <w:u w:val="none"/>
    </w:rPr>
  </w:style>
  <w:style w:type="character" w:customStyle="1" w:styleId="19">
    <w:name w:val="font71"/>
    <w:basedOn w:val="8"/>
    <w:qFormat/>
    <w:uiPriority w:val="0"/>
    <w:rPr>
      <w:rFonts w:hint="default" w:ascii="Times New Roman" w:hAnsi="Times New Roman" w:cs="Times New Roman"/>
      <w:b/>
      <w:bCs/>
      <w:color w:val="000000"/>
      <w:sz w:val="23"/>
      <w:szCs w:val="23"/>
      <w:u w:val="none"/>
    </w:rPr>
  </w:style>
  <w:style w:type="character" w:customStyle="1" w:styleId="20">
    <w:name w:val="font91"/>
    <w:basedOn w:val="8"/>
    <w:qFormat/>
    <w:uiPriority w:val="0"/>
    <w:rPr>
      <w:rFonts w:hint="eastAsia" w:ascii="宋体" w:hAnsi="宋体" w:eastAsia="宋体" w:cs="宋体"/>
      <w:color w:val="000000"/>
      <w:sz w:val="22"/>
      <w:szCs w:val="22"/>
      <w:u w:val="none"/>
    </w:rPr>
  </w:style>
  <w:style w:type="character" w:customStyle="1" w:styleId="21">
    <w:name w:val="font61"/>
    <w:basedOn w:val="8"/>
    <w:qFormat/>
    <w:uiPriority w:val="0"/>
    <w:rPr>
      <w:rFonts w:hint="default" w:ascii="Times New Roman" w:hAnsi="Times New Roman" w:cs="Times New Roman"/>
      <w:color w:val="000000"/>
      <w:sz w:val="22"/>
      <w:szCs w:val="22"/>
      <w:u w:val="none"/>
    </w:rPr>
  </w:style>
  <w:style w:type="character" w:customStyle="1" w:styleId="22">
    <w:name w:val="font11"/>
    <w:basedOn w:val="8"/>
    <w:qFormat/>
    <w:uiPriority w:val="0"/>
    <w:rPr>
      <w:rFonts w:hint="default" w:ascii="Times New Roman" w:hAnsi="Times New Roman" w:cs="Times New Roman"/>
      <w:b/>
      <w:bCs/>
      <w:color w:val="000000"/>
      <w:sz w:val="22"/>
      <w:szCs w:val="22"/>
      <w:u w:val="none"/>
    </w:rPr>
  </w:style>
  <w:style w:type="character" w:customStyle="1" w:styleId="23">
    <w:name w:val="font41"/>
    <w:basedOn w:val="8"/>
    <w:qFormat/>
    <w:uiPriority w:val="0"/>
    <w:rPr>
      <w:rFonts w:hint="eastAsia" w:ascii="宋体" w:hAnsi="宋体" w:eastAsia="宋体" w:cs="宋体"/>
      <w:b/>
      <w:bCs/>
      <w:color w:val="000000"/>
      <w:sz w:val="23"/>
      <w:szCs w:val="23"/>
      <w:u w:val="none"/>
    </w:rPr>
  </w:style>
  <w:style w:type="character" w:customStyle="1" w:styleId="24">
    <w:name w:val="font101"/>
    <w:basedOn w:val="8"/>
    <w:qFormat/>
    <w:uiPriority w:val="0"/>
    <w:rPr>
      <w:rFonts w:hint="eastAsia" w:ascii="宋体" w:hAnsi="宋体" w:eastAsia="宋体" w:cs="宋体"/>
      <w:color w:val="000000"/>
      <w:sz w:val="22"/>
      <w:szCs w:val="22"/>
      <w:u w:val="none"/>
    </w:rPr>
  </w:style>
  <w:style w:type="character" w:customStyle="1" w:styleId="25">
    <w:name w:val="font141"/>
    <w:basedOn w:val="8"/>
    <w:qFormat/>
    <w:uiPriority w:val="0"/>
    <w:rPr>
      <w:rFonts w:hint="eastAsia" w:ascii="宋体" w:hAnsi="宋体" w:eastAsia="宋体" w:cs="宋体"/>
      <w:b/>
      <w:bCs/>
      <w:color w:val="000000"/>
      <w:sz w:val="24"/>
      <w:szCs w:val="24"/>
      <w:u w:val="none"/>
    </w:rPr>
  </w:style>
  <w:style w:type="character" w:customStyle="1" w:styleId="26">
    <w:name w:val="font171"/>
    <w:basedOn w:val="8"/>
    <w:qFormat/>
    <w:uiPriority w:val="0"/>
    <w:rPr>
      <w:rFonts w:hint="eastAsia" w:ascii="宋体" w:hAnsi="宋体" w:eastAsia="宋体" w:cs="宋体"/>
      <w:b/>
      <w:bCs/>
      <w:color w:val="000000"/>
      <w:sz w:val="22"/>
      <w:szCs w:val="22"/>
      <w:u w:val="none"/>
    </w:rPr>
  </w:style>
  <w:style w:type="character" w:customStyle="1" w:styleId="27">
    <w:name w:val="font81"/>
    <w:basedOn w:val="8"/>
    <w:qFormat/>
    <w:uiPriority w:val="0"/>
    <w:rPr>
      <w:rFonts w:hint="default" w:ascii="Times New Roman" w:hAnsi="Times New Roman" w:cs="Times New Roman"/>
      <w:b/>
      <w:bCs/>
      <w:color w:val="000000"/>
      <w:sz w:val="22"/>
      <w:szCs w:val="22"/>
      <w:u w:val="none"/>
    </w:rPr>
  </w:style>
  <w:style w:type="character" w:customStyle="1" w:styleId="28">
    <w:name w:val="font181"/>
    <w:basedOn w:val="8"/>
    <w:qFormat/>
    <w:uiPriority w:val="0"/>
    <w:rPr>
      <w:rFonts w:hint="eastAsia" w:ascii="宋体" w:hAnsi="宋体" w:eastAsia="宋体" w:cs="宋体"/>
      <w:b/>
      <w:bCs/>
      <w:color w:val="000000"/>
      <w:sz w:val="24"/>
      <w:szCs w:val="24"/>
      <w:u w:val="none"/>
    </w:rPr>
  </w:style>
  <w:style w:type="character" w:customStyle="1" w:styleId="29">
    <w:name w:val="font191"/>
    <w:basedOn w:val="8"/>
    <w:qFormat/>
    <w:uiPriority w:val="0"/>
    <w:rPr>
      <w:rFonts w:hint="eastAsia" w:ascii="宋体" w:hAnsi="宋体" w:eastAsia="宋体" w:cs="宋体"/>
      <w:b/>
      <w:bCs/>
      <w:color w:val="000000"/>
      <w:sz w:val="22"/>
      <w:szCs w:val="22"/>
      <w:u w:val="none"/>
    </w:rPr>
  </w:style>
  <w:style w:type="character" w:customStyle="1" w:styleId="30">
    <w:name w:val="font201"/>
    <w:basedOn w:val="8"/>
    <w:qFormat/>
    <w:uiPriority w:val="0"/>
    <w:rPr>
      <w:rFonts w:hint="eastAsia" w:ascii="宋体" w:hAnsi="宋体" w:eastAsia="宋体" w:cs="宋体"/>
      <w:b/>
      <w:bCs/>
      <w:color w:val="000000"/>
      <w:sz w:val="24"/>
      <w:szCs w:val="24"/>
      <w:u w:val="none"/>
    </w:rPr>
  </w:style>
  <w:style w:type="character" w:customStyle="1" w:styleId="31">
    <w:name w:val="font211"/>
    <w:basedOn w:val="8"/>
    <w:qFormat/>
    <w:uiPriority w:val="0"/>
    <w:rPr>
      <w:rFonts w:hint="eastAsia" w:ascii="宋体" w:hAnsi="宋体" w:eastAsia="宋体" w:cs="宋体"/>
      <w:b/>
      <w:bCs/>
      <w:color w:val="000000"/>
      <w:sz w:val="23"/>
      <w:szCs w:val="23"/>
      <w:u w:val="none"/>
    </w:rPr>
  </w:style>
  <w:style w:type="character" w:customStyle="1" w:styleId="32">
    <w:name w:val="font122"/>
    <w:basedOn w:val="8"/>
    <w:qFormat/>
    <w:uiPriority w:val="0"/>
    <w:rPr>
      <w:rFonts w:hint="default" w:ascii="Times New Roman" w:hAnsi="Times New Roman" w:cs="Times New Roman"/>
      <w:b/>
      <w:bCs/>
      <w:color w:val="000000"/>
      <w:sz w:val="23"/>
      <w:szCs w:val="23"/>
      <w:u w:val="none"/>
    </w:rPr>
  </w:style>
  <w:style w:type="character" w:customStyle="1" w:styleId="33">
    <w:name w:val="font01"/>
    <w:basedOn w:val="8"/>
    <w:qFormat/>
    <w:uiPriority w:val="0"/>
    <w:rPr>
      <w:rFonts w:hint="eastAsia" w:ascii="宋体" w:hAnsi="宋体" w:eastAsia="宋体" w:cs="宋体"/>
      <w:b/>
      <w:bCs/>
      <w:color w:val="000000"/>
      <w:sz w:val="23"/>
      <w:szCs w:val="23"/>
      <w:u w:val="none"/>
    </w:rPr>
  </w:style>
  <w:style w:type="character" w:customStyle="1" w:styleId="34">
    <w:name w:val="font151"/>
    <w:basedOn w:val="8"/>
    <w:qFormat/>
    <w:uiPriority w:val="0"/>
    <w:rPr>
      <w:rFonts w:hint="default" w:ascii="Times New Roman" w:hAnsi="Times New Roman" w:cs="Times New Roman"/>
      <w:b/>
      <w:bCs/>
      <w:color w:val="000000"/>
      <w:sz w:val="23"/>
      <w:szCs w:val="23"/>
      <w:u w:val="none"/>
    </w:rPr>
  </w:style>
  <w:style w:type="character" w:customStyle="1" w:styleId="35">
    <w:name w:val="font111"/>
    <w:basedOn w:val="8"/>
    <w:qFormat/>
    <w:uiPriority w:val="0"/>
    <w:rPr>
      <w:rFonts w:hint="default" w:ascii="Times New Roman" w:hAnsi="Times New Roman" w:cs="Times New Roman"/>
      <w:b/>
      <w:bCs/>
      <w:color w:val="000000"/>
      <w:sz w:val="22"/>
      <w:szCs w:val="22"/>
      <w:u w:val="none"/>
    </w:rPr>
  </w:style>
  <w:style w:type="character" w:customStyle="1" w:styleId="36">
    <w:name w:val="font221"/>
    <w:basedOn w:val="8"/>
    <w:qFormat/>
    <w:uiPriority w:val="0"/>
    <w:rPr>
      <w:rFonts w:hint="eastAsia" w:ascii="宋体" w:hAnsi="宋体" w:eastAsia="宋体" w:cs="宋体"/>
      <w:b/>
      <w:bCs/>
      <w:color w:val="000000"/>
      <w:sz w:val="23"/>
      <w:szCs w:val="23"/>
      <w:u w:val="none"/>
    </w:rPr>
  </w:style>
  <w:style w:type="character" w:customStyle="1" w:styleId="37">
    <w:name w:val="font161"/>
    <w:basedOn w:val="8"/>
    <w:qFormat/>
    <w:uiPriority w:val="0"/>
    <w:rPr>
      <w:rFonts w:hint="default" w:ascii="Times New Roman" w:hAnsi="Times New Roman" w:cs="Times New Roman"/>
      <w:b/>
      <w:bCs/>
      <w:color w:val="000000"/>
      <w:sz w:val="23"/>
      <w:szCs w:val="23"/>
      <w:u w:val="none"/>
    </w:rPr>
  </w:style>
  <w:style w:type="paragraph" w:customStyle="1" w:styleId="38">
    <w:name w:val="EndNote Bibliography Title"/>
    <w:basedOn w:val="1"/>
    <w:link w:val="39"/>
    <w:qFormat/>
    <w:uiPriority w:val="0"/>
    <w:pPr>
      <w:jc w:val="center"/>
    </w:pPr>
    <w:rPr>
      <w:rFonts w:ascii="等线" w:hAnsi="等线" w:eastAsia="等线"/>
      <w:sz w:val="20"/>
    </w:rPr>
  </w:style>
  <w:style w:type="character" w:customStyle="1" w:styleId="39">
    <w:name w:val="EndNote Bibliography Title 字符"/>
    <w:basedOn w:val="8"/>
    <w:link w:val="38"/>
    <w:qFormat/>
    <w:uiPriority w:val="0"/>
    <w:rPr>
      <w:rFonts w:ascii="等线" w:hAnsi="等线" w:eastAsia="等线" w:cstheme="minorBidi"/>
      <w:kern w:val="2"/>
      <w:szCs w:val="22"/>
      <w14:ligatures w14:val="standardContextual"/>
    </w:rPr>
  </w:style>
  <w:style w:type="paragraph" w:customStyle="1" w:styleId="40">
    <w:name w:val="EndNote Bibliography"/>
    <w:basedOn w:val="1"/>
    <w:link w:val="41"/>
    <w:qFormat/>
    <w:uiPriority w:val="0"/>
    <w:rPr>
      <w:rFonts w:ascii="等线" w:hAnsi="等线" w:eastAsia="等线"/>
      <w:sz w:val="20"/>
    </w:rPr>
  </w:style>
  <w:style w:type="character" w:customStyle="1" w:styleId="41">
    <w:name w:val="EndNote Bibliography 字符"/>
    <w:basedOn w:val="8"/>
    <w:link w:val="40"/>
    <w:qFormat/>
    <w:uiPriority w:val="0"/>
    <w:rPr>
      <w:rFonts w:ascii="等线" w:hAnsi="等线" w:eastAsia="等线" w:cstheme="minorBidi"/>
      <w:kern w:val="2"/>
      <w:szCs w:val="22"/>
      <w14:ligatures w14:val="standardContextual"/>
    </w:rPr>
  </w:style>
  <w:style w:type="character" w:customStyle="1" w:styleId="42">
    <w:name w:val="标题 1 字符"/>
    <w:basedOn w:val="8"/>
    <w:link w:val="2"/>
    <w:qFormat/>
    <w:uiPriority w:val="9"/>
    <w:rPr>
      <w:rFonts w:asciiTheme="minorHAnsi" w:hAnsiTheme="minorHAnsi" w:eastAsiaTheme="minorEastAsia" w:cstheme="minorBidi"/>
      <w:b/>
      <w:bCs/>
      <w:kern w:val="44"/>
      <w:sz w:val="44"/>
      <w:szCs w:val="44"/>
      <w14:ligatures w14:val="standardContextual"/>
    </w:rPr>
  </w:style>
  <w:style w:type="paragraph" w:customStyle="1" w:styleId="43">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FA553-5C68-4838-A74B-58BCD9180B18}">
  <ds:schemaRefs/>
</ds:datastoreItem>
</file>

<file path=docProps/app.xml><?xml version="1.0" encoding="utf-8"?>
<Properties xmlns="http://schemas.openxmlformats.org/officeDocument/2006/extended-properties" xmlns:vt="http://schemas.openxmlformats.org/officeDocument/2006/docPropsVTypes">
  <Template>Normal</Template>
  <Pages>39</Pages>
  <Words>1269</Words>
  <Characters>8157</Characters>
  <Lines>2830</Lines>
  <Paragraphs>1649</Paragraphs>
  <TotalTime>26</TotalTime>
  <ScaleCrop>false</ScaleCrop>
  <LinksUpToDate>false</LinksUpToDate>
  <CharactersWithSpaces>9019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2025-09-01T12:15:00Z</dcterms:created>
  <dc:creator>思楠 马</dc:creator>
  <cp:lastModifiedBy>柚子西</cp:lastModifiedBy>
  <dcterms:modified xsi:type="dcterms:W3CDTF">2026-01-23T10:23:02Z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40B74791F93941619B79EA5467CE7764_13</vt:lpwstr>
  </property>
  <property fmtid="{D5CDD505-2E9C-101B-9397-08002B2CF9AE}" pid="4" name="GrammarlyDocumentId">
    <vt:lpwstr>7067552c-19ac-47ad-9039-c88cf7bd5b30</vt:lpwstr>
  </property>
  <property fmtid="{D5CDD505-2E9C-101B-9397-08002B2CF9AE}" pid="5" name="KSOTemplateDocerSaveRecord">
    <vt:lpwstr>eyJoZGlkIjoiYzNlMzc2OWM0Y2U5NzExZTRlNzJhYzc1NTRjOWI4YTAiLCJ1c2VySWQiOiI2NDQ4MzU4MzAifQ==</vt:lpwstr>
  </property>
</Properties>
</file>