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0E922" w14:textId="6C6A4501" w:rsidR="00B2343D" w:rsidRDefault="00B2343D" w:rsidP="00B2343D">
      <w:pPr>
        <w:spacing w:line="480" w:lineRule="auto"/>
        <w:jc w:val="both"/>
        <w:rPr>
          <w:rFonts w:ascii="Times New Roman" w:hAnsi="Times New Roman" w:cs="Times New Roman"/>
          <w:b/>
          <w:bCs/>
        </w:rPr>
      </w:pPr>
      <w:r w:rsidRPr="00054B7B">
        <w:rPr>
          <w:rFonts w:ascii="Times New Roman" w:hAnsi="Times New Roman" w:cs="Times New Roman"/>
          <w:b/>
          <w:bCs/>
        </w:rPr>
        <w:t xml:space="preserve">Supplementary </w:t>
      </w:r>
      <w:r w:rsidR="004F662C">
        <w:rPr>
          <w:rFonts w:ascii="Times New Roman" w:hAnsi="Times New Roman" w:cs="Times New Roman"/>
          <w:b/>
          <w:bCs/>
        </w:rPr>
        <w:t>f</w:t>
      </w:r>
      <w:r w:rsidRPr="00054B7B">
        <w:rPr>
          <w:rFonts w:ascii="Times New Roman" w:hAnsi="Times New Roman" w:cs="Times New Roman"/>
          <w:b/>
          <w:bCs/>
        </w:rPr>
        <w:t>igure</w:t>
      </w:r>
      <w:r>
        <w:rPr>
          <w:rFonts w:ascii="Times New Roman" w:hAnsi="Times New Roman" w:cs="Times New Roman"/>
          <w:b/>
          <w:bCs/>
        </w:rPr>
        <w:t xml:space="preserve"> </w:t>
      </w:r>
      <w:r w:rsidR="004F662C">
        <w:rPr>
          <w:rFonts w:ascii="Times New Roman" w:hAnsi="Times New Roman" w:cs="Times New Roman"/>
          <w:b/>
          <w:bCs/>
        </w:rPr>
        <w:t>l</w:t>
      </w:r>
      <w:r>
        <w:rPr>
          <w:rFonts w:ascii="Times New Roman" w:hAnsi="Times New Roman" w:cs="Times New Roman"/>
          <w:b/>
          <w:bCs/>
        </w:rPr>
        <w:t>ege</w:t>
      </w:r>
      <w:r w:rsidR="00387286">
        <w:rPr>
          <w:rFonts w:ascii="Times New Roman" w:hAnsi="Times New Roman" w:cs="Times New Roman"/>
          <w:b/>
          <w:bCs/>
        </w:rPr>
        <w:t>nd</w:t>
      </w:r>
      <w:r>
        <w:rPr>
          <w:rFonts w:ascii="Times New Roman" w:hAnsi="Times New Roman" w:cs="Times New Roman"/>
          <w:b/>
          <w:bCs/>
        </w:rPr>
        <w:t>s</w:t>
      </w:r>
    </w:p>
    <w:p w14:paraId="28F32743" w14:textId="763DB3D0" w:rsidR="00B2343D" w:rsidRPr="00054B7B" w:rsidRDefault="00B2343D" w:rsidP="00B2343D">
      <w:pPr>
        <w:spacing w:line="480" w:lineRule="auto"/>
        <w:jc w:val="both"/>
        <w:rPr>
          <w:rFonts w:ascii="Times New Roman" w:hAnsi="Times New Roman" w:cs="Times New Roman"/>
          <w:b/>
          <w:bCs/>
        </w:rPr>
      </w:pPr>
      <w:r w:rsidRPr="00054B7B">
        <w:rPr>
          <w:rFonts w:ascii="Times New Roman" w:hAnsi="Times New Roman" w:cs="Times New Roman"/>
          <w:b/>
          <w:bCs/>
        </w:rPr>
        <w:t xml:space="preserve">Supplementary Figure 1: </w:t>
      </w:r>
      <w:r w:rsidRPr="00054B7B">
        <w:rPr>
          <w:rFonts w:ascii="Times New Roman" w:hAnsi="Times New Roman" w:cs="Times New Roman"/>
        </w:rPr>
        <w:t>Preintervention</w:t>
      </w:r>
      <w:r w:rsidRPr="00054B7B">
        <w:rPr>
          <w:rFonts w:ascii="Times New Roman" w:hAnsi="Times New Roman" w:cs="Times New Roman"/>
          <w:i/>
          <w:iCs/>
        </w:rPr>
        <w:t xml:space="preserve"> </w:t>
      </w:r>
      <w:r w:rsidRPr="00054B7B">
        <w:rPr>
          <w:rFonts w:ascii="Times New Roman" w:hAnsi="Times New Roman" w:cs="Times New Roman"/>
        </w:rPr>
        <w:t>and postintervention IPC assessment across the 11 hospitals</w:t>
      </w:r>
    </w:p>
    <w:p w14:paraId="1335FDA7"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t xml:space="preserve">IPC: Infection prevention and control; MGM: Mahatma Gandhi Mission. </w:t>
      </w:r>
    </w:p>
    <w:p w14:paraId="19509EA7"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t>Note: Preintervention IPC assessment corresponds to the month of hospital enrollment (varies across hospitals) up to June 2022.</w:t>
      </w:r>
    </w:p>
    <w:p w14:paraId="44E31BDF"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t>Postintervention IPC assessment corresponds to the month of implementation of interventions (July 2022) up to June 2023.</w:t>
      </w:r>
    </w:p>
    <w:p w14:paraId="57B1247C"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t>The percentage point increase in IPC scores from the preintervention phase to the postintervention phase is presented above the bars for each hospital.</w:t>
      </w:r>
    </w:p>
    <w:p w14:paraId="41D18728" w14:textId="6BA56633" w:rsidR="00B2343D" w:rsidRPr="00054B7B" w:rsidRDefault="00B2343D" w:rsidP="00B2343D">
      <w:pPr>
        <w:spacing w:after="0" w:line="480" w:lineRule="auto"/>
        <w:jc w:val="both"/>
        <w:rPr>
          <w:rFonts w:ascii="Times New Roman" w:hAnsi="Times New Roman" w:cs="Times New Roman"/>
        </w:rPr>
      </w:pPr>
      <w:r w:rsidRPr="00054B7B">
        <w:rPr>
          <w:rFonts w:ascii="Times New Roman" w:hAnsi="Times New Roman" w:cs="Times New Roman"/>
          <w:b/>
          <w:bCs/>
        </w:rPr>
        <w:t>Supplementary Figure 2:</w:t>
      </w:r>
      <w:r w:rsidRPr="00054B7B">
        <w:rPr>
          <w:rFonts w:ascii="Times New Roman" w:hAnsi="Times New Roman" w:cs="Times New Roman"/>
        </w:rPr>
        <w:t xml:space="preserve"> Compliance toward hand hygiene across the 11 hospitals</w:t>
      </w:r>
    </w:p>
    <w:p w14:paraId="1E3AE8C4"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t xml:space="preserve">MGM: Mahatma Gandhi Mission. </w:t>
      </w:r>
    </w:p>
    <w:p w14:paraId="55007BDF"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t>Note: The percentage point increase in hand hygiene compliance from the preintervention phase to the postintervention phase is presented above the bars for each hospital.</w:t>
      </w:r>
    </w:p>
    <w:p w14:paraId="0E9CFD98" w14:textId="2EEB6990" w:rsidR="00B2343D" w:rsidRPr="00054B7B" w:rsidRDefault="00B2343D" w:rsidP="00B2343D">
      <w:pPr>
        <w:spacing w:line="480" w:lineRule="auto"/>
        <w:jc w:val="both"/>
        <w:rPr>
          <w:rFonts w:ascii="Times New Roman" w:hAnsi="Times New Roman" w:cs="Times New Roman"/>
        </w:rPr>
      </w:pPr>
      <w:r w:rsidRPr="00054B7B">
        <w:rPr>
          <w:rFonts w:ascii="Times New Roman" w:hAnsi="Times New Roman" w:cs="Times New Roman"/>
          <w:b/>
          <w:bCs/>
        </w:rPr>
        <w:t xml:space="preserve">Supplementary Figure 3: </w:t>
      </w:r>
      <w:r w:rsidRPr="00054B7B">
        <w:rPr>
          <w:rFonts w:ascii="Times New Roman" w:hAnsi="Times New Roman" w:cs="Times New Roman"/>
        </w:rPr>
        <w:t xml:space="preserve">Preintervention and postintervention hand hygiene compliance in 11 hospitals—(A) Across departments and (B) Across staff </w:t>
      </w:r>
    </w:p>
    <w:p w14:paraId="37B9730E" w14:textId="77777777" w:rsidR="00B2343D" w:rsidRPr="00054B7B" w:rsidRDefault="00B2343D" w:rsidP="00B2343D">
      <w:pPr>
        <w:spacing w:after="0" w:line="480" w:lineRule="auto"/>
        <w:jc w:val="both"/>
        <w:rPr>
          <w:rFonts w:ascii="Times New Roman" w:hAnsi="Times New Roman" w:cs="Times New Roman"/>
        </w:rPr>
      </w:pPr>
      <w:r w:rsidRPr="00054B7B">
        <w:rPr>
          <w:rFonts w:ascii="Times New Roman" w:hAnsi="Times New Roman" w:cs="Times New Roman"/>
        </w:rPr>
        <w:t>HH: Hand hygiene; ICU: Intensive care unit; MGM: Mahatma Gandhi Mission; OT: Operation theater.</w:t>
      </w:r>
    </w:p>
    <w:p w14:paraId="607FBAD3"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t>Note: The percentage point increase/decrease in hand hygiene compliance from the preintervention phase to the postintervention phase is presented above the bars for each hospital.</w:t>
      </w:r>
    </w:p>
    <w:p w14:paraId="1F2F0938" w14:textId="7108E679" w:rsidR="00B2343D" w:rsidRPr="00054B7B" w:rsidRDefault="00B2343D" w:rsidP="00B2343D">
      <w:pPr>
        <w:spacing w:line="480" w:lineRule="auto"/>
        <w:jc w:val="both"/>
        <w:rPr>
          <w:rFonts w:ascii="Times New Roman" w:hAnsi="Times New Roman" w:cs="Times New Roman"/>
          <w:b/>
          <w:bCs/>
        </w:rPr>
      </w:pPr>
      <w:r w:rsidRPr="00054B7B">
        <w:rPr>
          <w:rFonts w:ascii="Times New Roman" w:hAnsi="Times New Roman" w:cs="Times New Roman"/>
          <w:b/>
          <w:bCs/>
        </w:rPr>
        <w:t xml:space="preserve">Supplementary Figure 4: </w:t>
      </w:r>
      <w:r w:rsidRPr="00054B7B">
        <w:rPr>
          <w:rFonts w:ascii="Times New Roman" w:hAnsi="Times New Roman" w:cs="Times New Roman"/>
        </w:rPr>
        <w:t>Compliance towards IPC care bundles—(A) CAUTI care bundle compliance; (B) CLABSI care bundle compliance; (C) SSI care bundle compliance; and (D) VAP care bundle compliance</w:t>
      </w:r>
      <w:r w:rsidRPr="00054B7B" w:rsidDel="00F04591">
        <w:rPr>
          <w:rFonts w:ascii="Times New Roman" w:hAnsi="Times New Roman" w:cs="Times New Roman"/>
        </w:rPr>
        <w:t xml:space="preserve"> </w:t>
      </w:r>
    </w:p>
    <w:p w14:paraId="6A8177A4"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t>CAUTI: Catheter-associated urinary tract infection; CLABSI: Central line-associated bloodstream infection; MGM: Mahatma Gandhi Mission; SSI: Surgical site infection; VAP: Ventilator-associated pneumonia.</w:t>
      </w:r>
    </w:p>
    <w:p w14:paraId="03D7C7AB"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lastRenderedPageBreak/>
        <w:t>Note: The percentage point increase/decrease in compliance toward CAUTI, CLABSI, SSI, and VAP care bundles from the preintervention phase to the postintervention phase is presented above the bars for each hospital.</w:t>
      </w:r>
    </w:p>
    <w:p w14:paraId="08138C9E" w14:textId="4131D1FE" w:rsidR="00B2343D" w:rsidRPr="00054B7B" w:rsidRDefault="00B2343D" w:rsidP="00B2343D">
      <w:pPr>
        <w:spacing w:after="0" w:line="480" w:lineRule="auto"/>
        <w:jc w:val="both"/>
        <w:rPr>
          <w:rFonts w:ascii="Times New Roman" w:hAnsi="Times New Roman" w:cs="Times New Roman"/>
        </w:rPr>
      </w:pPr>
      <w:r w:rsidRPr="00054B7B">
        <w:rPr>
          <w:rFonts w:ascii="Times New Roman" w:hAnsi="Times New Roman" w:cs="Times New Roman"/>
          <w:b/>
          <w:bCs/>
        </w:rPr>
        <w:t>Supplementary Figure 5:</w:t>
      </w:r>
      <w:r w:rsidRPr="00054B7B">
        <w:rPr>
          <w:rFonts w:ascii="Times New Roman" w:hAnsi="Times New Roman" w:cs="Times New Roman"/>
        </w:rPr>
        <w:t xml:space="preserve"> Incidence of HAIs—(A) CAUTI, (B) CLABSI, (C) SSI, and (D) VAP</w:t>
      </w:r>
      <w:r w:rsidRPr="00054B7B">
        <w:rPr>
          <w:rFonts w:ascii="Times New Roman" w:hAnsi="Times New Roman" w:cs="Times New Roman"/>
          <w:b/>
          <w:bCs/>
        </w:rPr>
        <w:t xml:space="preserve"> </w:t>
      </w:r>
    </w:p>
    <w:p w14:paraId="7106444A" w14:textId="77777777" w:rsidR="00B2343D" w:rsidRPr="00054B7B" w:rsidRDefault="00B2343D" w:rsidP="00B2343D">
      <w:pPr>
        <w:spacing w:after="0" w:line="480" w:lineRule="auto"/>
        <w:jc w:val="both"/>
        <w:rPr>
          <w:rFonts w:ascii="Times New Roman" w:hAnsi="Times New Roman" w:cs="Times New Roman"/>
          <w:i/>
          <w:iCs/>
        </w:rPr>
      </w:pPr>
      <w:r w:rsidRPr="00054B7B">
        <w:rPr>
          <w:rFonts w:ascii="Times New Roman" w:hAnsi="Times New Roman" w:cs="Times New Roman"/>
          <w:i/>
          <w:iCs/>
        </w:rPr>
        <w:t>CAUTI: Catheter-associated urinary tract infection; CLABSI: Central line-associated bloodstream infection; HAI: Healthcare-associated infection; MGM: Mahatma Gandhi Mission; SSI: Surgical site infection; VAP: Ventilator-associated pneumonia.</w:t>
      </w:r>
    </w:p>
    <w:p w14:paraId="1876C23F" w14:textId="77777777" w:rsidR="00B2343D" w:rsidRPr="00054B7B" w:rsidRDefault="00B2343D" w:rsidP="00B2343D">
      <w:pPr>
        <w:spacing w:after="0" w:line="480" w:lineRule="auto"/>
        <w:jc w:val="both"/>
        <w:rPr>
          <w:rFonts w:ascii="Times New Roman" w:hAnsi="Times New Roman" w:cs="Times New Roman"/>
          <w:color w:val="000000" w:themeColor="text1"/>
        </w:rPr>
      </w:pPr>
      <w:r w:rsidRPr="00054B7B">
        <w:rPr>
          <w:rFonts w:ascii="Times New Roman" w:hAnsi="Times New Roman" w:cs="Times New Roman"/>
          <w:i/>
          <w:iCs/>
        </w:rPr>
        <w:t>Note: The increase/decrease in the rate of CAUTI, CLABSI, SSI, and VAP from the preintervention phase to the postintervention phase is presented above the bars for each hospital.</w:t>
      </w:r>
    </w:p>
    <w:p w14:paraId="74F22D94" w14:textId="77777777" w:rsidR="00B2343D" w:rsidRDefault="00B2343D">
      <w:pPr>
        <w:spacing w:line="480" w:lineRule="auto"/>
        <w:jc w:val="both"/>
        <w:rPr>
          <w:rFonts w:ascii="Arial" w:hAnsi="Arial" w:cs="Arial"/>
          <w:b/>
          <w:bCs/>
        </w:rPr>
        <w:sectPr w:rsidR="00B2343D" w:rsidSect="00B05BE6">
          <w:footerReference w:type="default" r:id="rId12"/>
          <w:pgSz w:w="11906" w:h="16838"/>
          <w:pgMar w:top="1440" w:right="1440" w:bottom="1440" w:left="1440" w:header="708" w:footer="708" w:gutter="0"/>
          <w:lnNumType w:countBy="1" w:restart="continuous"/>
          <w:cols w:space="708"/>
          <w:docGrid w:linePitch="360"/>
        </w:sectPr>
      </w:pPr>
    </w:p>
    <w:p w14:paraId="0575D3D7" w14:textId="6C21F102" w:rsidR="00B2343D" w:rsidRDefault="00B2343D">
      <w:pPr>
        <w:spacing w:line="480" w:lineRule="auto"/>
        <w:jc w:val="both"/>
        <w:rPr>
          <w:rFonts w:ascii="Arial" w:hAnsi="Arial" w:cs="Arial"/>
          <w:b/>
          <w:bCs/>
        </w:rPr>
      </w:pPr>
      <w:r w:rsidRPr="00054B7B">
        <w:rPr>
          <w:rFonts w:ascii="Arial" w:hAnsi="Arial" w:cs="Arial"/>
          <w:b/>
          <w:bCs/>
        </w:rPr>
        <w:lastRenderedPageBreak/>
        <w:t>Supplementary Table</w:t>
      </w:r>
      <w:r>
        <w:rPr>
          <w:rFonts w:ascii="Arial" w:hAnsi="Arial" w:cs="Arial"/>
          <w:b/>
          <w:bCs/>
        </w:rPr>
        <w:t>s</w:t>
      </w:r>
    </w:p>
    <w:p w14:paraId="68C3AAD5" w14:textId="59B164D3" w:rsidR="000322EF" w:rsidRPr="00B05BE6" w:rsidRDefault="000322EF" w:rsidP="00B05BE6">
      <w:pPr>
        <w:spacing w:line="480" w:lineRule="auto"/>
        <w:jc w:val="both"/>
        <w:rPr>
          <w:rFonts w:ascii="Arial" w:hAnsi="Arial" w:cs="Arial"/>
          <w:b/>
          <w:bCs/>
        </w:rPr>
      </w:pPr>
      <w:r w:rsidRPr="00B05BE6">
        <w:rPr>
          <w:rFonts w:ascii="Arial" w:hAnsi="Arial" w:cs="Arial"/>
          <w:b/>
          <w:bCs/>
        </w:rPr>
        <w:t xml:space="preserve">Supplementary Table 1: </w:t>
      </w:r>
      <w:r w:rsidRPr="00B05BE6">
        <w:rPr>
          <w:rFonts w:ascii="Arial" w:hAnsi="Arial" w:cs="Arial"/>
        </w:rPr>
        <w:t>Assessment criteria for partner hospital selection in the project</w:t>
      </w:r>
    </w:p>
    <w:tbl>
      <w:tblPr>
        <w:tblStyle w:val="PlainTable2"/>
        <w:tblW w:w="14459" w:type="dxa"/>
        <w:tblLayout w:type="fixed"/>
        <w:tblLook w:val="04A0" w:firstRow="1" w:lastRow="0" w:firstColumn="1" w:lastColumn="0" w:noHBand="0" w:noVBand="1"/>
      </w:tblPr>
      <w:tblGrid>
        <w:gridCol w:w="1500"/>
        <w:gridCol w:w="857"/>
        <w:gridCol w:w="1612"/>
        <w:gridCol w:w="2835"/>
        <w:gridCol w:w="2835"/>
        <w:gridCol w:w="851"/>
        <w:gridCol w:w="3969"/>
      </w:tblGrid>
      <w:tr w:rsidR="000322EF" w:rsidRPr="00FE38FD" w14:paraId="2D48CF0A" w14:textId="77777777" w:rsidTr="00B05BE6">
        <w:trPr>
          <w:cnfStyle w:val="100000000000" w:firstRow="1" w:lastRow="0" w:firstColumn="0" w:lastColumn="0" w:oddVBand="0" w:evenVBand="0" w:oddHBand="0" w:evenHBand="0" w:firstRowFirstColumn="0" w:firstRowLastColumn="0" w:lastRowFirstColumn="0" w:lastRowLastColumn="0"/>
          <w:trHeight w:val="540"/>
          <w:tblHeader/>
        </w:trPr>
        <w:tc>
          <w:tcPr>
            <w:cnfStyle w:val="001000000000" w:firstRow="0" w:lastRow="0" w:firstColumn="1" w:lastColumn="0" w:oddVBand="0" w:evenVBand="0" w:oddHBand="0" w:evenHBand="0" w:firstRowFirstColumn="0" w:firstRowLastColumn="0" w:lastRowFirstColumn="0" w:lastRowLastColumn="0"/>
            <w:tcW w:w="14459" w:type="dxa"/>
            <w:gridSpan w:val="7"/>
            <w:shd w:val="clear" w:color="auto" w:fill="D9D9D9" w:themeFill="background1" w:themeFillShade="D9"/>
            <w:noWrap/>
            <w:hideMark/>
          </w:tcPr>
          <w:p w14:paraId="357D91A2" w14:textId="77777777" w:rsidR="000322EF" w:rsidRPr="00B05BE6" w:rsidRDefault="000322EF" w:rsidP="00B05BE6">
            <w:pPr>
              <w:spacing w:line="480" w:lineRule="auto"/>
              <w:jc w:val="both"/>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Hospital selection criteria</w:t>
            </w:r>
          </w:p>
        </w:tc>
      </w:tr>
      <w:tr w:rsidR="000322EF" w:rsidRPr="00FE38FD" w14:paraId="7791DB38" w14:textId="77777777" w:rsidTr="00B05BE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500" w:type="dxa"/>
            <w:vMerge w:val="restart"/>
            <w:shd w:val="clear" w:color="auto" w:fill="F2F2F2" w:themeFill="background1" w:themeFillShade="F2"/>
            <w:noWrap/>
            <w:hideMark/>
          </w:tcPr>
          <w:p w14:paraId="5D3B8EA5" w14:textId="77777777" w:rsidR="000322EF" w:rsidRPr="00B05BE6" w:rsidRDefault="000322EF" w:rsidP="00B05BE6">
            <w:pPr>
              <w:spacing w:line="480" w:lineRule="auto"/>
              <w:jc w:val="both"/>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p w14:paraId="50DC2BE1" w14:textId="77777777" w:rsidR="000322EF" w:rsidRPr="00B05BE6" w:rsidRDefault="000322EF" w:rsidP="00B05BE6">
            <w:pPr>
              <w:spacing w:line="480" w:lineRule="auto"/>
              <w:jc w:val="both"/>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Criteria</w:t>
            </w:r>
          </w:p>
        </w:tc>
        <w:tc>
          <w:tcPr>
            <w:tcW w:w="857" w:type="dxa"/>
            <w:vMerge w:val="restart"/>
            <w:shd w:val="clear" w:color="auto" w:fill="F2F2F2" w:themeFill="background1" w:themeFillShade="F2"/>
            <w:noWrap/>
            <w:hideMark/>
          </w:tcPr>
          <w:p w14:paraId="298C2BB5"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p w14:paraId="017597D9"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Weight</w:t>
            </w:r>
          </w:p>
        </w:tc>
        <w:tc>
          <w:tcPr>
            <w:tcW w:w="7282" w:type="dxa"/>
            <w:gridSpan w:val="3"/>
            <w:tcBorders>
              <w:bottom w:val="single" w:sz="4" w:space="0" w:color="auto"/>
            </w:tcBorders>
            <w:shd w:val="clear" w:color="auto" w:fill="F2F2F2" w:themeFill="background1" w:themeFillShade="F2"/>
            <w:noWrap/>
            <w:hideMark/>
          </w:tcPr>
          <w:p w14:paraId="174F1230"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Score</w:t>
            </w:r>
          </w:p>
        </w:tc>
        <w:tc>
          <w:tcPr>
            <w:tcW w:w="851" w:type="dxa"/>
            <w:vMerge w:val="restart"/>
            <w:shd w:val="clear" w:color="auto" w:fill="F2F2F2" w:themeFill="background1" w:themeFillShade="F2"/>
            <w:noWrap/>
            <w:hideMark/>
          </w:tcPr>
          <w:p w14:paraId="4F797150"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Weighted score</w:t>
            </w:r>
          </w:p>
          <w:p w14:paraId="00FCE00C"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vMerge w:val="restart"/>
            <w:shd w:val="clear" w:color="auto" w:fill="F2F2F2" w:themeFill="background1" w:themeFillShade="F2"/>
            <w:noWrap/>
            <w:hideMark/>
          </w:tcPr>
          <w:p w14:paraId="002BDD38"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Remarks</w:t>
            </w:r>
          </w:p>
          <w:p w14:paraId="2DD24AF1"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FE38FD" w:rsidRPr="00FE38FD" w14:paraId="3AE7FC82" w14:textId="77777777" w:rsidTr="00C475EB">
        <w:trPr>
          <w:cnfStyle w:val="100000000000" w:firstRow="1" w:lastRow="0" w:firstColumn="0" w:lastColumn="0" w:oddVBand="0" w:evenVBand="0" w:oddHBand="0" w:evenHBand="0" w:firstRowFirstColumn="0" w:firstRowLastColumn="0" w:lastRowFirstColumn="0" w:lastRowLastColumn="0"/>
          <w:trHeight w:val="204"/>
          <w:tblHeader/>
        </w:trPr>
        <w:tc>
          <w:tcPr>
            <w:cnfStyle w:val="001000000000" w:firstRow="0" w:lastRow="0" w:firstColumn="1" w:lastColumn="0" w:oddVBand="0" w:evenVBand="0" w:oddHBand="0" w:evenHBand="0" w:firstRowFirstColumn="0" w:firstRowLastColumn="0" w:lastRowFirstColumn="0" w:lastRowLastColumn="0"/>
            <w:tcW w:w="1500" w:type="dxa"/>
            <w:vMerge/>
            <w:noWrap/>
            <w:hideMark/>
          </w:tcPr>
          <w:p w14:paraId="3193FBB7" w14:textId="77777777" w:rsidR="000322EF" w:rsidRPr="00B05BE6" w:rsidRDefault="000322EF" w:rsidP="00B05BE6">
            <w:pPr>
              <w:spacing w:line="480" w:lineRule="auto"/>
              <w:jc w:val="both"/>
              <w:rPr>
                <w:rFonts w:ascii="Arial" w:eastAsia="Times New Roman" w:hAnsi="Arial" w:cs="Arial"/>
                <w:kern w:val="0"/>
                <w:lang w:eastAsia="en-IN"/>
                <w14:ligatures w14:val="none"/>
              </w:rPr>
            </w:pPr>
          </w:p>
        </w:tc>
        <w:tc>
          <w:tcPr>
            <w:tcW w:w="857" w:type="dxa"/>
            <w:vMerge/>
            <w:noWrap/>
            <w:hideMark/>
          </w:tcPr>
          <w:p w14:paraId="152C6570"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p>
        </w:tc>
        <w:tc>
          <w:tcPr>
            <w:tcW w:w="1612" w:type="dxa"/>
            <w:tcBorders>
              <w:top w:val="single" w:sz="4" w:space="0" w:color="auto"/>
            </w:tcBorders>
            <w:shd w:val="clear" w:color="auto" w:fill="F2F2F2" w:themeFill="background1" w:themeFillShade="F2"/>
            <w:noWrap/>
            <w:hideMark/>
          </w:tcPr>
          <w:p w14:paraId="633C37E0"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1</w:t>
            </w:r>
          </w:p>
        </w:tc>
        <w:tc>
          <w:tcPr>
            <w:tcW w:w="2835" w:type="dxa"/>
            <w:tcBorders>
              <w:top w:val="single" w:sz="4" w:space="0" w:color="auto"/>
            </w:tcBorders>
            <w:shd w:val="clear" w:color="auto" w:fill="F2F2F2" w:themeFill="background1" w:themeFillShade="F2"/>
            <w:noWrap/>
            <w:hideMark/>
          </w:tcPr>
          <w:p w14:paraId="18388370"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2835" w:type="dxa"/>
            <w:tcBorders>
              <w:top w:val="single" w:sz="4" w:space="0" w:color="auto"/>
            </w:tcBorders>
            <w:shd w:val="clear" w:color="auto" w:fill="F2F2F2" w:themeFill="background1" w:themeFillShade="F2"/>
            <w:noWrap/>
            <w:hideMark/>
          </w:tcPr>
          <w:p w14:paraId="4B172B37"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851" w:type="dxa"/>
            <w:vMerge/>
            <w:noWrap/>
            <w:hideMark/>
          </w:tcPr>
          <w:p w14:paraId="52E1BA6A"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kern w:val="0"/>
                <w:lang w:eastAsia="en-IN"/>
                <w14:ligatures w14:val="none"/>
              </w:rPr>
            </w:pPr>
          </w:p>
        </w:tc>
        <w:tc>
          <w:tcPr>
            <w:tcW w:w="3969" w:type="dxa"/>
            <w:vMerge/>
            <w:noWrap/>
            <w:hideMark/>
          </w:tcPr>
          <w:p w14:paraId="38B961C1" w14:textId="77777777" w:rsidR="000322EF" w:rsidRPr="00B05BE6" w:rsidRDefault="000322EF" w:rsidP="00B05BE6">
            <w:pPr>
              <w:spacing w:line="480" w:lineRule="aut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kern w:val="0"/>
                <w:lang w:eastAsia="en-IN"/>
                <w14:ligatures w14:val="none"/>
              </w:rPr>
            </w:pPr>
          </w:p>
        </w:tc>
      </w:tr>
      <w:tr w:rsidR="000322EF" w:rsidRPr="00FE38FD" w14:paraId="26E88C9B" w14:textId="77777777" w:rsidTr="00B05BE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500" w:type="dxa"/>
            <w:hideMark/>
          </w:tcPr>
          <w:p w14:paraId="70CEE76F"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Nature of the establishment</w:t>
            </w:r>
          </w:p>
        </w:tc>
        <w:tc>
          <w:tcPr>
            <w:tcW w:w="857" w:type="dxa"/>
            <w:hideMark/>
          </w:tcPr>
          <w:p w14:paraId="4C916FDB"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1612" w:type="dxa"/>
            <w:hideMark/>
          </w:tcPr>
          <w:p w14:paraId="027CF902"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Corporate/proprietary</w:t>
            </w:r>
          </w:p>
        </w:tc>
        <w:tc>
          <w:tcPr>
            <w:tcW w:w="2835" w:type="dxa"/>
            <w:hideMark/>
          </w:tcPr>
          <w:p w14:paraId="0F696A0B"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Semi govt./trust hospital</w:t>
            </w:r>
          </w:p>
        </w:tc>
        <w:tc>
          <w:tcPr>
            <w:tcW w:w="2835" w:type="dxa"/>
            <w:hideMark/>
          </w:tcPr>
          <w:p w14:paraId="5A15D0D5"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Government</w:t>
            </w:r>
          </w:p>
        </w:tc>
        <w:tc>
          <w:tcPr>
            <w:tcW w:w="851" w:type="dxa"/>
            <w:noWrap/>
            <w:hideMark/>
          </w:tcPr>
          <w:p w14:paraId="11F96C00"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p>
        </w:tc>
        <w:tc>
          <w:tcPr>
            <w:tcW w:w="3969" w:type="dxa"/>
            <w:noWrap/>
            <w:hideMark/>
          </w:tcPr>
          <w:p w14:paraId="28B0EFB4"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0F441F8D" w14:textId="77777777" w:rsidTr="00B05BE6">
        <w:trPr>
          <w:trHeight w:val="219"/>
        </w:trPr>
        <w:tc>
          <w:tcPr>
            <w:cnfStyle w:val="001000000000" w:firstRow="0" w:lastRow="0" w:firstColumn="1" w:lastColumn="0" w:oddVBand="0" w:evenVBand="0" w:oddHBand="0" w:evenHBand="0" w:firstRowFirstColumn="0" w:firstRowLastColumn="0" w:lastRowFirstColumn="0" w:lastRowLastColumn="0"/>
            <w:tcW w:w="1500" w:type="dxa"/>
            <w:hideMark/>
          </w:tcPr>
          <w:p w14:paraId="4266E356"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Accreditations (NABH)</w:t>
            </w:r>
          </w:p>
        </w:tc>
        <w:tc>
          <w:tcPr>
            <w:tcW w:w="857" w:type="dxa"/>
            <w:hideMark/>
          </w:tcPr>
          <w:p w14:paraId="002C2998"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39446D68"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Accredited</w:t>
            </w:r>
          </w:p>
        </w:tc>
        <w:tc>
          <w:tcPr>
            <w:tcW w:w="2835" w:type="dxa"/>
            <w:hideMark/>
          </w:tcPr>
          <w:p w14:paraId="112609AD"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Entry level</w:t>
            </w:r>
          </w:p>
        </w:tc>
        <w:tc>
          <w:tcPr>
            <w:tcW w:w="2835" w:type="dxa"/>
            <w:hideMark/>
          </w:tcPr>
          <w:p w14:paraId="7B4DDA02"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accredited</w:t>
            </w:r>
          </w:p>
        </w:tc>
        <w:tc>
          <w:tcPr>
            <w:tcW w:w="851" w:type="dxa"/>
            <w:noWrap/>
            <w:hideMark/>
          </w:tcPr>
          <w:p w14:paraId="74B16659"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54B06CA0"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1337C07F" w14:textId="77777777" w:rsidTr="00B05BE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00" w:type="dxa"/>
            <w:hideMark/>
          </w:tcPr>
          <w:p w14:paraId="437B2D81"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Management support</w:t>
            </w:r>
          </w:p>
        </w:tc>
        <w:tc>
          <w:tcPr>
            <w:tcW w:w="857" w:type="dxa"/>
            <w:hideMark/>
          </w:tcPr>
          <w:p w14:paraId="678D7A10"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3990AD9A"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Nil</w:t>
            </w:r>
          </w:p>
        </w:tc>
        <w:tc>
          <w:tcPr>
            <w:tcW w:w="2835" w:type="dxa"/>
            <w:hideMark/>
          </w:tcPr>
          <w:p w14:paraId="7E60B51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Partial/pilot support</w:t>
            </w:r>
          </w:p>
        </w:tc>
        <w:tc>
          <w:tcPr>
            <w:tcW w:w="2835" w:type="dxa"/>
            <w:hideMark/>
          </w:tcPr>
          <w:p w14:paraId="5F107D36"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xml:space="preserve">Full support </w:t>
            </w:r>
          </w:p>
        </w:tc>
        <w:tc>
          <w:tcPr>
            <w:tcW w:w="851" w:type="dxa"/>
            <w:noWrap/>
            <w:hideMark/>
          </w:tcPr>
          <w:p w14:paraId="16A067A5"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22B4F56B"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260AA4E8" w14:textId="77777777" w:rsidTr="00B05BE6">
        <w:trPr>
          <w:trHeight w:val="155"/>
        </w:trPr>
        <w:tc>
          <w:tcPr>
            <w:cnfStyle w:val="001000000000" w:firstRow="0" w:lastRow="0" w:firstColumn="1" w:lastColumn="0" w:oddVBand="0" w:evenVBand="0" w:oddHBand="0" w:evenHBand="0" w:firstRowFirstColumn="0" w:firstRowLastColumn="0" w:lastRowFirstColumn="0" w:lastRowLastColumn="0"/>
            <w:tcW w:w="1500" w:type="dxa"/>
            <w:hideMark/>
          </w:tcPr>
          <w:p w14:paraId="5CE08B92"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Number of beds</w:t>
            </w:r>
          </w:p>
        </w:tc>
        <w:tc>
          <w:tcPr>
            <w:tcW w:w="857" w:type="dxa"/>
            <w:hideMark/>
          </w:tcPr>
          <w:p w14:paraId="2D574C29"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09119ED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&lt;=100</w:t>
            </w:r>
          </w:p>
        </w:tc>
        <w:tc>
          <w:tcPr>
            <w:tcW w:w="2835" w:type="dxa"/>
            <w:hideMark/>
          </w:tcPr>
          <w:p w14:paraId="040808D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101–150</w:t>
            </w:r>
          </w:p>
        </w:tc>
        <w:tc>
          <w:tcPr>
            <w:tcW w:w="2835" w:type="dxa"/>
            <w:hideMark/>
          </w:tcPr>
          <w:p w14:paraId="43489678"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&gt;150</w:t>
            </w:r>
          </w:p>
        </w:tc>
        <w:tc>
          <w:tcPr>
            <w:tcW w:w="851" w:type="dxa"/>
            <w:noWrap/>
            <w:hideMark/>
          </w:tcPr>
          <w:p w14:paraId="52C15C6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5F038B7A"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4E34C437" w14:textId="77777777" w:rsidTr="00B05BE6">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500" w:type="dxa"/>
            <w:hideMark/>
          </w:tcPr>
          <w:p w14:paraId="01652D1B"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lastRenderedPageBreak/>
              <w:t>Microbiology laboratory</w:t>
            </w:r>
          </w:p>
        </w:tc>
        <w:tc>
          <w:tcPr>
            <w:tcW w:w="857" w:type="dxa"/>
            <w:hideMark/>
          </w:tcPr>
          <w:p w14:paraId="2180099A"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1612" w:type="dxa"/>
            <w:hideMark/>
          </w:tcPr>
          <w:p w14:paraId="47FD138A"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xml:space="preserve">Not available </w:t>
            </w:r>
          </w:p>
        </w:tc>
        <w:tc>
          <w:tcPr>
            <w:tcW w:w="2835" w:type="dxa"/>
            <w:hideMark/>
          </w:tcPr>
          <w:p w14:paraId="52E37C1F"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Outsourced and functional</w:t>
            </w:r>
          </w:p>
        </w:tc>
        <w:tc>
          <w:tcPr>
            <w:tcW w:w="2835" w:type="dxa"/>
            <w:hideMark/>
          </w:tcPr>
          <w:p w14:paraId="7C1D9177"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Owned and functional</w:t>
            </w:r>
          </w:p>
        </w:tc>
        <w:tc>
          <w:tcPr>
            <w:tcW w:w="851" w:type="dxa"/>
            <w:noWrap/>
            <w:hideMark/>
          </w:tcPr>
          <w:p w14:paraId="15628B21"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00801F13"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41D8D3D6" w14:textId="77777777" w:rsidTr="00B05BE6">
        <w:trPr>
          <w:trHeight w:val="426"/>
        </w:trPr>
        <w:tc>
          <w:tcPr>
            <w:cnfStyle w:val="001000000000" w:firstRow="0" w:lastRow="0" w:firstColumn="1" w:lastColumn="0" w:oddVBand="0" w:evenVBand="0" w:oddHBand="0" w:evenHBand="0" w:firstRowFirstColumn="0" w:firstRowLastColumn="0" w:lastRowFirstColumn="0" w:lastRowLastColumn="0"/>
            <w:tcW w:w="1500" w:type="dxa"/>
            <w:hideMark/>
          </w:tcPr>
          <w:p w14:paraId="5958412E"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Availability of microbiologist (MD)</w:t>
            </w:r>
          </w:p>
        </w:tc>
        <w:tc>
          <w:tcPr>
            <w:tcW w:w="857" w:type="dxa"/>
            <w:hideMark/>
          </w:tcPr>
          <w:p w14:paraId="29C966CA"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1612" w:type="dxa"/>
            <w:hideMark/>
          </w:tcPr>
          <w:p w14:paraId="2E792E7F"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xml:space="preserve">Not available </w:t>
            </w:r>
          </w:p>
        </w:tc>
        <w:tc>
          <w:tcPr>
            <w:tcW w:w="2835" w:type="dxa"/>
            <w:hideMark/>
          </w:tcPr>
          <w:p w14:paraId="79F9932D"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Part-time consultant</w:t>
            </w:r>
          </w:p>
        </w:tc>
        <w:tc>
          <w:tcPr>
            <w:tcW w:w="2835" w:type="dxa"/>
            <w:hideMark/>
          </w:tcPr>
          <w:p w14:paraId="76902BC4"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xml:space="preserve">On the rolls </w:t>
            </w:r>
          </w:p>
        </w:tc>
        <w:tc>
          <w:tcPr>
            <w:tcW w:w="851" w:type="dxa"/>
            <w:noWrap/>
            <w:hideMark/>
          </w:tcPr>
          <w:p w14:paraId="13EBF950"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5EC83652"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1929ED72" w14:textId="77777777" w:rsidTr="00B05BE6">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500" w:type="dxa"/>
            <w:hideMark/>
          </w:tcPr>
          <w:p w14:paraId="36438FBC"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Availability of ICN</w:t>
            </w:r>
          </w:p>
        </w:tc>
        <w:tc>
          <w:tcPr>
            <w:tcW w:w="857" w:type="dxa"/>
            <w:hideMark/>
          </w:tcPr>
          <w:p w14:paraId="58EDF4B7"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3BD1ED04"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Full-time ICN team</w:t>
            </w:r>
          </w:p>
        </w:tc>
        <w:tc>
          <w:tcPr>
            <w:tcW w:w="2835" w:type="dxa"/>
            <w:hideMark/>
          </w:tcPr>
          <w:p w14:paraId="7F7E98CD"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Part-time ICN</w:t>
            </w:r>
          </w:p>
        </w:tc>
        <w:tc>
          <w:tcPr>
            <w:tcW w:w="2835" w:type="dxa"/>
            <w:hideMark/>
          </w:tcPr>
          <w:p w14:paraId="36B8F552"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available</w:t>
            </w:r>
          </w:p>
        </w:tc>
        <w:tc>
          <w:tcPr>
            <w:tcW w:w="851" w:type="dxa"/>
            <w:noWrap/>
            <w:hideMark/>
          </w:tcPr>
          <w:p w14:paraId="70A82693"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7DDCC2CB"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5A0A60C4" w14:textId="77777777" w:rsidTr="00B05BE6">
        <w:trPr>
          <w:trHeight w:val="70"/>
        </w:trPr>
        <w:tc>
          <w:tcPr>
            <w:cnfStyle w:val="001000000000" w:firstRow="0" w:lastRow="0" w:firstColumn="1" w:lastColumn="0" w:oddVBand="0" w:evenVBand="0" w:oddHBand="0" w:evenHBand="0" w:firstRowFirstColumn="0" w:firstRowLastColumn="0" w:lastRowFirstColumn="0" w:lastRowLastColumn="0"/>
            <w:tcW w:w="1500" w:type="dxa"/>
            <w:hideMark/>
          </w:tcPr>
          <w:p w14:paraId="7886E017"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Availability of ICO/MO</w:t>
            </w:r>
          </w:p>
        </w:tc>
        <w:tc>
          <w:tcPr>
            <w:tcW w:w="857" w:type="dxa"/>
            <w:hideMark/>
          </w:tcPr>
          <w:p w14:paraId="694FBC9A"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33034FAA"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Full-time ICO</w:t>
            </w:r>
          </w:p>
        </w:tc>
        <w:tc>
          <w:tcPr>
            <w:tcW w:w="2835" w:type="dxa"/>
            <w:hideMark/>
          </w:tcPr>
          <w:p w14:paraId="2113FFEE"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Part-time ICO/MO</w:t>
            </w:r>
          </w:p>
        </w:tc>
        <w:tc>
          <w:tcPr>
            <w:tcW w:w="2835" w:type="dxa"/>
            <w:hideMark/>
          </w:tcPr>
          <w:p w14:paraId="174E18C4"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available</w:t>
            </w:r>
          </w:p>
        </w:tc>
        <w:tc>
          <w:tcPr>
            <w:tcW w:w="851" w:type="dxa"/>
            <w:noWrap/>
            <w:hideMark/>
          </w:tcPr>
          <w:p w14:paraId="2A18DFB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174C028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5EBD5339" w14:textId="77777777" w:rsidTr="00B05BE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00" w:type="dxa"/>
            <w:hideMark/>
          </w:tcPr>
          <w:p w14:paraId="5B2F29F9"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 xml:space="preserve">No of specialties </w:t>
            </w:r>
          </w:p>
        </w:tc>
        <w:tc>
          <w:tcPr>
            <w:tcW w:w="857" w:type="dxa"/>
            <w:hideMark/>
          </w:tcPr>
          <w:p w14:paraId="3B6A2F71"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1612" w:type="dxa"/>
            <w:hideMark/>
          </w:tcPr>
          <w:p w14:paraId="73AAD0CC"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Core specialty</w:t>
            </w:r>
          </w:p>
        </w:tc>
        <w:tc>
          <w:tcPr>
            <w:tcW w:w="2835" w:type="dxa"/>
            <w:hideMark/>
          </w:tcPr>
          <w:p w14:paraId="7B191EA3"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General multispecialty</w:t>
            </w:r>
          </w:p>
        </w:tc>
        <w:tc>
          <w:tcPr>
            <w:tcW w:w="2835" w:type="dxa"/>
            <w:hideMark/>
          </w:tcPr>
          <w:p w14:paraId="0DB94F3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Multi super-specialty</w:t>
            </w:r>
          </w:p>
        </w:tc>
        <w:tc>
          <w:tcPr>
            <w:tcW w:w="851" w:type="dxa"/>
            <w:noWrap/>
            <w:hideMark/>
          </w:tcPr>
          <w:p w14:paraId="192108DD"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235DC0E2"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205FB20F" w14:textId="77777777" w:rsidTr="00B05BE6">
        <w:trPr>
          <w:trHeight w:val="70"/>
        </w:trPr>
        <w:tc>
          <w:tcPr>
            <w:cnfStyle w:val="001000000000" w:firstRow="0" w:lastRow="0" w:firstColumn="1" w:lastColumn="0" w:oddVBand="0" w:evenVBand="0" w:oddHBand="0" w:evenHBand="0" w:firstRowFirstColumn="0" w:firstRowLastColumn="0" w:lastRowFirstColumn="0" w:lastRowLastColumn="0"/>
            <w:tcW w:w="1500" w:type="dxa"/>
            <w:hideMark/>
          </w:tcPr>
          <w:p w14:paraId="202EA998"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lastRenderedPageBreak/>
              <w:t>Number of ICUs</w:t>
            </w:r>
          </w:p>
        </w:tc>
        <w:tc>
          <w:tcPr>
            <w:tcW w:w="857" w:type="dxa"/>
            <w:hideMark/>
          </w:tcPr>
          <w:p w14:paraId="392CF7A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1612" w:type="dxa"/>
            <w:hideMark/>
          </w:tcPr>
          <w:p w14:paraId="0D2657F4"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Nil</w:t>
            </w:r>
          </w:p>
        </w:tc>
        <w:tc>
          <w:tcPr>
            <w:tcW w:w="2835" w:type="dxa"/>
            <w:hideMark/>
          </w:tcPr>
          <w:p w14:paraId="1308F6A6"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1</w:t>
            </w:r>
          </w:p>
        </w:tc>
        <w:tc>
          <w:tcPr>
            <w:tcW w:w="2835" w:type="dxa"/>
            <w:hideMark/>
          </w:tcPr>
          <w:p w14:paraId="59EAEAF6"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 or more</w:t>
            </w:r>
          </w:p>
        </w:tc>
        <w:tc>
          <w:tcPr>
            <w:tcW w:w="851" w:type="dxa"/>
            <w:noWrap/>
            <w:hideMark/>
          </w:tcPr>
          <w:p w14:paraId="2444C319"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7CFD66DA"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13131EBF" w14:textId="77777777" w:rsidTr="00B05BE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00" w:type="dxa"/>
            <w:hideMark/>
          </w:tcPr>
          <w:p w14:paraId="123E9C7A"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No of ICU beds</w:t>
            </w:r>
          </w:p>
        </w:tc>
        <w:tc>
          <w:tcPr>
            <w:tcW w:w="857" w:type="dxa"/>
            <w:hideMark/>
          </w:tcPr>
          <w:p w14:paraId="0705C28D"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1612" w:type="dxa"/>
            <w:hideMark/>
          </w:tcPr>
          <w:p w14:paraId="0305409E"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Nil</w:t>
            </w:r>
          </w:p>
        </w:tc>
        <w:tc>
          <w:tcPr>
            <w:tcW w:w="2835" w:type="dxa"/>
            <w:hideMark/>
          </w:tcPr>
          <w:p w14:paraId="7B8C9302"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Up to 25</w:t>
            </w:r>
          </w:p>
        </w:tc>
        <w:tc>
          <w:tcPr>
            <w:tcW w:w="2835" w:type="dxa"/>
            <w:hideMark/>
          </w:tcPr>
          <w:p w14:paraId="5AF0BAF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&gt;25</w:t>
            </w:r>
          </w:p>
        </w:tc>
        <w:tc>
          <w:tcPr>
            <w:tcW w:w="851" w:type="dxa"/>
            <w:noWrap/>
            <w:hideMark/>
          </w:tcPr>
          <w:p w14:paraId="6041CDFA"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5787E2C2"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01CBB776" w14:textId="77777777" w:rsidTr="00B05BE6">
        <w:trPr>
          <w:trHeight w:val="70"/>
        </w:trPr>
        <w:tc>
          <w:tcPr>
            <w:cnfStyle w:val="001000000000" w:firstRow="0" w:lastRow="0" w:firstColumn="1" w:lastColumn="0" w:oddVBand="0" w:evenVBand="0" w:oddHBand="0" w:evenHBand="0" w:firstRowFirstColumn="0" w:firstRowLastColumn="0" w:lastRowFirstColumn="0" w:lastRowLastColumn="0"/>
            <w:tcW w:w="1500" w:type="dxa"/>
            <w:hideMark/>
          </w:tcPr>
          <w:p w14:paraId="5F8F38F0"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In-house pharmacy</w:t>
            </w:r>
          </w:p>
        </w:tc>
        <w:tc>
          <w:tcPr>
            <w:tcW w:w="857" w:type="dxa"/>
            <w:hideMark/>
          </w:tcPr>
          <w:p w14:paraId="148827D5"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1612" w:type="dxa"/>
            <w:hideMark/>
          </w:tcPr>
          <w:p w14:paraId="466CC549"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xml:space="preserve">Not available </w:t>
            </w:r>
          </w:p>
        </w:tc>
        <w:tc>
          <w:tcPr>
            <w:tcW w:w="2835" w:type="dxa"/>
            <w:hideMark/>
          </w:tcPr>
          <w:p w14:paraId="55D9501E"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Outsourced and functional</w:t>
            </w:r>
          </w:p>
        </w:tc>
        <w:tc>
          <w:tcPr>
            <w:tcW w:w="2835" w:type="dxa"/>
            <w:hideMark/>
          </w:tcPr>
          <w:p w14:paraId="0CE37D7F"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Owned and functional</w:t>
            </w:r>
          </w:p>
        </w:tc>
        <w:tc>
          <w:tcPr>
            <w:tcW w:w="851" w:type="dxa"/>
            <w:noWrap/>
            <w:hideMark/>
          </w:tcPr>
          <w:p w14:paraId="0E522883"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00E8E5F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423D8770" w14:textId="77777777" w:rsidTr="00B05BE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00" w:type="dxa"/>
            <w:hideMark/>
          </w:tcPr>
          <w:p w14:paraId="7F49E535"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Dedicated pharmacist</w:t>
            </w:r>
          </w:p>
        </w:tc>
        <w:tc>
          <w:tcPr>
            <w:tcW w:w="857" w:type="dxa"/>
            <w:hideMark/>
          </w:tcPr>
          <w:p w14:paraId="50EB288F"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1612" w:type="dxa"/>
            <w:hideMark/>
          </w:tcPr>
          <w:p w14:paraId="687FE2AB"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xml:space="preserve">Not available </w:t>
            </w:r>
          </w:p>
        </w:tc>
        <w:tc>
          <w:tcPr>
            <w:tcW w:w="2835" w:type="dxa"/>
            <w:hideMark/>
          </w:tcPr>
          <w:p w14:paraId="0D27A978"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Part-time consultant</w:t>
            </w:r>
          </w:p>
        </w:tc>
        <w:tc>
          <w:tcPr>
            <w:tcW w:w="2835" w:type="dxa"/>
            <w:hideMark/>
          </w:tcPr>
          <w:p w14:paraId="459D10EC"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Full-time</w:t>
            </w:r>
          </w:p>
        </w:tc>
        <w:tc>
          <w:tcPr>
            <w:tcW w:w="851" w:type="dxa"/>
            <w:noWrap/>
            <w:hideMark/>
          </w:tcPr>
          <w:p w14:paraId="359F0DA5"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31DB399A"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5135EFFF" w14:textId="77777777" w:rsidTr="00B05BE6">
        <w:trPr>
          <w:trHeight w:val="123"/>
        </w:trPr>
        <w:tc>
          <w:tcPr>
            <w:cnfStyle w:val="001000000000" w:firstRow="0" w:lastRow="0" w:firstColumn="1" w:lastColumn="0" w:oddVBand="0" w:evenVBand="0" w:oddHBand="0" w:evenHBand="0" w:firstRowFirstColumn="0" w:firstRowLastColumn="0" w:lastRowFirstColumn="0" w:lastRowLastColumn="0"/>
            <w:tcW w:w="1500" w:type="dxa"/>
            <w:hideMark/>
          </w:tcPr>
          <w:p w14:paraId="4D8199E5"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HIC/IPC committee</w:t>
            </w:r>
          </w:p>
        </w:tc>
        <w:tc>
          <w:tcPr>
            <w:tcW w:w="857" w:type="dxa"/>
            <w:hideMark/>
          </w:tcPr>
          <w:p w14:paraId="7FF9C798"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2C6B1785"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Present and functional</w:t>
            </w:r>
          </w:p>
        </w:tc>
        <w:tc>
          <w:tcPr>
            <w:tcW w:w="2835" w:type="dxa"/>
            <w:hideMark/>
          </w:tcPr>
          <w:p w14:paraId="23720230"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Present but not functioning</w:t>
            </w:r>
          </w:p>
        </w:tc>
        <w:tc>
          <w:tcPr>
            <w:tcW w:w="2835" w:type="dxa"/>
            <w:hideMark/>
          </w:tcPr>
          <w:p w14:paraId="67CAC01B"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formed</w:t>
            </w:r>
          </w:p>
        </w:tc>
        <w:tc>
          <w:tcPr>
            <w:tcW w:w="851" w:type="dxa"/>
            <w:noWrap/>
            <w:hideMark/>
          </w:tcPr>
          <w:p w14:paraId="6838AF63"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61AD522A"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510B50EC" w14:textId="77777777" w:rsidTr="00B05BE6">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500" w:type="dxa"/>
            <w:hideMark/>
          </w:tcPr>
          <w:p w14:paraId="1D44E234"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lastRenderedPageBreak/>
              <w:t xml:space="preserve">HIC manual </w:t>
            </w:r>
          </w:p>
        </w:tc>
        <w:tc>
          <w:tcPr>
            <w:tcW w:w="857" w:type="dxa"/>
            <w:hideMark/>
          </w:tcPr>
          <w:p w14:paraId="76A6B330"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74353185"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Available, updated, and implemented</w:t>
            </w:r>
          </w:p>
        </w:tc>
        <w:tc>
          <w:tcPr>
            <w:tcW w:w="2835" w:type="dxa"/>
            <w:hideMark/>
          </w:tcPr>
          <w:p w14:paraId="37B9A98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Outdated or in draft stage/not implemented</w:t>
            </w:r>
          </w:p>
        </w:tc>
        <w:tc>
          <w:tcPr>
            <w:tcW w:w="2835" w:type="dxa"/>
            <w:hideMark/>
          </w:tcPr>
          <w:p w14:paraId="68A9CE1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available</w:t>
            </w:r>
          </w:p>
        </w:tc>
        <w:tc>
          <w:tcPr>
            <w:tcW w:w="851" w:type="dxa"/>
            <w:noWrap/>
            <w:hideMark/>
          </w:tcPr>
          <w:p w14:paraId="5554936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28A8066D"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12A66964" w14:textId="77777777" w:rsidTr="00B05BE6">
        <w:trPr>
          <w:trHeight w:val="225"/>
        </w:trPr>
        <w:tc>
          <w:tcPr>
            <w:cnfStyle w:val="001000000000" w:firstRow="0" w:lastRow="0" w:firstColumn="1" w:lastColumn="0" w:oddVBand="0" w:evenVBand="0" w:oddHBand="0" w:evenHBand="0" w:firstRowFirstColumn="0" w:firstRowLastColumn="0" w:lastRowFirstColumn="0" w:lastRowLastColumn="0"/>
            <w:tcW w:w="1500" w:type="dxa"/>
            <w:hideMark/>
          </w:tcPr>
          <w:p w14:paraId="3A2C58F5"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IPC training and capacity building</w:t>
            </w:r>
          </w:p>
        </w:tc>
        <w:tc>
          <w:tcPr>
            <w:tcW w:w="857" w:type="dxa"/>
            <w:hideMark/>
          </w:tcPr>
          <w:p w14:paraId="525D8612"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68ED3CE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Functional as per the HIC training calendar</w:t>
            </w:r>
          </w:p>
        </w:tc>
        <w:tc>
          <w:tcPr>
            <w:tcW w:w="2835" w:type="dxa"/>
            <w:hideMark/>
          </w:tcPr>
          <w:p w14:paraId="70472883"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Annual refresher for select staff</w:t>
            </w:r>
          </w:p>
        </w:tc>
        <w:tc>
          <w:tcPr>
            <w:tcW w:w="2835" w:type="dxa"/>
            <w:hideMark/>
          </w:tcPr>
          <w:p w14:paraId="74EA1050"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available</w:t>
            </w:r>
          </w:p>
        </w:tc>
        <w:tc>
          <w:tcPr>
            <w:tcW w:w="851" w:type="dxa"/>
            <w:noWrap/>
            <w:hideMark/>
          </w:tcPr>
          <w:p w14:paraId="5280CE76"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327D7962"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09C0644E" w14:textId="77777777" w:rsidTr="00B05BE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1500" w:type="dxa"/>
            <w:hideMark/>
          </w:tcPr>
          <w:p w14:paraId="1525CB11"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HIC daily activities meetings and discussion</w:t>
            </w:r>
          </w:p>
        </w:tc>
        <w:tc>
          <w:tcPr>
            <w:tcW w:w="857" w:type="dxa"/>
            <w:hideMark/>
          </w:tcPr>
          <w:p w14:paraId="65EC0551"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2A94F2D5"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HIC calendar in place and functional</w:t>
            </w:r>
          </w:p>
        </w:tc>
        <w:tc>
          <w:tcPr>
            <w:tcW w:w="2835" w:type="dxa"/>
            <w:hideMark/>
          </w:tcPr>
          <w:p w14:paraId="2F349944"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Partial or irregular</w:t>
            </w:r>
          </w:p>
        </w:tc>
        <w:tc>
          <w:tcPr>
            <w:tcW w:w="2835" w:type="dxa"/>
            <w:hideMark/>
          </w:tcPr>
          <w:p w14:paraId="0FE88EE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available</w:t>
            </w:r>
          </w:p>
        </w:tc>
        <w:tc>
          <w:tcPr>
            <w:tcW w:w="851" w:type="dxa"/>
            <w:noWrap/>
            <w:hideMark/>
          </w:tcPr>
          <w:p w14:paraId="67BF45E0"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2FE89C4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4E7A7F15" w14:textId="77777777" w:rsidTr="00B05BE6">
        <w:trPr>
          <w:trHeight w:val="70"/>
        </w:trPr>
        <w:tc>
          <w:tcPr>
            <w:cnfStyle w:val="001000000000" w:firstRow="0" w:lastRow="0" w:firstColumn="1" w:lastColumn="0" w:oddVBand="0" w:evenVBand="0" w:oddHBand="0" w:evenHBand="0" w:firstRowFirstColumn="0" w:firstRowLastColumn="0" w:lastRowFirstColumn="0" w:lastRowLastColumn="0"/>
            <w:tcW w:w="1500" w:type="dxa"/>
            <w:hideMark/>
          </w:tcPr>
          <w:p w14:paraId="34D4B843"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lastRenderedPageBreak/>
              <w:t>HIC QI monitoring and surveillance</w:t>
            </w:r>
          </w:p>
        </w:tc>
        <w:tc>
          <w:tcPr>
            <w:tcW w:w="857" w:type="dxa"/>
            <w:hideMark/>
          </w:tcPr>
          <w:p w14:paraId="5FADB775"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2663EA88"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Implemented as per IPC manual</w:t>
            </w:r>
          </w:p>
        </w:tc>
        <w:tc>
          <w:tcPr>
            <w:tcW w:w="2835" w:type="dxa"/>
            <w:hideMark/>
          </w:tcPr>
          <w:p w14:paraId="622933E1"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Partial or irregular</w:t>
            </w:r>
          </w:p>
        </w:tc>
        <w:tc>
          <w:tcPr>
            <w:tcW w:w="2835" w:type="dxa"/>
            <w:hideMark/>
          </w:tcPr>
          <w:p w14:paraId="61B81BB9"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done</w:t>
            </w:r>
          </w:p>
        </w:tc>
        <w:tc>
          <w:tcPr>
            <w:tcW w:w="851" w:type="dxa"/>
            <w:noWrap/>
            <w:hideMark/>
          </w:tcPr>
          <w:p w14:paraId="6F0C7201"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4B7E7C7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4C69EB93" w14:textId="77777777" w:rsidTr="00B05BE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500" w:type="dxa"/>
            <w:hideMark/>
          </w:tcPr>
          <w:p w14:paraId="4C6A20E5"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 xml:space="preserve">Antibiotic stewardship </w:t>
            </w:r>
          </w:p>
          <w:p w14:paraId="1E7CC9FC"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(policy and monitoring)</w:t>
            </w:r>
          </w:p>
        </w:tc>
        <w:tc>
          <w:tcPr>
            <w:tcW w:w="857" w:type="dxa"/>
            <w:hideMark/>
          </w:tcPr>
          <w:p w14:paraId="345D8564"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02D313B1"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xml:space="preserve">Functional AS program </w:t>
            </w:r>
          </w:p>
        </w:tc>
        <w:tc>
          <w:tcPr>
            <w:tcW w:w="2835" w:type="dxa"/>
            <w:hideMark/>
          </w:tcPr>
          <w:p w14:paraId="76A70FEA"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Documented but not functional</w:t>
            </w:r>
          </w:p>
        </w:tc>
        <w:tc>
          <w:tcPr>
            <w:tcW w:w="2835" w:type="dxa"/>
            <w:hideMark/>
          </w:tcPr>
          <w:p w14:paraId="021A8112"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available</w:t>
            </w:r>
          </w:p>
        </w:tc>
        <w:tc>
          <w:tcPr>
            <w:tcW w:w="851" w:type="dxa"/>
            <w:noWrap/>
            <w:hideMark/>
          </w:tcPr>
          <w:p w14:paraId="4DD639B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2E71522A"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0C0FCA65" w14:textId="77777777" w:rsidTr="00B05BE6">
        <w:trPr>
          <w:trHeight w:val="361"/>
        </w:trPr>
        <w:tc>
          <w:tcPr>
            <w:cnfStyle w:val="001000000000" w:firstRow="0" w:lastRow="0" w:firstColumn="1" w:lastColumn="0" w:oddVBand="0" w:evenVBand="0" w:oddHBand="0" w:evenHBand="0" w:firstRowFirstColumn="0" w:firstRowLastColumn="0" w:lastRowFirstColumn="0" w:lastRowLastColumn="0"/>
            <w:tcW w:w="1500" w:type="dxa"/>
            <w:hideMark/>
          </w:tcPr>
          <w:p w14:paraId="167F49D6"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 xml:space="preserve">Staff work-desk, storage, </w:t>
            </w:r>
            <w:r w:rsidRPr="00B05BE6">
              <w:rPr>
                <w:rFonts w:ascii="Arial" w:eastAsia="Times New Roman" w:hAnsi="Arial" w:cs="Arial"/>
                <w:kern w:val="0"/>
                <w:lang w:eastAsia="en-IN"/>
                <w14:ligatures w14:val="none"/>
              </w:rPr>
              <w:lastRenderedPageBreak/>
              <w:t>and printer connection</w:t>
            </w:r>
          </w:p>
        </w:tc>
        <w:tc>
          <w:tcPr>
            <w:tcW w:w="857" w:type="dxa"/>
            <w:hideMark/>
          </w:tcPr>
          <w:p w14:paraId="2C404BA5"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lastRenderedPageBreak/>
              <w:t>1</w:t>
            </w:r>
          </w:p>
        </w:tc>
        <w:tc>
          <w:tcPr>
            <w:tcW w:w="1612" w:type="dxa"/>
            <w:hideMark/>
          </w:tcPr>
          <w:p w14:paraId="39A2B58F"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w:t>
            </w:r>
          </w:p>
        </w:tc>
        <w:tc>
          <w:tcPr>
            <w:tcW w:w="2835" w:type="dxa"/>
            <w:hideMark/>
          </w:tcPr>
          <w:p w14:paraId="321C06C4"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willing to provide</w:t>
            </w:r>
          </w:p>
        </w:tc>
        <w:tc>
          <w:tcPr>
            <w:tcW w:w="2835" w:type="dxa"/>
            <w:hideMark/>
          </w:tcPr>
          <w:p w14:paraId="783C628B"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xml:space="preserve">Willing to provide </w:t>
            </w:r>
          </w:p>
        </w:tc>
        <w:tc>
          <w:tcPr>
            <w:tcW w:w="851" w:type="dxa"/>
            <w:noWrap/>
            <w:hideMark/>
          </w:tcPr>
          <w:p w14:paraId="3F9D6A6E"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1508C239"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20A33136" w14:textId="77777777" w:rsidTr="00B05BE6">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500" w:type="dxa"/>
            <w:hideMark/>
          </w:tcPr>
          <w:p w14:paraId="54D43552"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Communication</w:t>
            </w:r>
          </w:p>
          <w:p w14:paraId="6C0E6034"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(internet, intercom, etc.)</w:t>
            </w:r>
          </w:p>
        </w:tc>
        <w:tc>
          <w:tcPr>
            <w:tcW w:w="857" w:type="dxa"/>
            <w:hideMark/>
          </w:tcPr>
          <w:p w14:paraId="7E8DADC9"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1</w:t>
            </w:r>
          </w:p>
        </w:tc>
        <w:tc>
          <w:tcPr>
            <w:tcW w:w="1612" w:type="dxa"/>
            <w:hideMark/>
          </w:tcPr>
          <w:p w14:paraId="1C5104D0"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w:t>
            </w:r>
          </w:p>
        </w:tc>
        <w:tc>
          <w:tcPr>
            <w:tcW w:w="2835" w:type="dxa"/>
            <w:hideMark/>
          </w:tcPr>
          <w:p w14:paraId="6B325EBA"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willing to provide</w:t>
            </w:r>
          </w:p>
        </w:tc>
        <w:tc>
          <w:tcPr>
            <w:tcW w:w="2835" w:type="dxa"/>
            <w:hideMark/>
          </w:tcPr>
          <w:p w14:paraId="0668E422"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xml:space="preserve">Willing to provide </w:t>
            </w:r>
          </w:p>
        </w:tc>
        <w:tc>
          <w:tcPr>
            <w:tcW w:w="851" w:type="dxa"/>
            <w:noWrap/>
            <w:hideMark/>
          </w:tcPr>
          <w:p w14:paraId="0104A8D3"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2ACD4A2C"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5D49F91B" w14:textId="77777777" w:rsidTr="00B05BE6">
        <w:trPr>
          <w:trHeight w:val="645"/>
        </w:trPr>
        <w:tc>
          <w:tcPr>
            <w:cnfStyle w:val="001000000000" w:firstRow="0" w:lastRow="0" w:firstColumn="1" w:lastColumn="0" w:oddVBand="0" w:evenVBand="0" w:oddHBand="0" w:evenHBand="0" w:firstRowFirstColumn="0" w:firstRowLastColumn="0" w:lastRowFirstColumn="0" w:lastRowLastColumn="0"/>
            <w:tcW w:w="1500" w:type="dxa"/>
            <w:hideMark/>
          </w:tcPr>
          <w:p w14:paraId="2FA39E93"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IPC software or LIS/HIS</w:t>
            </w:r>
          </w:p>
        </w:tc>
        <w:tc>
          <w:tcPr>
            <w:tcW w:w="857" w:type="dxa"/>
            <w:hideMark/>
          </w:tcPr>
          <w:p w14:paraId="33074734"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2</w:t>
            </w:r>
          </w:p>
        </w:tc>
        <w:tc>
          <w:tcPr>
            <w:tcW w:w="1612" w:type="dxa"/>
            <w:hideMark/>
          </w:tcPr>
          <w:p w14:paraId="39437743"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Nil</w:t>
            </w:r>
          </w:p>
        </w:tc>
        <w:tc>
          <w:tcPr>
            <w:tcW w:w="2835" w:type="dxa"/>
            <w:hideMark/>
          </w:tcPr>
          <w:p w14:paraId="6C430D9B"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Only HIS/LIS</w:t>
            </w:r>
          </w:p>
        </w:tc>
        <w:tc>
          <w:tcPr>
            <w:tcW w:w="2835" w:type="dxa"/>
            <w:hideMark/>
          </w:tcPr>
          <w:p w14:paraId="636DE7BF"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IPC software available</w:t>
            </w:r>
          </w:p>
        </w:tc>
        <w:tc>
          <w:tcPr>
            <w:tcW w:w="851" w:type="dxa"/>
            <w:noWrap/>
            <w:hideMark/>
          </w:tcPr>
          <w:p w14:paraId="0A606EB8"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308444A3"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4E3A6477" w14:textId="77777777" w:rsidTr="00B05BE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0" w:type="dxa"/>
            <w:hideMark/>
          </w:tcPr>
          <w:p w14:paraId="79E65D1E"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 xml:space="preserve">Antibiotic usage </w:t>
            </w:r>
            <w:r w:rsidRPr="00B05BE6">
              <w:rPr>
                <w:rFonts w:ascii="Arial" w:eastAsia="Times New Roman" w:hAnsi="Arial" w:cs="Arial"/>
                <w:kern w:val="0"/>
                <w:lang w:eastAsia="en-IN"/>
                <w14:ligatures w14:val="none"/>
              </w:rPr>
              <w:lastRenderedPageBreak/>
              <w:t>monitoring tool/software</w:t>
            </w:r>
          </w:p>
        </w:tc>
        <w:tc>
          <w:tcPr>
            <w:tcW w:w="857" w:type="dxa"/>
            <w:hideMark/>
          </w:tcPr>
          <w:p w14:paraId="158F3FB6"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lastRenderedPageBreak/>
              <w:t>2</w:t>
            </w:r>
          </w:p>
        </w:tc>
        <w:tc>
          <w:tcPr>
            <w:tcW w:w="1612" w:type="dxa"/>
            <w:hideMark/>
          </w:tcPr>
          <w:p w14:paraId="338BEDAD"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Nil</w:t>
            </w:r>
          </w:p>
        </w:tc>
        <w:tc>
          <w:tcPr>
            <w:tcW w:w="2835" w:type="dxa"/>
            <w:hideMark/>
          </w:tcPr>
          <w:p w14:paraId="1A29E768"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Only HIS/LIS</w:t>
            </w:r>
          </w:p>
        </w:tc>
        <w:tc>
          <w:tcPr>
            <w:tcW w:w="2835" w:type="dxa"/>
            <w:hideMark/>
          </w:tcPr>
          <w:p w14:paraId="549F474A"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AS software available</w:t>
            </w:r>
          </w:p>
        </w:tc>
        <w:tc>
          <w:tcPr>
            <w:tcW w:w="851" w:type="dxa"/>
            <w:noWrap/>
            <w:hideMark/>
          </w:tcPr>
          <w:p w14:paraId="7D7EB8CC"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01845EED"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059812E9" w14:textId="77777777" w:rsidTr="00B05BE6">
        <w:trPr>
          <w:trHeight w:val="699"/>
        </w:trPr>
        <w:tc>
          <w:tcPr>
            <w:cnfStyle w:val="001000000000" w:firstRow="0" w:lastRow="0" w:firstColumn="1" w:lastColumn="0" w:oddVBand="0" w:evenVBand="0" w:oddHBand="0" w:evenHBand="0" w:firstRowFirstColumn="0" w:firstRowLastColumn="0" w:lastRowFirstColumn="0" w:lastRowLastColumn="0"/>
            <w:tcW w:w="1500" w:type="dxa"/>
            <w:hideMark/>
          </w:tcPr>
          <w:p w14:paraId="312D162E" w14:textId="77777777" w:rsidR="000322EF" w:rsidRPr="00B05BE6" w:rsidRDefault="000322EF" w:rsidP="00B05BE6">
            <w:pPr>
              <w:spacing w:line="480" w:lineRule="auto"/>
              <w:jc w:val="both"/>
              <w:rPr>
                <w:rFonts w:ascii="Arial" w:eastAsia="Times New Roman" w:hAnsi="Arial" w:cs="Arial"/>
                <w:b w:val="0"/>
                <w:bCs w:val="0"/>
                <w:kern w:val="0"/>
                <w:lang w:eastAsia="en-IN"/>
                <w14:ligatures w14:val="none"/>
              </w:rPr>
            </w:pPr>
            <w:r w:rsidRPr="00B05BE6">
              <w:rPr>
                <w:rFonts w:ascii="Arial" w:eastAsia="Times New Roman" w:hAnsi="Arial" w:cs="Arial"/>
                <w:kern w:val="0"/>
                <w:lang w:eastAsia="en-IN"/>
                <w14:ligatures w14:val="none"/>
              </w:rPr>
              <w:t>HIS data sharing</w:t>
            </w:r>
          </w:p>
        </w:tc>
        <w:tc>
          <w:tcPr>
            <w:tcW w:w="857" w:type="dxa"/>
            <w:hideMark/>
          </w:tcPr>
          <w:p w14:paraId="29B8A5B3"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3</w:t>
            </w:r>
          </w:p>
        </w:tc>
        <w:tc>
          <w:tcPr>
            <w:tcW w:w="1612" w:type="dxa"/>
            <w:hideMark/>
          </w:tcPr>
          <w:p w14:paraId="2BB98657"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Not willing to share</w:t>
            </w:r>
          </w:p>
        </w:tc>
        <w:tc>
          <w:tcPr>
            <w:tcW w:w="2835" w:type="dxa"/>
            <w:hideMark/>
          </w:tcPr>
          <w:p w14:paraId="076387EF"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Limited data sharing</w:t>
            </w:r>
          </w:p>
        </w:tc>
        <w:tc>
          <w:tcPr>
            <w:tcW w:w="2835" w:type="dxa"/>
            <w:hideMark/>
          </w:tcPr>
          <w:p w14:paraId="10628483"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Willing to share desired data</w:t>
            </w:r>
          </w:p>
        </w:tc>
        <w:tc>
          <w:tcPr>
            <w:tcW w:w="851" w:type="dxa"/>
            <w:noWrap/>
            <w:hideMark/>
          </w:tcPr>
          <w:p w14:paraId="2E826145"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c>
          <w:tcPr>
            <w:tcW w:w="3969" w:type="dxa"/>
            <w:noWrap/>
            <w:hideMark/>
          </w:tcPr>
          <w:p w14:paraId="5ADA5913"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r w:rsidRPr="00B05BE6">
              <w:rPr>
                <w:rFonts w:ascii="Arial" w:eastAsia="Times New Roman" w:hAnsi="Arial" w:cs="Arial"/>
                <w:kern w:val="0"/>
                <w:lang w:eastAsia="en-IN"/>
                <w14:ligatures w14:val="none"/>
              </w:rPr>
              <w:t> </w:t>
            </w:r>
          </w:p>
        </w:tc>
      </w:tr>
      <w:tr w:rsidR="000322EF" w:rsidRPr="00FE38FD" w14:paraId="36EC1789" w14:textId="77777777" w:rsidTr="00B05BE6">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500" w:type="dxa"/>
            <w:vMerge w:val="restart"/>
            <w:noWrap/>
            <w:hideMark/>
          </w:tcPr>
          <w:p w14:paraId="361A226D" w14:textId="77777777" w:rsidR="000322EF" w:rsidRPr="00B05BE6" w:rsidRDefault="000322EF" w:rsidP="00B05BE6">
            <w:pPr>
              <w:spacing w:line="480" w:lineRule="auto"/>
              <w:jc w:val="both"/>
              <w:rPr>
                <w:rFonts w:ascii="Arial" w:eastAsia="Times New Roman" w:hAnsi="Arial" w:cs="Arial"/>
                <w:b w:val="0"/>
                <w:bCs w:val="0"/>
                <w:color w:val="000000"/>
                <w:kern w:val="0"/>
                <w:lang w:eastAsia="en-IN"/>
                <w14:ligatures w14:val="none"/>
              </w:rPr>
            </w:pPr>
          </w:p>
          <w:p w14:paraId="23A788C4" w14:textId="77777777" w:rsidR="000322EF" w:rsidRPr="00B05BE6" w:rsidRDefault="000322EF" w:rsidP="00B05BE6">
            <w:pPr>
              <w:spacing w:line="480" w:lineRule="auto"/>
              <w:jc w:val="both"/>
              <w:rPr>
                <w:rFonts w:ascii="Arial" w:eastAsia="Times New Roman" w:hAnsi="Arial" w:cs="Arial"/>
                <w:color w:val="000000"/>
                <w:kern w:val="0"/>
                <w:lang w:eastAsia="en-IN"/>
                <w14:ligatures w14:val="none"/>
              </w:rPr>
            </w:pPr>
            <w:r w:rsidRPr="00B05BE6">
              <w:rPr>
                <w:rFonts w:ascii="Arial" w:eastAsia="Times New Roman" w:hAnsi="Arial" w:cs="Arial"/>
                <w:color w:val="000000"/>
                <w:kern w:val="0"/>
                <w:lang w:eastAsia="en-IN"/>
                <w14:ligatures w14:val="none"/>
              </w:rPr>
              <w:t>Score</w:t>
            </w:r>
          </w:p>
        </w:tc>
        <w:tc>
          <w:tcPr>
            <w:tcW w:w="2469" w:type="dxa"/>
            <w:gridSpan w:val="2"/>
            <w:hideMark/>
          </w:tcPr>
          <w:p w14:paraId="6D368085"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0"/>
                <w:lang w:eastAsia="en-IN"/>
                <w14:ligatures w14:val="none"/>
              </w:rPr>
            </w:pPr>
            <w:r w:rsidRPr="00B05BE6">
              <w:rPr>
                <w:rFonts w:ascii="Arial" w:eastAsia="Times New Roman" w:hAnsi="Arial" w:cs="Arial"/>
                <w:b/>
                <w:bCs/>
                <w:color w:val="000000"/>
                <w:kern w:val="0"/>
                <w:lang w:eastAsia="en-IN"/>
                <w14:ligatures w14:val="none"/>
              </w:rPr>
              <w:t xml:space="preserve">&lt;75 </w:t>
            </w:r>
          </w:p>
        </w:tc>
        <w:tc>
          <w:tcPr>
            <w:tcW w:w="5670" w:type="dxa"/>
            <w:gridSpan w:val="2"/>
            <w:hideMark/>
          </w:tcPr>
          <w:p w14:paraId="5EED6CCB"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0"/>
                <w:lang w:eastAsia="en-IN"/>
                <w14:ligatures w14:val="none"/>
              </w:rPr>
            </w:pPr>
            <w:r w:rsidRPr="00B05BE6">
              <w:rPr>
                <w:rFonts w:ascii="Arial" w:eastAsia="Times New Roman" w:hAnsi="Arial" w:cs="Arial"/>
                <w:b/>
                <w:bCs/>
                <w:color w:val="000000"/>
                <w:kern w:val="0"/>
                <w:lang w:eastAsia="en-IN"/>
                <w14:ligatures w14:val="none"/>
              </w:rPr>
              <w:t>Disqualify</w:t>
            </w:r>
          </w:p>
        </w:tc>
        <w:tc>
          <w:tcPr>
            <w:tcW w:w="851" w:type="dxa"/>
            <w:noWrap/>
            <w:hideMark/>
          </w:tcPr>
          <w:p w14:paraId="557398F6"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n-IN"/>
                <w14:ligatures w14:val="none"/>
              </w:rPr>
            </w:pPr>
          </w:p>
        </w:tc>
        <w:tc>
          <w:tcPr>
            <w:tcW w:w="3969" w:type="dxa"/>
            <w:noWrap/>
            <w:hideMark/>
          </w:tcPr>
          <w:p w14:paraId="4EC000D0"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p>
        </w:tc>
      </w:tr>
      <w:tr w:rsidR="000322EF" w:rsidRPr="00FE38FD" w14:paraId="65F0B876" w14:textId="77777777" w:rsidTr="00B05BE6">
        <w:trPr>
          <w:trHeight w:val="133"/>
        </w:trPr>
        <w:tc>
          <w:tcPr>
            <w:cnfStyle w:val="001000000000" w:firstRow="0" w:lastRow="0" w:firstColumn="1" w:lastColumn="0" w:oddVBand="0" w:evenVBand="0" w:oddHBand="0" w:evenHBand="0" w:firstRowFirstColumn="0" w:firstRowLastColumn="0" w:lastRowFirstColumn="0" w:lastRowLastColumn="0"/>
            <w:tcW w:w="1500" w:type="dxa"/>
            <w:vMerge/>
            <w:hideMark/>
          </w:tcPr>
          <w:p w14:paraId="1A4FB2CC" w14:textId="77777777" w:rsidR="000322EF" w:rsidRPr="00B05BE6" w:rsidRDefault="000322EF" w:rsidP="00B05BE6">
            <w:pPr>
              <w:spacing w:line="480" w:lineRule="auto"/>
              <w:jc w:val="both"/>
              <w:rPr>
                <w:rFonts w:ascii="Arial" w:eastAsia="Times New Roman" w:hAnsi="Arial" w:cs="Arial"/>
                <w:color w:val="000000"/>
                <w:kern w:val="0"/>
                <w:lang w:eastAsia="en-IN"/>
                <w14:ligatures w14:val="none"/>
              </w:rPr>
            </w:pPr>
          </w:p>
        </w:tc>
        <w:tc>
          <w:tcPr>
            <w:tcW w:w="2469" w:type="dxa"/>
            <w:gridSpan w:val="2"/>
            <w:hideMark/>
          </w:tcPr>
          <w:p w14:paraId="7E8AEF48"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0"/>
                <w:lang w:eastAsia="en-IN"/>
                <w14:ligatures w14:val="none"/>
              </w:rPr>
            </w:pPr>
            <w:r w:rsidRPr="00B05BE6">
              <w:rPr>
                <w:rFonts w:ascii="Arial" w:eastAsia="Times New Roman" w:hAnsi="Arial" w:cs="Arial"/>
                <w:b/>
                <w:bCs/>
                <w:color w:val="000000"/>
                <w:kern w:val="0"/>
                <w:lang w:eastAsia="en-IN"/>
                <w14:ligatures w14:val="none"/>
              </w:rPr>
              <w:t xml:space="preserve">75–115 </w:t>
            </w:r>
          </w:p>
        </w:tc>
        <w:tc>
          <w:tcPr>
            <w:tcW w:w="5670" w:type="dxa"/>
            <w:gridSpan w:val="2"/>
            <w:hideMark/>
          </w:tcPr>
          <w:p w14:paraId="330A9FAF"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0"/>
                <w:lang w:eastAsia="en-IN"/>
                <w14:ligatures w14:val="none"/>
              </w:rPr>
            </w:pPr>
            <w:r w:rsidRPr="00B05BE6">
              <w:rPr>
                <w:rFonts w:ascii="Arial" w:eastAsia="Times New Roman" w:hAnsi="Arial" w:cs="Arial"/>
                <w:b/>
                <w:bCs/>
                <w:color w:val="000000"/>
                <w:kern w:val="0"/>
                <w:lang w:eastAsia="en-IN"/>
                <w14:ligatures w14:val="none"/>
              </w:rPr>
              <w:t>Shortlisted</w:t>
            </w:r>
          </w:p>
        </w:tc>
        <w:tc>
          <w:tcPr>
            <w:tcW w:w="851" w:type="dxa"/>
            <w:noWrap/>
            <w:hideMark/>
          </w:tcPr>
          <w:p w14:paraId="399CC03C"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n-IN"/>
                <w14:ligatures w14:val="none"/>
              </w:rPr>
            </w:pPr>
          </w:p>
        </w:tc>
        <w:tc>
          <w:tcPr>
            <w:tcW w:w="3969" w:type="dxa"/>
            <w:noWrap/>
            <w:hideMark/>
          </w:tcPr>
          <w:p w14:paraId="4D879876" w14:textId="77777777" w:rsidR="000322EF" w:rsidRPr="00B05BE6" w:rsidRDefault="000322EF" w:rsidP="00B05BE6">
            <w:pPr>
              <w:spacing w:line="480" w:lineRule="aut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IN"/>
                <w14:ligatures w14:val="none"/>
              </w:rPr>
            </w:pPr>
          </w:p>
        </w:tc>
      </w:tr>
      <w:tr w:rsidR="000322EF" w:rsidRPr="00FE38FD" w14:paraId="340758EF" w14:textId="77777777" w:rsidTr="00B05BE6">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1500" w:type="dxa"/>
            <w:vMerge/>
            <w:hideMark/>
          </w:tcPr>
          <w:p w14:paraId="5EE17FA6" w14:textId="77777777" w:rsidR="000322EF" w:rsidRPr="00B05BE6" w:rsidRDefault="000322EF" w:rsidP="00B05BE6">
            <w:pPr>
              <w:spacing w:line="480" w:lineRule="auto"/>
              <w:jc w:val="both"/>
              <w:rPr>
                <w:rFonts w:ascii="Arial" w:eastAsia="Times New Roman" w:hAnsi="Arial" w:cs="Arial"/>
                <w:color w:val="000000"/>
                <w:kern w:val="0"/>
                <w:lang w:eastAsia="en-IN"/>
                <w14:ligatures w14:val="none"/>
              </w:rPr>
            </w:pPr>
          </w:p>
        </w:tc>
        <w:tc>
          <w:tcPr>
            <w:tcW w:w="2469" w:type="dxa"/>
            <w:gridSpan w:val="2"/>
            <w:hideMark/>
          </w:tcPr>
          <w:p w14:paraId="0BEAFC05"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0"/>
                <w:lang w:eastAsia="en-IN"/>
                <w14:ligatures w14:val="none"/>
              </w:rPr>
            </w:pPr>
            <w:r w:rsidRPr="00B05BE6">
              <w:rPr>
                <w:rFonts w:ascii="Arial" w:eastAsia="Times New Roman" w:hAnsi="Arial" w:cs="Arial"/>
                <w:b/>
                <w:bCs/>
                <w:color w:val="000000"/>
                <w:kern w:val="0"/>
                <w:lang w:eastAsia="en-IN"/>
                <w14:ligatures w14:val="none"/>
              </w:rPr>
              <w:t xml:space="preserve">&gt;115 </w:t>
            </w:r>
          </w:p>
        </w:tc>
        <w:tc>
          <w:tcPr>
            <w:tcW w:w="5670" w:type="dxa"/>
            <w:gridSpan w:val="2"/>
            <w:hideMark/>
          </w:tcPr>
          <w:p w14:paraId="50D2F0D5"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0"/>
                <w:lang w:eastAsia="en-IN"/>
                <w14:ligatures w14:val="none"/>
              </w:rPr>
            </w:pPr>
            <w:r w:rsidRPr="00B05BE6">
              <w:rPr>
                <w:rFonts w:ascii="Arial" w:eastAsia="Times New Roman" w:hAnsi="Arial" w:cs="Arial"/>
                <w:b/>
                <w:bCs/>
                <w:color w:val="000000"/>
                <w:kern w:val="0"/>
                <w:lang w:eastAsia="en-IN"/>
                <w14:ligatures w14:val="none"/>
              </w:rPr>
              <w:t>Qualify for final evaluation</w:t>
            </w:r>
          </w:p>
        </w:tc>
        <w:tc>
          <w:tcPr>
            <w:tcW w:w="851" w:type="dxa"/>
            <w:noWrap/>
            <w:hideMark/>
          </w:tcPr>
          <w:p w14:paraId="476DEAE1"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n-IN"/>
                <w14:ligatures w14:val="none"/>
              </w:rPr>
            </w:pPr>
          </w:p>
        </w:tc>
        <w:tc>
          <w:tcPr>
            <w:tcW w:w="3969" w:type="dxa"/>
            <w:noWrap/>
            <w:hideMark/>
          </w:tcPr>
          <w:p w14:paraId="5ED888DC" w14:textId="77777777" w:rsidR="000322EF" w:rsidRPr="00B05BE6" w:rsidRDefault="000322EF" w:rsidP="00B05BE6">
            <w:p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IN"/>
                <w14:ligatures w14:val="none"/>
              </w:rPr>
            </w:pPr>
          </w:p>
        </w:tc>
      </w:tr>
    </w:tbl>
    <w:p w14:paraId="18EB89B7" w14:textId="77777777" w:rsidR="000322EF" w:rsidRPr="00B05BE6" w:rsidRDefault="000322EF" w:rsidP="00B05BE6">
      <w:pPr>
        <w:spacing w:line="480" w:lineRule="auto"/>
        <w:jc w:val="both"/>
        <w:rPr>
          <w:rFonts w:ascii="Arial" w:hAnsi="Arial" w:cs="Arial"/>
          <w:i/>
          <w:iCs/>
        </w:rPr>
      </w:pPr>
      <w:r w:rsidRPr="00B05BE6">
        <w:rPr>
          <w:rFonts w:ascii="Arial" w:hAnsi="Arial" w:cs="Arial"/>
          <w:i/>
          <w:iCs/>
        </w:rPr>
        <w:t xml:space="preserve">HIC: Hospital infection control; HIS: Hospital information system; ICN: Infection control nurse; ICO: Information commissioner officer; ICU: Intensive control unit; IPC: Infection prevention and control; LIS: Laboratory information system: MD: Doctor of Medicine; MO: Medical officer; NABH: National Accreditation Board for Hospitals &amp; Healthcare Providers; QI: Quality improvement. </w:t>
      </w:r>
    </w:p>
    <w:p w14:paraId="1F0EF07F" w14:textId="77777777" w:rsidR="000322EF" w:rsidRPr="00B05BE6" w:rsidRDefault="000322EF" w:rsidP="00B05BE6">
      <w:pPr>
        <w:spacing w:line="480" w:lineRule="auto"/>
        <w:jc w:val="both"/>
        <w:rPr>
          <w:rFonts w:ascii="Arial" w:hAnsi="Arial" w:cs="Arial"/>
          <w:b/>
          <w:bCs/>
        </w:rPr>
      </w:pPr>
    </w:p>
    <w:p w14:paraId="1B2D08C3" w14:textId="77777777" w:rsidR="000322EF" w:rsidRPr="00B05BE6" w:rsidRDefault="000322EF" w:rsidP="00B05BE6">
      <w:pPr>
        <w:spacing w:line="480" w:lineRule="auto"/>
        <w:jc w:val="both"/>
        <w:rPr>
          <w:rFonts w:ascii="Arial" w:hAnsi="Arial" w:cs="Arial"/>
          <w:b/>
          <w:bCs/>
        </w:rPr>
      </w:pPr>
    </w:p>
    <w:p w14:paraId="5DBE96BC" w14:textId="77777777" w:rsidR="00B05BE6" w:rsidRPr="00B05BE6" w:rsidRDefault="00B05BE6" w:rsidP="00B05BE6">
      <w:pPr>
        <w:spacing w:line="480" w:lineRule="auto"/>
        <w:jc w:val="both"/>
        <w:rPr>
          <w:rFonts w:ascii="Arial" w:hAnsi="Arial" w:cs="Arial"/>
          <w:b/>
          <w:bCs/>
        </w:rPr>
        <w:sectPr w:rsidR="00000000" w:rsidRPr="00B05BE6" w:rsidSect="00B05BE6">
          <w:pgSz w:w="16838" w:h="11906" w:orient="landscape"/>
          <w:pgMar w:top="1440" w:right="1440" w:bottom="1440" w:left="1440" w:header="708" w:footer="708" w:gutter="0"/>
          <w:cols w:space="708"/>
          <w:docGrid w:linePitch="360"/>
        </w:sectPr>
      </w:pPr>
    </w:p>
    <w:p w14:paraId="73A9973D" w14:textId="77777777" w:rsidR="000322EF" w:rsidRPr="00FE38FD" w:rsidRDefault="000322EF" w:rsidP="00FE38FD">
      <w:pPr>
        <w:spacing w:line="480" w:lineRule="auto"/>
        <w:jc w:val="both"/>
        <w:rPr>
          <w:rFonts w:ascii="Arial" w:hAnsi="Arial" w:cs="Arial"/>
        </w:rPr>
      </w:pPr>
      <w:r w:rsidRPr="00B05BE6">
        <w:rPr>
          <w:rFonts w:ascii="Arial" w:hAnsi="Arial" w:cs="Arial"/>
          <w:b/>
          <w:bCs/>
        </w:rPr>
        <w:lastRenderedPageBreak/>
        <w:t>Supplementary Table 2:</w:t>
      </w:r>
      <w:r w:rsidRPr="00FE38FD">
        <w:rPr>
          <w:rFonts w:ascii="Arial" w:hAnsi="Arial" w:cs="Arial"/>
        </w:rPr>
        <w:t xml:space="preserve"> Details of the training modules</w:t>
      </w:r>
    </w:p>
    <w:tbl>
      <w:tblPr>
        <w:tblStyle w:val="TableGrid"/>
        <w:tblW w:w="14170" w:type="dxa"/>
        <w:tblBorders>
          <w:left w:val="none" w:sz="0" w:space="0" w:color="auto"/>
          <w:right w:val="none" w:sz="0" w:space="0" w:color="auto"/>
          <w:insideV w:val="none" w:sz="0" w:space="0" w:color="auto"/>
        </w:tblBorders>
        <w:tblLook w:val="04A0" w:firstRow="1" w:lastRow="0" w:firstColumn="1" w:lastColumn="0" w:noHBand="0" w:noVBand="1"/>
      </w:tblPr>
      <w:tblGrid>
        <w:gridCol w:w="3823"/>
        <w:gridCol w:w="10347"/>
      </w:tblGrid>
      <w:tr w:rsidR="000322EF" w:rsidRPr="00FE38FD" w14:paraId="5D97EBDC" w14:textId="77777777" w:rsidTr="00B05BE6">
        <w:tc>
          <w:tcPr>
            <w:tcW w:w="3823" w:type="dxa"/>
            <w:shd w:val="clear" w:color="auto" w:fill="D9D9D9" w:themeFill="background1" w:themeFillShade="D9"/>
          </w:tcPr>
          <w:p w14:paraId="4C1C0368" w14:textId="77777777" w:rsidR="000322EF" w:rsidRPr="00B05BE6" w:rsidRDefault="000322EF" w:rsidP="00FE38FD">
            <w:pPr>
              <w:spacing w:line="480" w:lineRule="auto"/>
              <w:jc w:val="both"/>
              <w:rPr>
                <w:rFonts w:ascii="Arial" w:hAnsi="Arial" w:cs="Arial"/>
                <w:b/>
                <w:bCs/>
              </w:rPr>
            </w:pPr>
            <w:r w:rsidRPr="00B05BE6">
              <w:rPr>
                <w:rFonts w:ascii="Arial" w:hAnsi="Arial" w:cs="Arial"/>
                <w:b/>
                <w:bCs/>
              </w:rPr>
              <w:t>Training modules</w:t>
            </w:r>
          </w:p>
        </w:tc>
        <w:tc>
          <w:tcPr>
            <w:tcW w:w="10347" w:type="dxa"/>
            <w:shd w:val="clear" w:color="auto" w:fill="D9D9D9" w:themeFill="background1" w:themeFillShade="D9"/>
          </w:tcPr>
          <w:p w14:paraId="69BB9D8C" w14:textId="77777777" w:rsidR="000322EF" w:rsidRPr="00B05BE6" w:rsidRDefault="000322EF" w:rsidP="00FE38FD">
            <w:pPr>
              <w:spacing w:line="480" w:lineRule="auto"/>
              <w:jc w:val="both"/>
              <w:rPr>
                <w:rFonts w:ascii="Arial" w:hAnsi="Arial" w:cs="Arial"/>
                <w:b/>
                <w:bCs/>
              </w:rPr>
            </w:pPr>
            <w:r w:rsidRPr="00B05BE6">
              <w:rPr>
                <w:rFonts w:ascii="Arial" w:hAnsi="Arial" w:cs="Arial"/>
                <w:b/>
                <w:bCs/>
              </w:rPr>
              <w:t>Details</w:t>
            </w:r>
          </w:p>
        </w:tc>
      </w:tr>
      <w:tr w:rsidR="000322EF" w:rsidRPr="00FE38FD" w14:paraId="5D389E6B" w14:textId="77777777" w:rsidTr="00B05BE6">
        <w:tc>
          <w:tcPr>
            <w:tcW w:w="3823" w:type="dxa"/>
          </w:tcPr>
          <w:p w14:paraId="28403542" w14:textId="77777777" w:rsidR="000322EF" w:rsidRPr="00FE38FD" w:rsidRDefault="000322EF" w:rsidP="00FE38FD">
            <w:pPr>
              <w:spacing w:line="480" w:lineRule="auto"/>
              <w:jc w:val="both"/>
              <w:rPr>
                <w:rFonts w:ascii="Arial" w:hAnsi="Arial" w:cs="Arial"/>
              </w:rPr>
            </w:pPr>
            <w:r w:rsidRPr="00FE38FD">
              <w:rPr>
                <w:rFonts w:ascii="Arial" w:hAnsi="Arial" w:cs="Arial"/>
              </w:rPr>
              <w:t>Standard precautions and transmission-based precautions</w:t>
            </w:r>
          </w:p>
        </w:tc>
        <w:tc>
          <w:tcPr>
            <w:tcW w:w="10347" w:type="dxa"/>
          </w:tcPr>
          <w:p w14:paraId="4247F2C1" w14:textId="77777777" w:rsidR="000322EF" w:rsidRPr="00FE38FD" w:rsidRDefault="000322EF" w:rsidP="00FE38FD">
            <w:pPr>
              <w:spacing w:line="480" w:lineRule="auto"/>
              <w:jc w:val="both"/>
              <w:rPr>
                <w:rFonts w:ascii="Arial" w:hAnsi="Arial" w:cs="Arial"/>
              </w:rPr>
            </w:pPr>
            <w:r w:rsidRPr="00FE38FD">
              <w:rPr>
                <w:rFonts w:ascii="Arial" w:hAnsi="Arial" w:cs="Arial"/>
              </w:rPr>
              <w:t>The standard precautions involved hand hygiene, respiratory hygiene, environmental hygiene, proper use of PPE, safe injection practices, cleaning of the environment and patient equipment, safe handling of linens, waste management, and waste management training. Additionally, transmission-based precautions addressed contact, droplet, and airborne transmission</w:t>
            </w:r>
          </w:p>
        </w:tc>
      </w:tr>
      <w:tr w:rsidR="000322EF" w:rsidRPr="00FE38FD" w14:paraId="6419FBEB" w14:textId="77777777" w:rsidTr="00B05BE6">
        <w:tc>
          <w:tcPr>
            <w:tcW w:w="3823" w:type="dxa"/>
          </w:tcPr>
          <w:p w14:paraId="60225393" w14:textId="77777777" w:rsidR="000322EF" w:rsidRPr="00FE38FD" w:rsidRDefault="000322EF" w:rsidP="00FE38FD">
            <w:pPr>
              <w:spacing w:line="480" w:lineRule="auto"/>
              <w:jc w:val="both"/>
              <w:rPr>
                <w:rFonts w:ascii="Arial" w:hAnsi="Arial" w:cs="Arial"/>
              </w:rPr>
            </w:pPr>
            <w:r w:rsidRPr="00FE38FD">
              <w:rPr>
                <w:rFonts w:ascii="Arial" w:hAnsi="Arial" w:cs="Arial"/>
              </w:rPr>
              <w:t>Outbreak management:</w:t>
            </w:r>
          </w:p>
        </w:tc>
        <w:tc>
          <w:tcPr>
            <w:tcW w:w="10347" w:type="dxa"/>
          </w:tcPr>
          <w:p w14:paraId="1FED0D0A" w14:textId="77777777" w:rsidR="000322EF" w:rsidRPr="00FE38FD" w:rsidRDefault="000322EF" w:rsidP="00B05BE6">
            <w:pPr>
              <w:spacing w:line="480" w:lineRule="auto"/>
              <w:jc w:val="both"/>
              <w:rPr>
                <w:rFonts w:ascii="Arial" w:hAnsi="Arial" w:cs="Arial"/>
              </w:rPr>
            </w:pPr>
            <w:r w:rsidRPr="00FE38FD">
              <w:rPr>
                <w:rFonts w:ascii="Arial" w:hAnsi="Arial" w:cs="Arial"/>
              </w:rPr>
              <w:t xml:space="preserve">The session covered a thorough explanation of the steps for outbreak preparedness, including establishing and training a rapid response team, regularly reviewing data, updating the plan as needed, identifying outbreak seasons or regions, ensuring availability of necessary drugs and materials, enhancing diagnostics, and improving coordination with other healthcare systems and public health authorities. </w:t>
            </w:r>
          </w:p>
        </w:tc>
      </w:tr>
      <w:tr w:rsidR="000322EF" w:rsidRPr="00FE38FD" w14:paraId="6F8ED86A" w14:textId="77777777" w:rsidTr="00B05BE6">
        <w:tc>
          <w:tcPr>
            <w:tcW w:w="3823" w:type="dxa"/>
          </w:tcPr>
          <w:p w14:paraId="53E2448E" w14:textId="77777777" w:rsidR="000322EF" w:rsidRPr="00FE38FD" w:rsidRDefault="000322EF" w:rsidP="00FE38FD">
            <w:pPr>
              <w:spacing w:line="480" w:lineRule="auto"/>
              <w:jc w:val="both"/>
              <w:rPr>
                <w:rFonts w:ascii="Arial" w:hAnsi="Arial" w:cs="Arial"/>
              </w:rPr>
            </w:pPr>
            <w:r w:rsidRPr="00FE38FD">
              <w:rPr>
                <w:rFonts w:ascii="Arial" w:hAnsi="Arial" w:cs="Arial"/>
              </w:rPr>
              <w:t xml:space="preserve">WHO multimodal hand hygiene improvement strategy: </w:t>
            </w:r>
          </w:p>
          <w:p w14:paraId="2A6CE1CA" w14:textId="77777777" w:rsidR="000322EF" w:rsidRPr="00FE38FD" w:rsidRDefault="000322EF" w:rsidP="00FE38FD">
            <w:pPr>
              <w:spacing w:line="480" w:lineRule="auto"/>
              <w:jc w:val="both"/>
              <w:rPr>
                <w:rFonts w:ascii="Arial" w:hAnsi="Arial" w:cs="Arial"/>
              </w:rPr>
            </w:pPr>
          </w:p>
        </w:tc>
        <w:tc>
          <w:tcPr>
            <w:tcW w:w="10347" w:type="dxa"/>
          </w:tcPr>
          <w:p w14:paraId="2E1ED2EF" w14:textId="77777777" w:rsidR="000322EF" w:rsidRPr="00FE38FD" w:rsidRDefault="000322EF" w:rsidP="00FE38FD">
            <w:pPr>
              <w:spacing w:line="480" w:lineRule="auto"/>
              <w:jc w:val="both"/>
              <w:rPr>
                <w:rFonts w:ascii="Arial" w:hAnsi="Arial" w:cs="Arial"/>
              </w:rPr>
            </w:pPr>
            <w:r w:rsidRPr="00FE38FD">
              <w:rPr>
                <w:rFonts w:ascii="Arial" w:hAnsi="Arial" w:cs="Arial"/>
              </w:rPr>
              <w:t>The training was structured around five core components, which included system change (alcohol-based hand rub at point of care and access to safe, continuous water supply, soap, and towels), training and education, observation and feedback, reminders in the hospital, and hospital safety climate.</w:t>
            </w:r>
          </w:p>
        </w:tc>
      </w:tr>
      <w:tr w:rsidR="000322EF" w:rsidRPr="00FE38FD" w14:paraId="3E23B344" w14:textId="77777777" w:rsidTr="00B05BE6">
        <w:tc>
          <w:tcPr>
            <w:tcW w:w="3823" w:type="dxa"/>
          </w:tcPr>
          <w:p w14:paraId="5611402F" w14:textId="77777777" w:rsidR="000322EF" w:rsidRPr="00FE38FD" w:rsidRDefault="000322EF" w:rsidP="00FE38FD">
            <w:pPr>
              <w:spacing w:line="480" w:lineRule="auto"/>
              <w:jc w:val="both"/>
              <w:rPr>
                <w:rFonts w:ascii="Arial" w:hAnsi="Arial" w:cs="Arial"/>
              </w:rPr>
            </w:pPr>
            <w:r w:rsidRPr="00FE38FD">
              <w:rPr>
                <w:rFonts w:ascii="Arial" w:hAnsi="Arial" w:cs="Arial"/>
              </w:rPr>
              <w:t>Awareness of HAIs</w:t>
            </w:r>
          </w:p>
        </w:tc>
        <w:tc>
          <w:tcPr>
            <w:tcW w:w="10347" w:type="dxa"/>
          </w:tcPr>
          <w:p w14:paraId="6ED837A5" w14:textId="0D5255A8" w:rsidR="000322EF" w:rsidRPr="00FE38FD" w:rsidRDefault="000322EF" w:rsidP="00FE38FD">
            <w:pPr>
              <w:spacing w:line="480" w:lineRule="auto"/>
              <w:jc w:val="both"/>
              <w:rPr>
                <w:rFonts w:ascii="Arial" w:hAnsi="Arial" w:cs="Arial"/>
              </w:rPr>
            </w:pPr>
            <w:r w:rsidRPr="00FE38FD">
              <w:rPr>
                <w:rFonts w:ascii="Arial" w:hAnsi="Arial" w:cs="Arial"/>
              </w:rPr>
              <w:t xml:space="preserve">The module included discussions on the sources of infection, which can be either exogenous or endogenous. It also covered care bundles for the four major HAIs. A care bundle is a set of three to five evidence-based well-established practices that are structured into a protocol agreed upon by the entire </w:t>
            </w:r>
            <w:r w:rsidRPr="00FE38FD">
              <w:rPr>
                <w:rFonts w:ascii="Arial" w:hAnsi="Arial" w:cs="Arial"/>
              </w:rPr>
              <w:lastRenderedPageBreak/>
              <w:t xml:space="preserve">clinical team; when such practices are consistently performed, improvement in patient outcomes can be expected </w:t>
            </w:r>
            <w:r w:rsidRPr="00FE38FD">
              <w:rPr>
                <w:rFonts w:ascii="Arial" w:hAnsi="Arial" w:cs="Arial"/>
                <w:kern w:val="2"/>
                <w:lang w:val="en-IN"/>
                <w14:ligatures w14:val="standardContextual"/>
              </w:rPr>
              <w:fldChar w:fldCharType="begin"/>
            </w:r>
            <w:r w:rsidRPr="00B05BE6">
              <w:rPr>
                <w:rFonts w:ascii="Arial" w:hAnsi="Arial" w:cs="Arial"/>
              </w:rPr>
              <w:instrText xml:space="preserve"> ADDIN ZOTERO_ITEM CSL_CITATION {"citationID":"YG7YkK0q","properties":{"formattedCitation":"[46]","plainCitation":"[46]","noteIndex":0},"citationItems":[{"id":514,"uris":["http://zotero.org/users/local/7lPBLJiX/items/W2E8L87K"],"itemData":{"id":514,"type":"document","language":"en","note":"publisher-place: Cham","publisher":"Springer International Publishing","title":"Textbook of Patient Safety and Clinical Risk Management","URL":"https://link.springer.com/10.1007/978-3-030-59403-9.","author":[{"family":"Donaldson","given":"L."},{"family":"Ricciardi","given":"W."},{"family":"Sheridan","given":"S."}],"issued":{"date-parts":[["2021"]]}}}],"schema":"https://github.com/citation-style-language/schema/raw/master/csl-citation.json"} </w:instrText>
            </w:r>
            <w:r w:rsidRPr="00B05BE6">
              <w:rPr>
                <w:rFonts w:ascii="Arial" w:hAnsi="Arial" w:cs="Arial"/>
                <w:kern w:val="2"/>
                <w:lang w:val="en-IN"/>
                <w14:ligatures w14:val="standardContextual"/>
              </w:rPr>
              <w:fldChar w:fldCharType="separate"/>
            </w:r>
            <w:r w:rsidRPr="00B05BE6">
              <w:rPr>
                <w:rFonts w:ascii="Arial" w:hAnsi="Arial" w:cs="Arial"/>
              </w:rPr>
              <w:t>[46]</w:t>
            </w:r>
            <w:r w:rsidRPr="00B05BE6">
              <w:rPr>
                <w:rFonts w:ascii="Arial" w:hAnsi="Arial" w:cs="Arial"/>
                <w:kern w:val="2"/>
                <w:lang w:val="en-IN"/>
                <w14:ligatures w14:val="standardContextual"/>
              </w:rPr>
              <w:fldChar w:fldCharType="end"/>
            </w:r>
            <w:r w:rsidRPr="00FE38FD">
              <w:rPr>
                <w:rFonts w:ascii="Arial" w:hAnsi="Arial" w:cs="Arial"/>
              </w:rPr>
              <w:t>.</w:t>
            </w:r>
          </w:p>
          <w:p w14:paraId="77DB9658" w14:textId="77777777" w:rsidR="000322EF" w:rsidRPr="00FE38FD" w:rsidRDefault="000322EF" w:rsidP="00FE38FD">
            <w:pPr>
              <w:spacing w:line="480" w:lineRule="auto"/>
              <w:jc w:val="both"/>
              <w:rPr>
                <w:rFonts w:ascii="Arial" w:hAnsi="Arial" w:cs="Arial"/>
              </w:rPr>
            </w:pPr>
            <w:r w:rsidRPr="00B05BE6">
              <w:rPr>
                <w:rFonts w:ascii="Arial" w:hAnsi="Arial" w:cs="Arial"/>
              </w:rPr>
              <w:t>In this project, the care bundle comprised a predefined set of evidence-based IPC interventions, including structured IPC training, with feedback, proper use of personal protective equipment (PPE), use of appropriately sterilized supplies, and adherence to patient-specific infection prevention practices. IPC measures related to patient care areas also encompassed visitors and caregivers. Compliance with device-associated infection prevention practices was monitored through the calculation of care-bundle adherence data for CAUTI, VAT, SSI, and CLABSI. All components of the care bundle were supported in accordance with hospital IPC protocols</w:t>
            </w:r>
            <w:r w:rsidRPr="00FE38FD">
              <w:rPr>
                <w:rFonts w:ascii="Arial" w:hAnsi="Arial" w:cs="Arial"/>
              </w:rPr>
              <w:t>.</w:t>
            </w:r>
          </w:p>
        </w:tc>
      </w:tr>
    </w:tbl>
    <w:p w14:paraId="7AA116EF" w14:textId="77777777" w:rsidR="000322EF" w:rsidRPr="00B05BE6" w:rsidRDefault="000322EF" w:rsidP="00FE38FD">
      <w:pPr>
        <w:spacing w:line="480" w:lineRule="auto"/>
        <w:jc w:val="both"/>
        <w:rPr>
          <w:rFonts w:ascii="Arial" w:hAnsi="Arial" w:cs="Arial"/>
        </w:rPr>
      </w:pPr>
    </w:p>
    <w:p w14:paraId="0617BAEF" w14:textId="77777777" w:rsidR="00C475EB" w:rsidRPr="00B05BE6" w:rsidRDefault="00C475EB" w:rsidP="00FE38FD">
      <w:pPr>
        <w:spacing w:line="480" w:lineRule="auto"/>
        <w:jc w:val="both"/>
        <w:rPr>
          <w:rFonts w:ascii="Arial" w:hAnsi="Arial" w:cs="Arial"/>
        </w:rPr>
      </w:pPr>
    </w:p>
    <w:p w14:paraId="321D30CD" w14:textId="77777777" w:rsidR="00C475EB" w:rsidRPr="00B05BE6" w:rsidRDefault="00C475EB" w:rsidP="00FE38FD">
      <w:pPr>
        <w:spacing w:line="480" w:lineRule="auto"/>
        <w:jc w:val="both"/>
        <w:rPr>
          <w:rFonts w:ascii="Arial" w:hAnsi="Arial" w:cs="Arial"/>
        </w:rPr>
      </w:pPr>
    </w:p>
    <w:p w14:paraId="2D4C90DB" w14:textId="77777777" w:rsidR="00C475EB" w:rsidRPr="00B05BE6" w:rsidRDefault="00C475EB" w:rsidP="00FE38FD">
      <w:pPr>
        <w:spacing w:line="480" w:lineRule="auto"/>
        <w:jc w:val="both"/>
        <w:rPr>
          <w:rFonts w:ascii="Arial" w:hAnsi="Arial" w:cs="Arial"/>
        </w:rPr>
      </w:pPr>
    </w:p>
    <w:p w14:paraId="0EF85123" w14:textId="77777777" w:rsidR="00C475EB" w:rsidRPr="00B05BE6" w:rsidRDefault="00C475EB" w:rsidP="00FE38FD">
      <w:pPr>
        <w:spacing w:line="480" w:lineRule="auto"/>
        <w:jc w:val="both"/>
        <w:rPr>
          <w:rFonts w:ascii="Arial" w:hAnsi="Arial" w:cs="Arial"/>
        </w:rPr>
      </w:pPr>
    </w:p>
    <w:p w14:paraId="711D4EBE" w14:textId="77777777" w:rsidR="00C475EB" w:rsidRPr="00B05BE6" w:rsidRDefault="00C475EB" w:rsidP="00FE38FD">
      <w:pPr>
        <w:spacing w:line="480" w:lineRule="auto"/>
        <w:jc w:val="both"/>
        <w:rPr>
          <w:rFonts w:ascii="Arial" w:hAnsi="Arial" w:cs="Arial"/>
        </w:rPr>
      </w:pPr>
    </w:p>
    <w:p w14:paraId="42DBE716" w14:textId="77777777" w:rsidR="00C475EB" w:rsidRPr="00B05BE6" w:rsidRDefault="00C475EB" w:rsidP="00FE38FD">
      <w:pPr>
        <w:spacing w:line="480" w:lineRule="auto"/>
        <w:jc w:val="both"/>
        <w:rPr>
          <w:rFonts w:ascii="Arial" w:hAnsi="Arial" w:cs="Arial"/>
        </w:rPr>
      </w:pPr>
    </w:p>
    <w:p w14:paraId="7E902D04" w14:textId="77777777" w:rsidR="00C475EB" w:rsidRPr="00FE38FD" w:rsidRDefault="00C475EB" w:rsidP="00FE38FD">
      <w:pPr>
        <w:spacing w:line="480" w:lineRule="auto"/>
        <w:jc w:val="both"/>
        <w:rPr>
          <w:rFonts w:ascii="Arial" w:hAnsi="Arial" w:cs="Arial"/>
        </w:rPr>
      </w:pPr>
    </w:p>
    <w:p w14:paraId="10F9C9DC" w14:textId="77777777" w:rsidR="000322EF" w:rsidRPr="00B05BE6" w:rsidRDefault="000322EF" w:rsidP="00B05BE6">
      <w:pPr>
        <w:spacing w:line="480" w:lineRule="auto"/>
        <w:jc w:val="both"/>
        <w:rPr>
          <w:rFonts w:ascii="Arial" w:hAnsi="Arial" w:cs="Arial"/>
          <w:b/>
          <w:bCs/>
        </w:rPr>
      </w:pPr>
    </w:p>
    <w:p w14:paraId="59C1BA49" w14:textId="1F8C8FAD" w:rsidR="000322EF" w:rsidRPr="00B05BE6" w:rsidRDefault="000322EF" w:rsidP="00B05BE6">
      <w:pPr>
        <w:spacing w:line="480" w:lineRule="auto"/>
        <w:jc w:val="both"/>
        <w:rPr>
          <w:rFonts w:ascii="Arial" w:hAnsi="Arial" w:cs="Arial"/>
        </w:rPr>
      </w:pPr>
      <w:r w:rsidRPr="00B05BE6">
        <w:rPr>
          <w:rFonts w:ascii="Arial" w:hAnsi="Arial" w:cs="Arial"/>
          <w:b/>
          <w:bCs/>
        </w:rPr>
        <w:t>Supplementary Table 3:</w:t>
      </w:r>
      <w:r w:rsidRPr="00B05BE6">
        <w:rPr>
          <w:rFonts w:ascii="Arial" w:hAnsi="Arial" w:cs="Arial"/>
        </w:rPr>
        <w:t xml:space="preserve"> Pre-intervention and post-intervention hand hygiene compliance in 11 hospitals for the 5 moments of hand hygiene</w:t>
      </w:r>
    </w:p>
    <w:tbl>
      <w:tblPr>
        <w:tblW w:w="14474" w:type="dxa"/>
        <w:tblCellMar>
          <w:left w:w="0" w:type="dxa"/>
          <w:right w:w="0" w:type="dxa"/>
        </w:tblCellMar>
        <w:tblLook w:val="04A0" w:firstRow="1" w:lastRow="0" w:firstColumn="1" w:lastColumn="0" w:noHBand="0" w:noVBand="1"/>
      </w:tblPr>
      <w:tblGrid>
        <w:gridCol w:w="1021"/>
        <w:gridCol w:w="1168"/>
        <w:gridCol w:w="1168"/>
        <w:gridCol w:w="801"/>
        <w:gridCol w:w="1168"/>
        <w:gridCol w:w="1168"/>
        <w:gridCol w:w="801"/>
        <w:gridCol w:w="1168"/>
        <w:gridCol w:w="1168"/>
        <w:gridCol w:w="801"/>
        <w:gridCol w:w="1168"/>
        <w:gridCol w:w="1168"/>
        <w:gridCol w:w="801"/>
        <w:gridCol w:w="12"/>
        <w:gridCol w:w="1156"/>
        <w:gridCol w:w="1168"/>
        <w:gridCol w:w="801"/>
      </w:tblGrid>
      <w:tr w:rsidR="000322EF" w:rsidRPr="00FE38FD" w14:paraId="3FF920FE" w14:textId="77777777" w:rsidTr="00B05BE6">
        <w:trPr>
          <w:trHeight w:val="320"/>
          <w:tblHeader/>
        </w:trPr>
        <w:tc>
          <w:tcPr>
            <w:tcW w:w="877" w:type="dxa"/>
            <w:vMerge w:val="restart"/>
            <w:tcBorders>
              <w:top w:val="single" w:sz="4" w:space="0" w:color="auto"/>
              <w:bottom w:val="single" w:sz="4" w:space="0" w:color="auto"/>
            </w:tcBorders>
            <w:shd w:val="clear" w:color="auto" w:fill="D9D9D9" w:themeFill="background1" w:themeFillShade="D9"/>
            <w:noWrap/>
            <w:tcMar>
              <w:top w:w="15" w:type="dxa"/>
              <w:left w:w="15" w:type="dxa"/>
              <w:bottom w:w="0" w:type="dxa"/>
              <w:right w:w="15" w:type="dxa"/>
            </w:tcMar>
            <w:vAlign w:val="bottom"/>
            <w:hideMark/>
          </w:tcPr>
          <w:p w14:paraId="781479A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Hospitals</w:t>
            </w:r>
          </w:p>
        </w:tc>
        <w:tc>
          <w:tcPr>
            <w:tcW w:w="2701" w:type="dxa"/>
            <w:gridSpan w:val="3"/>
            <w:tcBorders>
              <w:top w:val="single" w:sz="4" w:space="0" w:color="auto"/>
              <w:bottom w:val="single" w:sz="4" w:space="0" w:color="auto"/>
            </w:tcBorders>
            <w:shd w:val="clear" w:color="auto" w:fill="D9D9D9" w:themeFill="background1" w:themeFillShade="D9"/>
            <w:noWrap/>
            <w:tcMar>
              <w:top w:w="15" w:type="dxa"/>
              <w:left w:w="15" w:type="dxa"/>
              <w:bottom w:w="0" w:type="dxa"/>
              <w:right w:w="15" w:type="dxa"/>
            </w:tcMar>
            <w:vAlign w:val="bottom"/>
            <w:hideMark/>
          </w:tcPr>
          <w:p w14:paraId="448BF487" w14:textId="77777777" w:rsidR="000322EF" w:rsidRPr="00B05BE6" w:rsidRDefault="000322EF" w:rsidP="00B05BE6">
            <w:pPr>
              <w:spacing w:after="0" w:line="480" w:lineRule="auto"/>
              <w:jc w:val="both"/>
              <w:rPr>
                <w:rFonts w:ascii="Arial" w:hAnsi="Arial" w:cs="Arial"/>
                <w:b/>
                <w:bCs/>
                <w:color w:val="000000"/>
              </w:rPr>
            </w:pPr>
            <w:r w:rsidRPr="00B05BE6">
              <w:rPr>
                <w:rFonts w:ascii="Arial" w:hAnsi="Arial" w:cs="Arial"/>
                <w:b/>
                <w:bCs/>
                <w:color w:val="000000"/>
              </w:rPr>
              <w:t>Before touching patients</w:t>
            </w:r>
          </w:p>
        </w:tc>
        <w:tc>
          <w:tcPr>
            <w:tcW w:w="2703" w:type="dxa"/>
            <w:gridSpan w:val="3"/>
            <w:tcBorders>
              <w:top w:val="single" w:sz="4" w:space="0" w:color="auto"/>
              <w:bottom w:val="single" w:sz="4" w:space="0" w:color="auto"/>
            </w:tcBorders>
            <w:shd w:val="clear" w:color="auto" w:fill="D9D9D9" w:themeFill="background1" w:themeFillShade="D9"/>
            <w:noWrap/>
            <w:tcMar>
              <w:top w:w="15" w:type="dxa"/>
              <w:left w:w="15" w:type="dxa"/>
              <w:bottom w:w="0" w:type="dxa"/>
              <w:right w:w="15" w:type="dxa"/>
            </w:tcMar>
            <w:vAlign w:val="bottom"/>
            <w:hideMark/>
          </w:tcPr>
          <w:p w14:paraId="4830B86F" w14:textId="77777777" w:rsidR="000322EF" w:rsidRPr="00B05BE6" w:rsidRDefault="000322EF" w:rsidP="00B05BE6">
            <w:pPr>
              <w:spacing w:after="0" w:line="480" w:lineRule="auto"/>
              <w:jc w:val="both"/>
              <w:rPr>
                <w:rFonts w:ascii="Arial" w:hAnsi="Arial" w:cs="Arial"/>
                <w:b/>
                <w:bCs/>
                <w:color w:val="000000"/>
              </w:rPr>
            </w:pPr>
            <w:r w:rsidRPr="00B05BE6">
              <w:rPr>
                <w:rFonts w:ascii="Arial" w:hAnsi="Arial" w:cs="Arial"/>
                <w:b/>
                <w:bCs/>
                <w:color w:val="000000"/>
              </w:rPr>
              <w:t>After touching patients </w:t>
            </w:r>
          </w:p>
        </w:tc>
        <w:tc>
          <w:tcPr>
            <w:tcW w:w="2725" w:type="dxa"/>
            <w:gridSpan w:val="3"/>
            <w:tcBorders>
              <w:top w:val="single" w:sz="4" w:space="0" w:color="auto"/>
              <w:bottom w:val="single" w:sz="4" w:space="0" w:color="auto"/>
            </w:tcBorders>
            <w:shd w:val="clear" w:color="auto" w:fill="D9D9D9" w:themeFill="background1" w:themeFillShade="D9"/>
            <w:noWrap/>
            <w:tcMar>
              <w:top w:w="15" w:type="dxa"/>
              <w:left w:w="15" w:type="dxa"/>
              <w:bottom w:w="0" w:type="dxa"/>
              <w:right w:w="15" w:type="dxa"/>
            </w:tcMar>
            <w:vAlign w:val="bottom"/>
            <w:hideMark/>
          </w:tcPr>
          <w:p w14:paraId="1020488D" w14:textId="77777777" w:rsidR="000322EF" w:rsidRPr="00B05BE6" w:rsidRDefault="000322EF" w:rsidP="00B05BE6">
            <w:pPr>
              <w:spacing w:after="0" w:line="480" w:lineRule="auto"/>
              <w:jc w:val="both"/>
              <w:rPr>
                <w:rFonts w:ascii="Arial" w:hAnsi="Arial" w:cs="Arial"/>
                <w:b/>
                <w:bCs/>
                <w:color w:val="000000"/>
              </w:rPr>
            </w:pPr>
            <w:r w:rsidRPr="00B05BE6">
              <w:rPr>
                <w:rFonts w:ascii="Arial" w:hAnsi="Arial" w:cs="Arial"/>
                <w:b/>
                <w:bCs/>
                <w:color w:val="000000"/>
              </w:rPr>
              <w:t>Before cleaning/aseptic procedure</w:t>
            </w:r>
          </w:p>
        </w:tc>
        <w:tc>
          <w:tcPr>
            <w:tcW w:w="2716" w:type="dxa"/>
            <w:gridSpan w:val="4"/>
            <w:tcBorders>
              <w:top w:val="single" w:sz="4" w:space="0" w:color="auto"/>
              <w:bottom w:val="single" w:sz="4" w:space="0" w:color="auto"/>
            </w:tcBorders>
            <w:shd w:val="clear" w:color="auto" w:fill="D9D9D9" w:themeFill="background1" w:themeFillShade="D9"/>
            <w:noWrap/>
            <w:tcMar>
              <w:top w:w="15" w:type="dxa"/>
              <w:left w:w="15" w:type="dxa"/>
              <w:bottom w:w="0" w:type="dxa"/>
              <w:right w:w="15" w:type="dxa"/>
            </w:tcMar>
            <w:vAlign w:val="bottom"/>
            <w:hideMark/>
          </w:tcPr>
          <w:p w14:paraId="418C14FA" w14:textId="77777777" w:rsidR="000322EF" w:rsidRPr="00B05BE6" w:rsidRDefault="000322EF" w:rsidP="00B05BE6">
            <w:pPr>
              <w:spacing w:after="0" w:line="480" w:lineRule="auto"/>
              <w:jc w:val="both"/>
              <w:rPr>
                <w:rFonts w:ascii="Arial" w:hAnsi="Arial" w:cs="Arial"/>
                <w:b/>
                <w:bCs/>
                <w:color w:val="000000"/>
              </w:rPr>
            </w:pPr>
            <w:r w:rsidRPr="00B05BE6">
              <w:rPr>
                <w:rFonts w:ascii="Arial" w:hAnsi="Arial" w:cs="Arial"/>
                <w:b/>
                <w:bCs/>
                <w:color w:val="000000" w:themeColor="text1"/>
              </w:rPr>
              <w:t>After body fluid exposure risk</w:t>
            </w:r>
          </w:p>
        </w:tc>
        <w:tc>
          <w:tcPr>
            <w:tcW w:w="2752" w:type="dxa"/>
            <w:gridSpan w:val="3"/>
            <w:tcBorders>
              <w:top w:val="single" w:sz="4" w:space="0" w:color="auto"/>
              <w:bottom w:val="single" w:sz="4" w:space="0" w:color="auto"/>
            </w:tcBorders>
            <w:shd w:val="clear" w:color="auto" w:fill="D9D9D9" w:themeFill="background1" w:themeFillShade="D9"/>
            <w:noWrap/>
            <w:tcMar>
              <w:top w:w="15" w:type="dxa"/>
              <w:left w:w="15" w:type="dxa"/>
              <w:bottom w:w="0" w:type="dxa"/>
              <w:right w:w="15" w:type="dxa"/>
            </w:tcMar>
            <w:vAlign w:val="bottom"/>
            <w:hideMark/>
          </w:tcPr>
          <w:p w14:paraId="360D86CC" w14:textId="77777777" w:rsidR="000322EF" w:rsidRPr="00B05BE6" w:rsidRDefault="000322EF" w:rsidP="00B05BE6">
            <w:pPr>
              <w:spacing w:after="0" w:line="480" w:lineRule="auto"/>
              <w:jc w:val="both"/>
              <w:rPr>
                <w:rFonts w:ascii="Arial" w:hAnsi="Arial" w:cs="Arial"/>
                <w:b/>
                <w:bCs/>
                <w:color w:val="000000"/>
              </w:rPr>
            </w:pPr>
            <w:r w:rsidRPr="00B05BE6">
              <w:rPr>
                <w:rFonts w:ascii="Arial" w:hAnsi="Arial" w:cs="Arial"/>
                <w:b/>
                <w:bCs/>
                <w:color w:val="000000"/>
              </w:rPr>
              <w:t>After touching patient surroundings</w:t>
            </w:r>
          </w:p>
        </w:tc>
      </w:tr>
      <w:tr w:rsidR="000322EF" w:rsidRPr="00FE38FD" w14:paraId="7484465E" w14:textId="77777777" w:rsidTr="00B05BE6">
        <w:trPr>
          <w:trHeight w:val="320"/>
          <w:tblHeader/>
        </w:trPr>
        <w:tc>
          <w:tcPr>
            <w:tcW w:w="0" w:type="auto"/>
            <w:vMerge/>
            <w:tcBorders>
              <w:top w:val="single" w:sz="4" w:space="0" w:color="auto"/>
              <w:bottom w:val="single" w:sz="4" w:space="0" w:color="auto"/>
            </w:tcBorders>
            <w:vAlign w:val="center"/>
            <w:hideMark/>
          </w:tcPr>
          <w:p w14:paraId="537384CB" w14:textId="77777777" w:rsidR="000322EF" w:rsidRPr="00B05BE6" w:rsidRDefault="000322EF" w:rsidP="00B05BE6">
            <w:pPr>
              <w:spacing w:after="0" w:line="480" w:lineRule="auto"/>
              <w:jc w:val="both"/>
              <w:rPr>
                <w:rFonts w:ascii="Arial" w:hAnsi="Arial" w:cs="Arial"/>
                <w:color w:val="000000"/>
              </w:rPr>
            </w:pPr>
          </w:p>
        </w:tc>
        <w:tc>
          <w:tcPr>
            <w:tcW w:w="1032" w:type="dxa"/>
            <w:tcBorders>
              <w:top w:val="single" w:sz="4" w:space="0" w:color="auto"/>
              <w:bottom w:val="single" w:sz="4" w:space="0" w:color="auto"/>
            </w:tcBorders>
            <w:noWrap/>
            <w:tcMar>
              <w:top w:w="15" w:type="dxa"/>
              <w:left w:w="15" w:type="dxa"/>
              <w:bottom w:w="0" w:type="dxa"/>
              <w:right w:w="15" w:type="dxa"/>
            </w:tcMar>
            <w:vAlign w:val="bottom"/>
            <w:hideMark/>
          </w:tcPr>
          <w:p w14:paraId="11BA356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Pre-intervention</w:t>
            </w:r>
          </w:p>
        </w:tc>
        <w:tc>
          <w:tcPr>
            <w:tcW w:w="1032" w:type="dxa"/>
            <w:tcBorders>
              <w:top w:val="nil"/>
              <w:bottom w:val="single" w:sz="4" w:space="0" w:color="auto"/>
            </w:tcBorders>
            <w:noWrap/>
            <w:tcMar>
              <w:top w:w="15" w:type="dxa"/>
              <w:left w:w="15" w:type="dxa"/>
              <w:bottom w:w="0" w:type="dxa"/>
              <w:right w:w="15" w:type="dxa"/>
            </w:tcMar>
            <w:vAlign w:val="bottom"/>
            <w:hideMark/>
          </w:tcPr>
          <w:p w14:paraId="2F9F086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Post-intervention</w:t>
            </w:r>
          </w:p>
        </w:tc>
        <w:tc>
          <w:tcPr>
            <w:tcW w:w="637" w:type="dxa"/>
            <w:tcBorders>
              <w:top w:val="nil"/>
              <w:bottom w:val="single" w:sz="4" w:space="0" w:color="auto"/>
            </w:tcBorders>
            <w:noWrap/>
            <w:tcMar>
              <w:top w:w="15" w:type="dxa"/>
              <w:left w:w="15" w:type="dxa"/>
              <w:bottom w:w="0" w:type="dxa"/>
              <w:right w:w="15" w:type="dxa"/>
            </w:tcMar>
            <w:vAlign w:val="bottom"/>
            <w:hideMark/>
          </w:tcPr>
          <w:p w14:paraId="031257C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 xml:space="preserve">Change </w:t>
            </w:r>
          </w:p>
        </w:tc>
        <w:tc>
          <w:tcPr>
            <w:tcW w:w="1032" w:type="dxa"/>
            <w:tcBorders>
              <w:top w:val="nil"/>
              <w:bottom w:val="single" w:sz="4" w:space="0" w:color="auto"/>
            </w:tcBorders>
            <w:noWrap/>
            <w:tcMar>
              <w:top w:w="15" w:type="dxa"/>
              <w:left w:w="15" w:type="dxa"/>
              <w:bottom w:w="0" w:type="dxa"/>
              <w:right w:w="15" w:type="dxa"/>
            </w:tcMar>
            <w:vAlign w:val="bottom"/>
            <w:hideMark/>
          </w:tcPr>
          <w:p w14:paraId="71BE002C"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Pre-intervention</w:t>
            </w:r>
          </w:p>
        </w:tc>
        <w:tc>
          <w:tcPr>
            <w:tcW w:w="1033" w:type="dxa"/>
            <w:tcBorders>
              <w:top w:val="nil"/>
              <w:bottom w:val="single" w:sz="4" w:space="0" w:color="auto"/>
            </w:tcBorders>
            <w:noWrap/>
            <w:tcMar>
              <w:top w:w="15" w:type="dxa"/>
              <w:left w:w="15" w:type="dxa"/>
              <w:bottom w:w="0" w:type="dxa"/>
              <w:right w:w="15" w:type="dxa"/>
            </w:tcMar>
            <w:vAlign w:val="bottom"/>
            <w:hideMark/>
          </w:tcPr>
          <w:p w14:paraId="21198F80"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Post-intervention</w:t>
            </w:r>
          </w:p>
        </w:tc>
        <w:tc>
          <w:tcPr>
            <w:tcW w:w="638" w:type="dxa"/>
            <w:tcBorders>
              <w:top w:val="nil"/>
              <w:bottom w:val="single" w:sz="4" w:space="0" w:color="auto"/>
            </w:tcBorders>
            <w:noWrap/>
            <w:tcMar>
              <w:top w:w="15" w:type="dxa"/>
              <w:left w:w="15" w:type="dxa"/>
              <w:bottom w:w="0" w:type="dxa"/>
              <w:right w:w="15" w:type="dxa"/>
            </w:tcMar>
            <w:vAlign w:val="bottom"/>
            <w:hideMark/>
          </w:tcPr>
          <w:p w14:paraId="6CA2E11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 xml:space="preserve">Change </w:t>
            </w:r>
          </w:p>
        </w:tc>
        <w:tc>
          <w:tcPr>
            <w:tcW w:w="1033" w:type="dxa"/>
            <w:tcBorders>
              <w:top w:val="nil"/>
              <w:bottom w:val="single" w:sz="4" w:space="0" w:color="auto"/>
            </w:tcBorders>
            <w:noWrap/>
            <w:tcMar>
              <w:top w:w="15" w:type="dxa"/>
              <w:left w:w="15" w:type="dxa"/>
              <w:bottom w:w="0" w:type="dxa"/>
              <w:right w:w="15" w:type="dxa"/>
            </w:tcMar>
            <w:vAlign w:val="bottom"/>
            <w:hideMark/>
          </w:tcPr>
          <w:p w14:paraId="3FA2F78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Pre-intervention</w:t>
            </w:r>
          </w:p>
        </w:tc>
        <w:tc>
          <w:tcPr>
            <w:tcW w:w="1033" w:type="dxa"/>
            <w:tcBorders>
              <w:top w:val="nil"/>
              <w:bottom w:val="single" w:sz="4" w:space="0" w:color="auto"/>
            </w:tcBorders>
            <w:noWrap/>
            <w:tcMar>
              <w:top w:w="15" w:type="dxa"/>
              <w:left w:w="15" w:type="dxa"/>
              <w:bottom w:w="0" w:type="dxa"/>
              <w:right w:w="15" w:type="dxa"/>
            </w:tcMar>
            <w:vAlign w:val="bottom"/>
            <w:hideMark/>
          </w:tcPr>
          <w:p w14:paraId="69FF597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Post-intervention</w:t>
            </w:r>
          </w:p>
        </w:tc>
        <w:tc>
          <w:tcPr>
            <w:tcW w:w="659" w:type="dxa"/>
            <w:tcBorders>
              <w:top w:val="nil"/>
              <w:bottom w:val="single" w:sz="4" w:space="0" w:color="auto"/>
            </w:tcBorders>
            <w:noWrap/>
            <w:tcMar>
              <w:top w:w="15" w:type="dxa"/>
              <w:left w:w="15" w:type="dxa"/>
              <w:bottom w:w="0" w:type="dxa"/>
              <w:right w:w="15" w:type="dxa"/>
            </w:tcMar>
            <w:vAlign w:val="bottom"/>
            <w:hideMark/>
          </w:tcPr>
          <w:p w14:paraId="0417755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 xml:space="preserve">Change </w:t>
            </w:r>
          </w:p>
        </w:tc>
        <w:tc>
          <w:tcPr>
            <w:tcW w:w="1033" w:type="dxa"/>
            <w:tcBorders>
              <w:top w:val="nil"/>
              <w:bottom w:val="single" w:sz="4" w:space="0" w:color="auto"/>
            </w:tcBorders>
            <w:noWrap/>
            <w:tcMar>
              <w:top w:w="15" w:type="dxa"/>
              <w:left w:w="15" w:type="dxa"/>
              <w:bottom w:w="0" w:type="dxa"/>
              <w:right w:w="15" w:type="dxa"/>
            </w:tcMar>
            <w:vAlign w:val="bottom"/>
            <w:hideMark/>
          </w:tcPr>
          <w:p w14:paraId="12FD0E9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Pre-intervention</w:t>
            </w:r>
          </w:p>
        </w:tc>
        <w:tc>
          <w:tcPr>
            <w:tcW w:w="1033" w:type="dxa"/>
            <w:tcBorders>
              <w:top w:val="nil"/>
              <w:bottom w:val="single" w:sz="4" w:space="0" w:color="auto"/>
            </w:tcBorders>
            <w:noWrap/>
            <w:tcMar>
              <w:top w:w="15" w:type="dxa"/>
              <w:left w:w="15" w:type="dxa"/>
              <w:bottom w:w="0" w:type="dxa"/>
              <w:right w:w="15" w:type="dxa"/>
            </w:tcMar>
            <w:vAlign w:val="bottom"/>
            <w:hideMark/>
          </w:tcPr>
          <w:p w14:paraId="11250F4C"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Post-intervention</w:t>
            </w:r>
          </w:p>
        </w:tc>
        <w:tc>
          <w:tcPr>
            <w:tcW w:w="637" w:type="dxa"/>
            <w:tcBorders>
              <w:top w:val="nil"/>
              <w:bottom w:val="single" w:sz="4" w:space="0" w:color="auto"/>
            </w:tcBorders>
            <w:noWrap/>
            <w:tcMar>
              <w:top w:w="15" w:type="dxa"/>
              <w:left w:w="15" w:type="dxa"/>
              <w:bottom w:w="0" w:type="dxa"/>
              <w:right w:w="15" w:type="dxa"/>
            </w:tcMar>
            <w:vAlign w:val="bottom"/>
            <w:hideMark/>
          </w:tcPr>
          <w:p w14:paraId="55C88DA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 xml:space="preserve">Change </w:t>
            </w:r>
          </w:p>
        </w:tc>
        <w:tc>
          <w:tcPr>
            <w:tcW w:w="1034" w:type="dxa"/>
            <w:gridSpan w:val="2"/>
            <w:tcBorders>
              <w:top w:val="nil"/>
              <w:bottom w:val="single" w:sz="4" w:space="0" w:color="auto"/>
            </w:tcBorders>
            <w:noWrap/>
            <w:tcMar>
              <w:top w:w="15" w:type="dxa"/>
              <w:left w:w="15" w:type="dxa"/>
              <w:bottom w:w="0" w:type="dxa"/>
              <w:right w:w="15" w:type="dxa"/>
            </w:tcMar>
            <w:vAlign w:val="bottom"/>
            <w:hideMark/>
          </w:tcPr>
          <w:p w14:paraId="09F0397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Pre-intervention</w:t>
            </w:r>
          </w:p>
        </w:tc>
        <w:tc>
          <w:tcPr>
            <w:tcW w:w="1033" w:type="dxa"/>
            <w:tcBorders>
              <w:top w:val="nil"/>
              <w:bottom w:val="single" w:sz="4" w:space="0" w:color="auto"/>
            </w:tcBorders>
            <w:noWrap/>
            <w:tcMar>
              <w:top w:w="15" w:type="dxa"/>
              <w:left w:w="15" w:type="dxa"/>
              <w:bottom w:w="0" w:type="dxa"/>
              <w:right w:w="15" w:type="dxa"/>
            </w:tcMar>
            <w:vAlign w:val="bottom"/>
            <w:hideMark/>
          </w:tcPr>
          <w:p w14:paraId="5FD910E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Post-intervention</w:t>
            </w:r>
          </w:p>
        </w:tc>
        <w:tc>
          <w:tcPr>
            <w:tcW w:w="698" w:type="dxa"/>
            <w:tcBorders>
              <w:top w:val="nil"/>
              <w:bottom w:val="single" w:sz="4" w:space="0" w:color="auto"/>
            </w:tcBorders>
            <w:noWrap/>
            <w:tcMar>
              <w:top w:w="15" w:type="dxa"/>
              <w:left w:w="15" w:type="dxa"/>
              <w:bottom w:w="0" w:type="dxa"/>
              <w:right w:w="15" w:type="dxa"/>
            </w:tcMar>
            <w:vAlign w:val="bottom"/>
            <w:hideMark/>
          </w:tcPr>
          <w:p w14:paraId="256A27C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 xml:space="preserve">Change </w:t>
            </w:r>
          </w:p>
        </w:tc>
      </w:tr>
      <w:tr w:rsidR="000322EF" w:rsidRPr="00FE38FD" w14:paraId="36B634A9" w14:textId="77777777" w:rsidTr="00B05BE6">
        <w:trPr>
          <w:trHeight w:val="598"/>
        </w:trPr>
        <w:tc>
          <w:tcPr>
            <w:tcW w:w="877" w:type="dxa"/>
            <w:tcBorders>
              <w:top w:val="single" w:sz="4" w:space="0" w:color="auto"/>
              <w:bottom w:val="single" w:sz="4" w:space="0" w:color="auto"/>
            </w:tcBorders>
            <w:tcMar>
              <w:top w:w="15" w:type="dxa"/>
              <w:left w:w="15" w:type="dxa"/>
              <w:bottom w:w="0" w:type="dxa"/>
              <w:right w:w="15" w:type="dxa"/>
            </w:tcMar>
            <w:vAlign w:val="center"/>
            <w:hideMark/>
          </w:tcPr>
          <w:p w14:paraId="118C7EE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Karuna Hospital, Mumbai</w:t>
            </w:r>
          </w:p>
        </w:tc>
        <w:tc>
          <w:tcPr>
            <w:tcW w:w="1032" w:type="dxa"/>
            <w:tcBorders>
              <w:top w:val="single" w:sz="4" w:space="0" w:color="auto"/>
              <w:bottom w:val="single" w:sz="4" w:space="0" w:color="auto"/>
            </w:tcBorders>
            <w:noWrap/>
            <w:tcMar>
              <w:top w:w="15" w:type="dxa"/>
              <w:left w:w="15" w:type="dxa"/>
              <w:bottom w:w="0" w:type="dxa"/>
              <w:right w:w="15" w:type="dxa"/>
            </w:tcMar>
            <w:vAlign w:val="center"/>
            <w:hideMark/>
          </w:tcPr>
          <w:p w14:paraId="55EC6BF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49</w:t>
            </w:r>
          </w:p>
        </w:tc>
        <w:tc>
          <w:tcPr>
            <w:tcW w:w="1032" w:type="dxa"/>
            <w:tcBorders>
              <w:top w:val="nil"/>
              <w:bottom w:val="single" w:sz="4" w:space="0" w:color="auto"/>
            </w:tcBorders>
            <w:tcMar>
              <w:top w:w="15" w:type="dxa"/>
              <w:left w:w="15" w:type="dxa"/>
              <w:bottom w:w="0" w:type="dxa"/>
              <w:right w:w="15" w:type="dxa"/>
            </w:tcMar>
            <w:vAlign w:val="center"/>
            <w:hideMark/>
          </w:tcPr>
          <w:p w14:paraId="69F6774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91</w:t>
            </w:r>
          </w:p>
        </w:tc>
        <w:tc>
          <w:tcPr>
            <w:tcW w:w="637" w:type="dxa"/>
            <w:tcBorders>
              <w:top w:val="nil"/>
              <w:bottom w:val="single" w:sz="4" w:space="0" w:color="auto"/>
            </w:tcBorders>
            <w:noWrap/>
            <w:tcMar>
              <w:top w:w="15" w:type="dxa"/>
              <w:left w:w="15" w:type="dxa"/>
              <w:bottom w:w="0" w:type="dxa"/>
              <w:right w:w="15" w:type="dxa"/>
            </w:tcMar>
            <w:vAlign w:val="center"/>
          </w:tcPr>
          <w:p w14:paraId="2F4A165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42</w:t>
            </w:r>
          </w:p>
        </w:tc>
        <w:tc>
          <w:tcPr>
            <w:tcW w:w="1032" w:type="dxa"/>
            <w:tcBorders>
              <w:top w:val="nil"/>
              <w:bottom w:val="single" w:sz="4" w:space="0" w:color="auto"/>
            </w:tcBorders>
            <w:noWrap/>
            <w:tcMar>
              <w:top w:w="15" w:type="dxa"/>
              <w:left w:w="15" w:type="dxa"/>
              <w:bottom w:w="0" w:type="dxa"/>
              <w:right w:w="15" w:type="dxa"/>
            </w:tcMar>
            <w:vAlign w:val="center"/>
            <w:hideMark/>
          </w:tcPr>
          <w:p w14:paraId="4847C8A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89</w:t>
            </w:r>
          </w:p>
        </w:tc>
        <w:tc>
          <w:tcPr>
            <w:tcW w:w="1033" w:type="dxa"/>
            <w:tcBorders>
              <w:top w:val="nil"/>
              <w:bottom w:val="single" w:sz="4" w:space="0" w:color="auto"/>
            </w:tcBorders>
            <w:tcMar>
              <w:top w:w="15" w:type="dxa"/>
              <w:left w:w="15" w:type="dxa"/>
              <w:bottom w:w="0" w:type="dxa"/>
              <w:right w:w="15" w:type="dxa"/>
            </w:tcMar>
            <w:vAlign w:val="center"/>
            <w:hideMark/>
          </w:tcPr>
          <w:p w14:paraId="04E92EE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97</w:t>
            </w:r>
          </w:p>
        </w:tc>
        <w:tc>
          <w:tcPr>
            <w:tcW w:w="638" w:type="dxa"/>
            <w:tcBorders>
              <w:top w:val="nil"/>
              <w:bottom w:val="single" w:sz="4" w:space="0" w:color="auto"/>
            </w:tcBorders>
            <w:noWrap/>
            <w:tcMar>
              <w:top w:w="15" w:type="dxa"/>
              <w:left w:w="15" w:type="dxa"/>
              <w:bottom w:w="0" w:type="dxa"/>
              <w:right w:w="15" w:type="dxa"/>
            </w:tcMar>
            <w:vAlign w:val="center"/>
          </w:tcPr>
          <w:p w14:paraId="00B8CF9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w:t>
            </w:r>
          </w:p>
        </w:tc>
        <w:tc>
          <w:tcPr>
            <w:tcW w:w="1033" w:type="dxa"/>
            <w:tcBorders>
              <w:top w:val="nil"/>
              <w:bottom w:val="single" w:sz="4" w:space="0" w:color="auto"/>
            </w:tcBorders>
            <w:noWrap/>
            <w:tcMar>
              <w:top w:w="15" w:type="dxa"/>
              <w:left w:w="15" w:type="dxa"/>
              <w:bottom w:w="0" w:type="dxa"/>
              <w:right w:w="15" w:type="dxa"/>
            </w:tcMar>
            <w:vAlign w:val="center"/>
            <w:hideMark/>
          </w:tcPr>
          <w:p w14:paraId="4CFFFFB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100</w:t>
            </w:r>
          </w:p>
        </w:tc>
        <w:tc>
          <w:tcPr>
            <w:tcW w:w="1033" w:type="dxa"/>
            <w:tcBorders>
              <w:top w:val="nil"/>
              <w:bottom w:val="single" w:sz="4" w:space="0" w:color="auto"/>
            </w:tcBorders>
            <w:tcMar>
              <w:top w:w="15" w:type="dxa"/>
              <w:left w:w="15" w:type="dxa"/>
              <w:bottom w:w="0" w:type="dxa"/>
              <w:right w:w="15" w:type="dxa"/>
            </w:tcMar>
            <w:vAlign w:val="center"/>
            <w:hideMark/>
          </w:tcPr>
          <w:p w14:paraId="1401C3A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659" w:type="dxa"/>
            <w:tcBorders>
              <w:top w:val="nil"/>
              <w:bottom w:val="single" w:sz="4" w:space="0" w:color="auto"/>
            </w:tcBorders>
            <w:noWrap/>
            <w:tcMar>
              <w:top w:w="15" w:type="dxa"/>
              <w:left w:w="15" w:type="dxa"/>
              <w:bottom w:w="0" w:type="dxa"/>
              <w:right w:w="15" w:type="dxa"/>
            </w:tcMar>
            <w:vAlign w:val="center"/>
          </w:tcPr>
          <w:p w14:paraId="22BAECF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w:t>
            </w:r>
          </w:p>
        </w:tc>
        <w:tc>
          <w:tcPr>
            <w:tcW w:w="1033" w:type="dxa"/>
            <w:tcBorders>
              <w:top w:val="nil"/>
              <w:bottom w:val="single" w:sz="4" w:space="0" w:color="auto"/>
            </w:tcBorders>
            <w:noWrap/>
            <w:tcMar>
              <w:top w:w="15" w:type="dxa"/>
              <w:left w:w="15" w:type="dxa"/>
              <w:bottom w:w="0" w:type="dxa"/>
              <w:right w:w="15" w:type="dxa"/>
            </w:tcMar>
            <w:vAlign w:val="center"/>
            <w:hideMark/>
          </w:tcPr>
          <w:p w14:paraId="7822057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100</w:t>
            </w:r>
          </w:p>
        </w:tc>
        <w:tc>
          <w:tcPr>
            <w:tcW w:w="1033" w:type="dxa"/>
            <w:tcBorders>
              <w:top w:val="nil"/>
              <w:bottom w:val="single" w:sz="4" w:space="0" w:color="auto"/>
            </w:tcBorders>
            <w:tcMar>
              <w:top w:w="15" w:type="dxa"/>
              <w:left w:w="15" w:type="dxa"/>
              <w:bottom w:w="0" w:type="dxa"/>
              <w:right w:w="15" w:type="dxa"/>
            </w:tcMar>
            <w:vAlign w:val="center"/>
            <w:hideMark/>
          </w:tcPr>
          <w:p w14:paraId="4C388D7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637" w:type="dxa"/>
            <w:tcBorders>
              <w:top w:val="nil"/>
              <w:bottom w:val="single" w:sz="4" w:space="0" w:color="auto"/>
            </w:tcBorders>
            <w:noWrap/>
            <w:tcMar>
              <w:top w:w="15" w:type="dxa"/>
              <w:left w:w="15" w:type="dxa"/>
              <w:bottom w:w="0" w:type="dxa"/>
              <w:right w:w="15" w:type="dxa"/>
            </w:tcMar>
            <w:vAlign w:val="center"/>
          </w:tcPr>
          <w:p w14:paraId="30988D3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676E2F2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39</w:t>
            </w:r>
          </w:p>
        </w:tc>
        <w:tc>
          <w:tcPr>
            <w:tcW w:w="1033" w:type="dxa"/>
            <w:tcBorders>
              <w:top w:val="nil"/>
              <w:bottom w:val="single" w:sz="4" w:space="0" w:color="auto"/>
            </w:tcBorders>
            <w:tcMar>
              <w:top w:w="15" w:type="dxa"/>
              <w:left w:w="15" w:type="dxa"/>
              <w:bottom w:w="0" w:type="dxa"/>
              <w:right w:w="15" w:type="dxa"/>
            </w:tcMar>
            <w:vAlign w:val="center"/>
            <w:hideMark/>
          </w:tcPr>
          <w:p w14:paraId="0914B40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84</w:t>
            </w:r>
          </w:p>
        </w:tc>
        <w:tc>
          <w:tcPr>
            <w:tcW w:w="698" w:type="dxa"/>
            <w:tcBorders>
              <w:top w:val="nil"/>
              <w:bottom w:val="single" w:sz="4" w:space="0" w:color="auto"/>
            </w:tcBorders>
            <w:noWrap/>
            <w:tcMar>
              <w:top w:w="15" w:type="dxa"/>
              <w:left w:w="15" w:type="dxa"/>
              <w:bottom w:w="0" w:type="dxa"/>
              <w:right w:w="15" w:type="dxa"/>
            </w:tcMar>
            <w:vAlign w:val="center"/>
          </w:tcPr>
          <w:p w14:paraId="7A4B52D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45</w:t>
            </w:r>
          </w:p>
        </w:tc>
      </w:tr>
      <w:tr w:rsidR="000322EF" w:rsidRPr="00FE38FD" w14:paraId="54EE8826" w14:textId="77777777" w:rsidTr="00B05BE6">
        <w:trPr>
          <w:trHeight w:val="354"/>
        </w:trPr>
        <w:tc>
          <w:tcPr>
            <w:tcW w:w="877" w:type="dxa"/>
            <w:tcBorders>
              <w:top w:val="nil"/>
              <w:bottom w:val="single" w:sz="4" w:space="0" w:color="auto"/>
            </w:tcBorders>
            <w:tcMar>
              <w:top w:w="15" w:type="dxa"/>
              <w:left w:w="15" w:type="dxa"/>
              <w:bottom w:w="0" w:type="dxa"/>
              <w:right w:w="15" w:type="dxa"/>
            </w:tcMar>
            <w:vAlign w:val="center"/>
            <w:hideMark/>
          </w:tcPr>
          <w:p w14:paraId="070F0B8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Mahavir Hospital, Rajasthan</w:t>
            </w:r>
          </w:p>
        </w:tc>
        <w:tc>
          <w:tcPr>
            <w:tcW w:w="1032" w:type="dxa"/>
            <w:tcBorders>
              <w:top w:val="nil"/>
              <w:bottom w:val="single" w:sz="4" w:space="0" w:color="auto"/>
            </w:tcBorders>
            <w:noWrap/>
            <w:tcMar>
              <w:top w:w="15" w:type="dxa"/>
              <w:left w:w="15" w:type="dxa"/>
              <w:bottom w:w="0" w:type="dxa"/>
              <w:right w:w="15" w:type="dxa"/>
            </w:tcMar>
            <w:vAlign w:val="center"/>
            <w:hideMark/>
          </w:tcPr>
          <w:p w14:paraId="673A864C"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85</w:t>
            </w:r>
          </w:p>
        </w:tc>
        <w:tc>
          <w:tcPr>
            <w:tcW w:w="1032" w:type="dxa"/>
            <w:tcBorders>
              <w:top w:val="nil"/>
              <w:bottom w:val="single" w:sz="4" w:space="0" w:color="auto"/>
            </w:tcBorders>
            <w:tcMar>
              <w:top w:w="15" w:type="dxa"/>
              <w:left w:w="15" w:type="dxa"/>
              <w:bottom w:w="0" w:type="dxa"/>
              <w:right w:w="15" w:type="dxa"/>
            </w:tcMar>
            <w:vAlign w:val="center"/>
            <w:hideMark/>
          </w:tcPr>
          <w:p w14:paraId="4B3EF14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91</w:t>
            </w:r>
          </w:p>
        </w:tc>
        <w:tc>
          <w:tcPr>
            <w:tcW w:w="637" w:type="dxa"/>
            <w:tcBorders>
              <w:top w:val="nil"/>
              <w:bottom w:val="single" w:sz="4" w:space="0" w:color="auto"/>
            </w:tcBorders>
            <w:noWrap/>
            <w:tcMar>
              <w:top w:w="15" w:type="dxa"/>
              <w:left w:w="15" w:type="dxa"/>
              <w:bottom w:w="0" w:type="dxa"/>
              <w:right w:w="15" w:type="dxa"/>
            </w:tcMar>
            <w:vAlign w:val="center"/>
          </w:tcPr>
          <w:p w14:paraId="48BBA25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6</w:t>
            </w:r>
          </w:p>
        </w:tc>
        <w:tc>
          <w:tcPr>
            <w:tcW w:w="1032" w:type="dxa"/>
            <w:tcBorders>
              <w:top w:val="nil"/>
              <w:bottom w:val="single" w:sz="4" w:space="0" w:color="auto"/>
            </w:tcBorders>
            <w:noWrap/>
            <w:tcMar>
              <w:top w:w="15" w:type="dxa"/>
              <w:left w:w="15" w:type="dxa"/>
              <w:bottom w:w="0" w:type="dxa"/>
              <w:right w:w="15" w:type="dxa"/>
            </w:tcMar>
            <w:vAlign w:val="center"/>
            <w:hideMark/>
          </w:tcPr>
          <w:p w14:paraId="615094A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75</w:t>
            </w:r>
          </w:p>
        </w:tc>
        <w:tc>
          <w:tcPr>
            <w:tcW w:w="1033" w:type="dxa"/>
            <w:tcBorders>
              <w:top w:val="nil"/>
              <w:bottom w:val="single" w:sz="4" w:space="0" w:color="auto"/>
            </w:tcBorders>
            <w:tcMar>
              <w:top w:w="15" w:type="dxa"/>
              <w:left w:w="15" w:type="dxa"/>
              <w:bottom w:w="0" w:type="dxa"/>
              <w:right w:w="15" w:type="dxa"/>
            </w:tcMar>
            <w:vAlign w:val="center"/>
            <w:hideMark/>
          </w:tcPr>
          <w:p w14:paraId="6B631CA9"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91</w:t>
            </w:r>
          </w:p>
        </w:tc>
        <w:tc>
          <w:tcPr>
            <w:tcW w:w="638" w:type="dxa"/>
            <w:tcBorders>
              <w:top w:val="nil"/>
              <w:bottom w:val="single" w:sz="4" w:space="0" w:color="auto"/>
            </w:tcBorders>
            <w:noWrap/>
            <w:tcMar>
              <w:top w:w="15" w:type="dxa"/>
              <w:left w:w="15" w:type="dxa"/>
              <w:bottom w:w="0" w:type="dxa"/>
              <w:right w:w="15" w:type="dxa"/>
            </w:tcMar>
            <w:vAlign w:val="center"/>
          </w:tcPr>
          <w:p w14:paraId="544F6B5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16</w:t>
            </w:r>
          </w:p>
        </w:tc>
        <w:tc>
          <w:tcPr>
            <w:tcW w:w="1033" w:type="dxa"/>
            <w:tcBorders>
              <w:top w:val="nil"/>
              <w:bottom w:val="single" w:sz="4" w:space="0" w:color="auto"/>
            </w:tcBorders>
            <w:noWrap/>
            <w:tcMar>
              <w:top w:w="15" w:type="dxa"/>
              <w:left w:w="15" w:type="dxa"/>
              <w:bottom w:w="0" w:type="dxa"/>
              <w:right w:w="15" w:type="dxa"/>
            </w:tcMar>
            <w:vAlign w:val="center"/>
            <w:hideMark/>
          </w:tcPr>
          <w:p w14:paraId="05D6C540"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87</w:t>
            </w:r>
          </w:p>
        </w:tc>
        <w:tc>
          <w:tcPr>
            <w:tcW w:w="1033" w:type="dxa"/>
            <w:tcBorders>
              <w:top w:val="nil"/>
              <w:bottom w:val="single" w:sz="4" w:space="0" w:color="auto"/>
            </w:tcBorders>
            <w:tcMar>
              <w:top w:w="15" w:type="dxa"/>
              <w:left w:w="15" w:type="dxa"/>
              <w:bottom w:w="0" w:type="dxa"/>
              <w:right w:w="15" w:type="dxa"/>
            </w:tcMar>
            <w:vAlign w:val="center"/>
            <w:hideMark/>
          </w:tcPr>
          <w:p w14:paraId="1B59E26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659" w:type="dxa"/>
            <w:tcBorders>
              <w:top w:val="nil"/>
              <w:bottom w:val="single" w:sz="4" w:space="0" w:color="auto"/>
            </w:tcBorders>
            <w:noWrap/>
            <w:tcMar>
              <w:top w:w="15" w:type="dxa"/>
              <w:left w:w="15" w:type="dxa"/>
              <w:bottom w:w="0" w:type="dxa"/>
              <w:right w:w="15" w:type="dxa"/>
            </w:tcMar>
            <w:vAlign w:val="center"/>
          </w:tcPr>
          <w:p w14:paraId="624F14B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w:t>
            </w:r>
          </w:p>
        </w:tc>
        <w:tc>
          <w:tcPr>
            <w:tcW w:w="1033" w:type="dxa"/>
            <w:tcBorders>
              <w:top w:val="nil"/>
              <w:bottom w:val="single" w:sz="4" w:space="0" w:color="auto"/>
            </w:tcBorders>
            <w:noWrap/>
            <w:tcMar>
              <w:top w:w="15" w:type="dxa"/>
              <w:left w:w="15" w:type="dxa"/>
              <w:bottom w:w="0" w:type="dxa"/>
              <w:right w:w="15" w:type="dxa"/>
            </w:tcMar>
            <w:vAlign w:val="center"/>
            <w:hideMark/>
          </w:tcPr>
          <w:p w14:paraId="0EDB342F"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78</w:t>
            </w:r>
          </w:p>
        </w:tc>
        <w:tc>
          <w:tcPr>
            <w:tcW w:w="1033" w:type="dxa"/>
            <w:tcBorders>
              <w:top w:val="nil"/>
              <w:bottom w:val="single" w:sz="4" w:space="0" w:color="auto"/>
            </w:tcBorders>
            <w:tcMar>
              <w:top w:w="15" w:type="dxa"/>
              <w:left w:w="15" w:type="dxa"/>
              <w:bottom w:w="0" w:type="dxa"/>
              <w:right w:w="15" w:type="dxa"/>
            </w:tcMar>
            <w:vAlign w:val="center"/>
            <w:hideMark/>
          </w:tcPr>
          <w:p w14:paraId="0A6DB84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637" w:type="dxa"/>
            <w:tcBorders>
              <w:top w:val="nil"/>
              <w:bottom w:val="single" w:sz="4" w:space="0" w:color="auto"/>
            </w:tcBorders>
            <w:noWrap/>
            <w:tcMar>
              <w:top w:w="15" w:type="dxa"/>
              <w:left w:w="15" w:type="dxa"/>
              <w:bottom w:w="0" w:type="dxa"/>
              <w:right w:w="15" w:type="dxa"/>
            </w:tcMar>
            <w:vAlign w:val="center"/>
          </w:tcPr>
          <w:p w14:paraId="2E43676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12</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6AE23ADF"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1033" w:type="dxa"/>
            <w:tcBorders>
              <w:top w:val="nil"/>
              <w:bottom w:val="single" w:sz="4" w:space="0" w:color="auto"/>
            </w:tcBorders>
            <w:tcMar>
              <w:top w:w="15" w:type="dxa"/>
              <w:left w:w="15" w:type="dxa"/>
              <w:bottom w:w="0" w:type="dxa"/>
              <w:right w:w="15" w:type="dxa"/>
            </w:tcMar>
            <w:vAlign w:val="center"/>
            <w:hideMark/>
          </w:tcPr>
          <w:p w14:paraId="03F96B29"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95</w:t>
            </w:r>
          </w:p>
        </w:tc>
        <w:tc>
          <w:tcPr>
            <w:tcW w:w="698" w:type="dxa"/>
            <w:tcBorders>
              <w:top w:val="nil"/>
              <w:bottom w:val="single" w:sz="4" w:space="0" w:color="auto"/>
            </w:tcBorders>
            <w:noWrap/>
            <w:tcMar>
              <w:top w:w="15" w:type="dxa"/>
              <w:left w:w="15" w:type="dxa"/>
              <w:bottom w:w="0" w:type="dxa"/>
              <w:right w:w="15" w:type="dxa"/>
            </w:tcMar>
            <w:vAlign w:val="center"/>
          </w:tcPr>
          <w:p w14:paraId="1290B7F9"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w:t>
            </w:r>
          </w:p>
        </w:tc>
      </w:tr>
      <w:tr w:rsidR="000322EF" w:rsidRPr="00FE38FD" w14:paraId="652C8831" w14:textId="77777777" w:rsidTr="00B05BE6">
        <w:trPr>
          <w:trHeight w:val="124"/>
        </w:trPr>
        <w:tc>
          <w:tcPr>
            <w:tcW w:w="877" w:type="dxa"/>
            <w:tcBorders>
              <w:top w:val="nil"/>
              <w:bottom w:val="single" w:sz="4" w:space="0" w:color="auto"/>
            </w:tcBorders>
            <w:tcMar>
              <w:top w:w="15" w:type="dxa"/>
              <w:left w:w="15" w:type="dxa"/>
              <w:bottom w:w="0" w:type="dxa"/>
              <w:right w:w="15" w:type="dxa"/>
            </w:tcMar>
            <w:vAlign w:val="center"/>
            <w:hideMark/>
          </w:tcPr>
          <w:p w14:paraId="5DE9F89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Sevenstar Hospital, Nagpur</w:t>
            </w:r>
          </w:p>
        </w:tc>
        <w:tc>
          <w:tcPr>
            <w:tcW w:w="1032" w:type="dxa"/>
            <w:tcBorders>
              <w:top w:val="nil"/>
              <w:bottom w:val="single" w:sz="4" w:space="0" w:color="auto"/>
            </w:tcBorders>
            <w:noWrap/>
            <w:tcMar>
              <w:top w:w="15" w:type="dxa"/>
              <w:left w:w="15" w:type="dxa"/>
              <w:bottom w:w="0" w:type="dxa"/>
              <w:right w:w="15" w:type="dxa"/>
            </w:tcMar>
            <w:vAlign w:val="center"/>
            <w:hideMark/>
          </w:tcPr>
          <w:p w14:paraId="73F28A1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81</w:t>
            </w:r>
          </w:p>
        </w:tc>
        <w:tc>
          <w:tcPr>
            <w:tcW w:w="1032" w:type="dxa"/>
            <w:tcBorders>
              <w:top w:val="nil"/>
              <w:bottom w:val="single" w:sz="4" w:space="0" w:color="auto"/>
            </w:tcBorders>
            <w:tcMar>
              <w:top w:w="15" w:type="dxa"/>
              <w:left w:w="15" w:type="dxa"/>
              <w:bottom w:w="0" w:type="dxa"/>
              <w:right w:w="15" w:type="dxa"/>
            </w:tcMar>
            <w:vAlign w:val="center"/>
            <w:hideMark/>
          </w:tcPr>
          <w:p w14:paraId="3AA7F73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94</w:t>
            </w:r>
          </w:p>
        </w:tc>
        <w:tc>
          <w:tcPr>
            <w:tcW w:w="637" w:type="dxa"/>
            <w:tcBorders>
              <w:top w:val="nil"/>
              <w:bottom w:val="single" w:sz="4" w:space="0" w:color="auto"/>
            </w:tcBorders>
            <w:noWrap/>
            <w:tcMar>
              <w:top w:w="15" w:type="dxa"/>
              <w:left w:w="15" w:type="dxa"/>
              <w:bottom w:w="0" w:type="dxa"/>
              <w:right w:w="15" w:type="dxa"/>
            </w:tcMar>
            <w:vAlign w:val="center"/>
          </w:tcPr>
          <w:p w14:paraId="58C3934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13</w:t>
            </w:r>
          </w:p>
        </w:tc>
        <w:tc>
          <w:tcPr>
            <w:tcW w:w="1032" w:type="dxa"/>
            <w:tcBorders>
              <w:top w:val="nil"/>
              <w:bottom w:val="single" w:sz="4" w:space="0" w:color="auto"/>
            </w:tcBorders>
            <w:noWrap/>
            <w:tcMar>
              <w:top w:w="15" w:type="dxa"/>
              <w:left w:w="15" w:type="dxa"/>
              <w:bottom w:w="0" w:type="dxa"/>
              <w:right w:w="15" w:type="dxa"/>
            </w:tcMar>
            <w:vAlign w:val="center"/>
            <w:hideMark/>
          </w:tcPr>
          <w:p w14:paraId="61F601A1"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61</w:t>
            </w:r>
          </w:p>
        </w:tc>
        <w:tc>
          <w:tcPr>
            <w:tcW w:w="1033" w:type="dxa"/>
            <w:tcBorders>
              <w:top w:val="nil"/>
              <w:bottom w:val="single" w:sz="4" w:space="0" w:color="auto"/>
            </w:tcBorders>
            <w:tcMar>
              <w:top w:w="15" w:type="dxa"/>
              <w:left w:w="15" w:type="dxa"/>
              <w:bottom w:w="0" w:type="dxa"/>
              <w:right w:w="15" w:type="dxa"/>
            </w:tcMar>
            <w:vAlign w:val="center"/>
            <w:hideMark/>
          </w:tcPr>
          <w:p w14:paraId="35A95A7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81</w:t>
            </w:r>
          </w:p>
        </w:tc>
        <w:tc>
          <w:tcPr>
            <w:tcW w:w="638" w:type="dxa"/>
            <w:tcBorders>
              <w:top w:val="nil"/>
              <w:bottom w:val="single" w:sz="4" w:space="0" w:color="auto"/>
            </w:tcBorders>
            <w:noWrap/>
            <w:tcMar>
              <w:top w:w="15" w:type="dxa"/>
              <w:left w:w="15" w:type="dxa"/>
              <w:bottom w:w="0" w:type="dxa"/>
              <w:right w:w="15" w:type="dxa"/>
            </w:tcMar>
            <w:vAlign w:val="center"/>
          </w:tcPr>
          <w:p w14:paraId="3D00BDC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20</w:t>
            </w:r>
          </w:p>
        </w:tc>
        <w:tc>
          <w:tcPr>
            <w:tcW w:w="1033" w:type="dxa"/>
            <w:tcBorders>
              <w:top w:val="nil"/>
              <w:bottom w:val="single" w:sz="4" w:space="0" w:color="auto"/>
            </w:tcBorders>
            <w:noWrap/>
            <w:tcMar>
              <w:top w:w="15" w:type="dxa"/>
              <w:left w:w="15" w:type="dxa"/>
              <w:bottom w:w="0" w:type="dxa"/>
              <w:right w:w="15" w:type="dxa"/>
            </w:tcMar>
            <w:vAlign w:val="center"/>
            <w:hideMark/>
          </w:tcPr>
          <w:p w14:paraId="607C813C"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100</w:t>
            </w:r>
          </w:p>
        </w:tc>
        <w:tc>
          <w:tcPr>
            <w:tcW w:w="1033" w:type="dxa"/>
            <w:tcBorders>
              <w:top w:val="nil"/>
              <w:bottom w:val="single" w:sz="4" w:space="0" w:color="auto"/>
            </w:tcBorders>
            <w:tcMar>
              <w:top w:w="15" w:type="dxa"/>
              <w:left w:w="15" w:type="dxa"/>
              <w:bottom w:w="0" w:type="dxa"/>
              <w:right w:w="15" w:type="dxa"/>
            </w:tcMar>
            <w:vAlign w:val="center"/>
            <w:hideMark/>
          </w:tcPr>
          <w:p w14:paraId="2376B8C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100</w:t>
            </w:r>
          </w:p>
        </w:tc>
        <w:tc>
          <w:tcPr>
            <w:tcW w:w="659" w:type="dxa"/>
            <w:tcBorders>
              <w:top w:val="nil"/>
              <w:bottom w:val="single" w:sz="4" w:space="0" w:color="auto"/>
            </w:tcBorders>
            <w:noWrap/>
            <w:tcMar>
              <w:top w:w="15" w:type="dxa"/>
              <w:left w:w="15" w:type="dxa"/>
              <w:bottom w:w="0" w:type="dxa"/>
              <w:right w:w="15" w:type="dxa"/>
            </w:tcMar>
            <w:vAlign w:val="center"/>
          </w:tcPr>
          <w:p w14:paraId="1C9ABBC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0</w:t>
            </w:r>
          </w:p>
        </w:tc>
        <w:tc>
          <w:tcPr>
            <w:tcW w:w="1033" w:type="dxa"/>
            <w:tcBorders>
              <w:top w:val="nil"/>
              <w:bottom w:val="single" w:sz="4" w:space="0" w:color="auto"/>
            </w:tcBorders>
            <w:noWrap/>
            <w:tcMar>
              <w:top w:w="15" w:type="dxa"/>
              <w:left w:w="15" w:type="dxa"/>
              <w:bottom w:w="0" w:type="dxa"/>
              <w:right w:w="15" w:type="dxa"/>
            </w:tcMar>
            <w:vAlign w:val="center"/>
            <w:hideMark/>
          </w:tcPr>
          <w:p w14:paraId="772277D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67</w:t>
            </w:r>
          </w:p>
        </w:tc>
        <w:tc>
          <w:tcPr>
            <w:tcW w:w="1033" w:type="dxa"/>
            <w:tcBorders>
              <w:top w:val="nil"/>
              <w:bottom w:val="single" w:sz="4" w:space="0" w:color="auto"/>
            </w:tcBorders>
            <w:tcMar>
              <w:top w:w="15" w:type="dxa"/>
              <w:left w:w="15" w:type="dxa"/>
              <w:bottom w:w="0" w:type="dxa"/>
              <w:right w:w="15" w:type="dxa"/>
            </w:tcMar>
            <w:vAlign w:val="center"/>
            <w:hideMark/>
          </w:tcPr>
          <w:p w14:paraId="005C55F1"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86</w:t>
            </w:r>
          </w:p>
        </w:tc>
        <w:tc>
          <w:tcPr>
            <w:tcW w:w="637" w:type="dxa"/>
            <w:tcBorders>
              <w:top w:val="nil"/>
              <w:bottom w:val="single" w:sz="4" w:space="0" w:color="auto"/>
            </w:tcBorders>
            <w:noWrap/>
            <w:tcMar>
              <w:top w:w="15" w:type="dxa"/>
              <w:left w:w="15" w:type="dxa"/>
              <w:bottom w:w="0" w:type="dxa"/>
              <w:right w:w="15" w:type="dxa"/>
            </w:tcMar>
            <w:vAlign w:val="center"/>
          </w:tcPr>
          <w:p w14:paraId="7159A22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19</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16AE23A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60</w:t>
            </w:r>
          </w:p>
        </w:tc>
        <w:tc>
          <w:tcPr>
            <w:tcW w:w="1033" w:type="dxa"/>
            <w:tcBorders>
              <w:top w:val="nil"/>
              <w:bottom w:val="single" w:sz="4" w:space="0" w:color="auto"/>
            </w:tcBorders>
            <w:tcMar>
              <w:top w:w="15" w:type="dxa"/>
              <w:left w:w="15" w:type="dxa"/>
              <w:bottom w:w="0" w:type="dxa"/>
              <w:right w:w="15" w:type="dxa"/>
            </w:tcMar>
            <w:vAlign w:val="center"/>
            <w:hideMark/>
          </w:tcPr>
          <w:p w14:paraId="3199DCF0"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88</w:t>
            </w:r>
          </w:p>
        </w:tc>
        <w:tc>
          <w:tcPr>
            <w:tcW w:w="698" w:type="dxa"/>
            <w:tcBorders>
              <w:top w:val="nil"/>
              <w:bottom w:val="single" w:sz="4" w:space="0" w:color="auto"/>
            </w:tcBorders>
            <w:noWrap/>
            <w:tcMar>
              <w:top w:w="15" w:type="dxa"/>
              <w:left w:w="15" w:type="dxa"/>
              <w:bottom w:w="0" w:type="dxa"/>
              <w:right w:w="15" w:type="dxa"/>
            </w:tcMar>
            <w:vAlign w:val="center"/>
          </w:tcPr>
          <w:p w14:paraId="76BDA9E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28</w:t>
            </w:r>
          </w:p>
        </w:tc>
      </w:tr>
      <w:tr w:rsidR="000322EF" w:rsidRPr="00FE38FD" w14:paraId="3A73361B" w14:textId="77777777" w:rsidTr="00B05BE6">
        <w:trPr>
          <w:trHeight w:val="306"/>
        </w:trPr>
        <w:tc>
          <w:tcPr>
            <w:tcW w:w="877" w:type="dxa"/>
            <w:tcBorders>
              <w:top w:val="nil"/>
              <w:bottom w:val="single" w:sz="4" w:space="0" w:color="auto"/>
            </w:tcBorders>
            <w:tcMar>
              <w:top w:w="15" w:type="dxa"/>
              <w:left w:w="15" w:type="dxa"/>
              <w:bottom w:w="0" w:type="dxa"/>
              <w:right w:w="15" w:type="dxa"/>
            </w:tcMar>
            <w:vAlign w:val="center"/>
            <w:hideMark/>
          </w:tcPr>
          <w:p w14:paraId="7871A85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lastRenderedPageBreak/>
              <w:t>Medicity Hospital, Jabalpur</w:t>
            </w:r>
          </w:p>
        </w:tc>
        <w:tc>
          <w:tcPr>
            <w:tcW w:w="1032" w:type="dxa"/>
            <w:tcBorders>
              <w:top w:val="nil"/>
              <w:bottom w:val="single" w:sz="4" w:space="0" w:color="auto"/>
            </w:tcBorders>
            <w:noWrap/>
            <w:tcMar>
              <w:top w:w="15" w:type="dxa"/>
              <w:left w:w="15" w:type="dxa"/>
              <w:bottom w:w="0" w:type="dxa"/>
              <w:right w:w="15" w:type="dxa"/>
            </w:tcMar>
            <w:vAlign w:val="center"/>
            <w:hideMark/>
          </w:tcPr>
          <w:p w14:paraId="3B5360E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49</w:t>
            </w:r>
          </w:p>
        </w:tc>
        <w:tc>
          <w:tcPr>
            <w:tcW w:w="1032" w:type="dxa"/>
            <w:tcBorders>
              <w:top w:val="nil"/>
              <w:bottom w:val="single" w:sz="4" w:space="0" w:color="auto"/>
            </w:tcBorders>
            <w:tcMar>
              <w:top w:w="15" w:type="dxa"/>
              <w:left w:w="15" w:type="dxa"/>
              <w:bottom w:w="0" w:type="dxa"/>
              <w:right w:w="15" w:type="dxa"/>
            </w:tcMar>
            <w:vAlign w:val="center"/>
            <w:hideMark/>
          </w:tcPr>
          <w:p w14:paraId="08B9555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79</w:t>
            </w:r>
          </w:p>
        </w:tc>
        <w:tc>
          <w:tcPr>
            <w:tcW w:w="637" w:type="dxa"/>
            <w:tcBorders>
              <w:top w:val="nil"/>
              <w:bottom w:val="single" w:sz="4" w:space="0" w:color="auto"/>
            </w:tcBorders>
            <w:noWrap/>
            <w:tcMar>
              <w:top w:w="15" w:type="dxa"/>
              <w:left w:w="15" w:type="dxa"/>
              <w:bottom w:w="0" w:type="dxa"/>
              <w:right w:w="15" w:type="dxa"/>
            </w:tcMar>
            <w:vAlign w:val="center"/>
          </w:tcPr>
          <w:p w14:paraId="490C8349"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30</w:t>
            </w:r>
          </w:p>
        </w:tc>
        <w:tc>
          <w:tcPr>
            <w:tcW w:w="1032" w:type="dxa"/>
            <w:tcBorders>
              <w:top w:val="nil"/>
              <w:bottom w:val="single" w:sz="4" w:space="0" w:color="auto"/>
            </w:tcBorders>
            <w:noWrap/>
            <w:tcMar>
              <w:top w:w="15" w:type="dxa"/>
              <w:left w:w="15" w:type="dxa"/>
              <w:bottom w:w="0" w:type="dxa"/>
              <w:right w:w="15" w:type="dxa"/>
            </w:tcMar>
            <w:vAlign w:val="center"/>
            <w:hideMark/>
          </w:tcPr>
          <w:p w14:paraId="001571B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52</w:t>
            </w:r>
          </w:p>
        </w:tc>
        <w:tc>
          <w:tcPr>
            <w:tcW w:w="1033" w:type="dxa"/>
            <w:tcBorders>
              <w:top w:val="nil"/>
              <w:bottom w:val="single" w:sz="4" w:space="0" w:color="auto"/>
            </w:tcBorders>
            <w:tcMar>
              <w:top w:w="15" w:type="dxa"/>
              <w:left w:w="15" w:type="dxa"/>
              <w:bottom w:w="0" w:type="dxa"/>
              <w:right w:w="15" w:type="dxa"/>
            </w:tcMar>
            <w:vAlign w:val="center"/>
            <w:hideMark/>
          </w:tcPr>
          <w:p w14:paraId="51B77BE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86</w:t>
            </w:r>
          </w:p>
        </w:tc>
        <w:tc>
          <w:tcPr>
            <w:tcW w:w="638" w:type="dxa"/>
            <w:tcBorders>
              <w:top w:val="nil"/>
              <w:bottom w:val="single" w:sz="4" w:space="0" w:color="auto"/>
            </w:tcBorders>
            <w:noWrap/>
            <w:tcMar>
              <w:top w:w="15" w:type="dxa"/>
              <w:left w:w="15" w:type="dxa"/>
              <w:bottom w:w="0" w:type="dxa"/>
              <w:right w:w="15" w:type="dxa"/>
            </w:tcMar>
            <w:vAlign w:val="center"/>
          </w:tcPr>
          <w:p w14:paraId="0719164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34</w:t>
            </w:r>
          </w:p>
        </w:tc>
        <w:tc>
          <w:tcPr>
            <w:tcW w:w="1033" w:type="dxa"/>
            <w:tcBorders>
              <w:top w:val="nil"/>
              <w:bottom w:val="single" w:sz="4" w:space="0" w:color="auto"/>
            </w:tcBorders>
            <w:noWrap/>
            <w:tcMar>
              <w:top w:w="15" w:type="dxa"/>
              <w:left w:w="15" w:type="dxa"/>
              <w:bottom w:w="0" w:type="dxa"/>
              <w:right w:w="15" w:type="dxa"/>
            </w:tcMar>
            <w:vAlign w:val="center"/>
            <w:hideMark/>
          </w:tcPr>
          <w:p w14:paraId="68785C3C"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100</w:t>
            </w:r>
          </w:p>
        </w:tc>
        <w:tc>
          <w:tcPr>
            <w:tcW w:w="1033" w:type="dxa"/>
            <w:tcBorders>
              <w:top w:val="nil"/>
              <w:bottom w:val="single" w:sz="4" w:space="0" w:color="auto"/>
            </w:tcBorders>
            <w:tcMar>
              <w:top w:w="15" w:type="dxa"/>
              <w:left w:w="15" w:type="dxa"/>
              <w:bottom w:w="0" w:type="dxa"/>
              <w:right w:w="15" w:type="dxa"/>
            </w:tcMar>
            <w:vAlign w:val="center"/>
            <w:hideMark/>
          </w:tcPr>
          <w:p w14:paraId="6C775DB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78</w:t>
            </w:r>
          </w:p>
        </w:tc>
        <w:tc>
          <w:tcPr>
            <w:tcW w:w="659" w:type="dxa"/>
            <w:tcBorders>
              <w:top w:val="nil"/>
              <w:bottom w:val="single" w:sz="4" w:space="0" w:color="auto"/>
            </w:tcBorders>
            <w:noWrap/>
            <w:tcMar>
              <w:top w:w="15" w:type="dxa"/>
              <w:left w:w="15" w:type="dxa"/>
              <w:bottom w:w="0" w:type="dxa"/>
              <w:right w:w="15" w:type="dxa"/>
            </w:tcMar>
            <w:vAlign w:val="center"/>
          </w:tcPr>
          <w:p w14:paraId="3A52E8E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-22</w:t>
            </w:r>
          </w:p>
        </w:tc>
        <w:tc>
          <w:tcPr>
            <w:tcW w:w="1033" w:type="dxa"/>
            <w:tcBorders>
              <w:top w:val="nil"/>
              <w:bottom w:val="single" w:sz="4" w:space="0" w:color="auto"/>
            </w:tcBorders>
            <w:noWrap/>
            <w:tcMar>
              <w:top w:w="15" w:type="dxa"/>
              <w:left w:w="15" w:type="dxa"/>
              <w:bottom w:w="0" w:type="dxa"/>
              <w:right w:w="15" w:type="dxa"/>
            </w:tcMar>
            <w:vAlign w:val="center"/>
            <w:hideMark/>
          </w:tcPr>
          <w:p w14:paraId="19BCF0F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100</w:t>
            </w:r>
          </w:p>
        </w:tc>
        <w:tc>
          <w:tcPr>
            <w:tcW w:w="1033" w:type="dxa"/>
            <w:tcBorders>
              <w:top w:val="nil"/>
              <w:bottom w:val="single" w:sz="4" w:space="0" w:color="auto"/>
            </w:tcBorders>
            <w:tcMar>
              <w:top w:w="15" w:type="dxa"/>
              <w:left w:w="15" w:type="dxa"/>
              <w:bottom w:w="0" w:type="dxa"/>
              <w:right w:w="15" w:type="dxa"/>
            </w:tcMar>
            <w:vAlign w:val="center"/>
            <w:hideMark/>
          </w:tcPr>
          <w:p w14:paraId="0074AC1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93</w:t>
            </w:r>
          </w:p>
        </w:tc>
        <w:tc>
          <w:tcPr>
            <w:tcW w:w="637" w:type="dxa"/>
            <w:tcBorders>
              <w:top w:val="nil"/>
              <w:bottom w:val="single" w:sz="4" w:space="0" w:color="auto"/>
            </w:tcBorders>
            <w:noWrap/>
            <w:tcMar>
              <w:top w:w="15" w:type="dxa"/>
              <w:left w:w="15" w:type="dxa"/>
              <w:bottom w:w="0" w:type="dxa"/>
              <w:right w:w="15" w:type="dxa"/>
            </w:tcMar>
            <w:vAlign w:val="center"/>
          </w:tcPr>
          <w:p w14:paraId="16FAB3F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-7</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2AD6DAC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33</w:t>
            </w:r>
          </w:p>
        </w:tc>
        <w:tc>
          <w:tcPr>
            <w:tcW w:w="1033" w:type="dxa"/>
            <w:tcBorders>
              <w:top w:val="nil"/>
              <w:bottom w:val="single" w:sz="4" w:space="0" w:color="auto"/>
            </w:tcBorders>
            <w:tcMar>
              <w:top w:w="15" w:type="dxa"/>
              <w:left w:w="15" w:type="dxa"/>
              <w:bottom w:w="0" w:type="dxa"/>
              <w:right w:w="15" w:type="dxa"/>
            </w:tcMar>
            <w:vAlign w:val="center"/>
            <w:hideMark/>
          </w:tcPr>
          <w:p w14:paraId="0F93032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54</w:t>
            </w:r>
          </w:p>
        </w:tc>
        <w:tc>
          <w:tcPr>
            <w:tcW w:w="698" w:type="dxa"/>
            <w:tcBorders>
              <w:top w:val="nil"/>
              <w:bottom w:val="single" w:sz="4" w:space="0" w:color="auto"/>
            </w:tcBorders>
            <w:noWrap/>
            <w:tcMar>
              <w:top w:w="15" w:type="dxa"/>
              <w:left w:w="15" w:type="dxa"/>
              <w:bottom w:w="0" w:type="dxa"/>
              <w:right w:w="15" w:type="dxa"/>
            </w:tcMar>
            <w:vAlign w:val="center"/>
          </w:tcPr>
          <w:p w14:paraId="15ECD9F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21</w:t>
            </w:r>
          </w:p>
        </w:tc>
      </w:tr>
      <w:tr w:rsidR="000322EF" w:rsidRPr="00FE38FD" w14:paraId="47E00430" w14:textId="77777777" w:rsidTr="00B05BE6">
        <w:trPr>
          <w:trHeight w:val="346"/>
        </w:trPr>
        <w:tc>
          <w:tcPr>
            <w:tcW w:w="877" w:type="dxa"/>
            <w:tcBorders>
              <w:top w:val="nil"/>
              <w:bottom w:val="single" w:sz="4" w:space="0" w:color="auto"/>
            </w:tcBorders>
            <w:tcMar>
              <w:top w:w="15" w:type="dxa"/>
              <w:left w:w="15" w:type="dxa"/>
              <w:bottom w:w="0" w:type="dxa"/>
              <w:right w:w="15" w:type="dxa"/>
            </w:tcMar>
            <w:vAlign w:val="center"/>
            <w:hideMark/>
          </w:tcPr>
          <w:p w14:paraId="70EF89A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Kerudi Hospital, Bagalkot</w:t>
            </w:r>
          </w:p>
        </w:tc>
        <w:tc>
          <w:tcPr>
            <w:tcW w:w="1032" w:type="dxa"/>
            <w:tcBorders>
              <w:top w:val="nil"/>
              <w:bottom w:val="single" w:sz="4" w:space="0" w:color="auto"/>
            </w:tcBorders>
            <w:noWrap/>
            <w:tcMar>
              <w:top w:w="15" w:type="dxa"/>
              <w:left w:w="15" w:type="dxa"/>
              <w:bottom w:w="0" w:type="dxa"/>
              <w:right w:w="15" w:type="dxa"/>
            </w:tcMar>
            <w:vAlign w:val="center"/>
            <w:hideMark/>
          </w:tcPr>
          <w:p w14:paraId="3081AE8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41</w:t>
            </w:r>
          </w:p>
        </w:tc>
        <w:tc>
          <w:tcPr>
            <w:tcW w:w="1032" w:type="dxa"/>
            <w:tcBorders>
              <w:top w:val="nil"/>
              <w:bottom w:val="single" w:sz="4" w:space="0" w:color="auto"/>
            </w:tcBorders>
            <w:tcMar>
              <w:top w:w="15" w:type="dxa"/>
              <w:left w:w="15" w:type="dxa"/>
              <w:bottom w:w="0" w:type="dxa"/>
              <w:right w:w="15" w:type="dxa"/>
            </w:tcMar>
            <w:vAlign w:val="center"/>
            <w:hideMark/>
          </w:tcPr>
          <w:p w14:paraId="7A11547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89</w:t>
            </w:r>
          </w:p>
        </w:tc>
        <w:tc>
          <w:tcPr>
            <w:tcW w:w="637" w:type="dxa"/>
            <w:tcBorders>
              <w:top w:val="nil"/>
              <w:bottom w:val="single" w:sz="4" w:space="0" w:color="auto"/>
            </w:tcBorders>
            <w:noWrap/>
            <w:tcMar>
              <w:top w:w="15" w:type="dxa"/>
              <w:left w:w="15" w:type="dxa"/>
              <w:bottom w:w="0" w:type="dxa"/>
              <w:right w:w="15" w:type="dxa"/>
            </w:tcMar>
            <w:vAlign w:val="center"/>
          </w:tcPr>
          <w:p w14:paraId="05E28139"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48</w:t>
            </w:r>
          </w:p>
        </w:tc>
        <w:tc>
          <w:tcPr>
            <w:tcW w:w="1032" w:type="dxa"/>
            <w:tcBorders>
              <w:top w:val="nil"/>
              <w:bottom w:val="single" w:sz="4" w:space="0" w:color="auto"/>
            </w:tcBorders>
            <w:noWrap/>
            <w:tcMar>
              <w:top w:w="15" w:type="dxa"/>
              <w:left w:w="15" w:type="dxa"/>
              <w:bottom w:w="0" w:type="dxa"/>
              <w:right w:w="15" w:type="dxa"/>
            </w:tcMar>
            <w:vAlign w:val="center"/>
            <w:hideMark/>
          </w:tcPr>
          <w:p w14:paraId="5D842479"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63</w:t>
            </w:r>
          </w:p>
        </w:tc>
        <w:tc>
          <w:tcPr>
            <w:tcW w:w="1033" w:type="dxa"/>
            <w:tcBorders>
              <w:top w:val="nil"/>
              <w:bottom w:val="single" w:sz="4" w:space="0" w:color="auto"/>
            </w:tcBorders>
            <w:tcMar>
              <w:top w:w="15" w:type="dxa"/>
              <w:left w:w="15" w:type="dxa"/>
              <w:bottom w:w="0" w:type="dxa"/>
              <w:right w:w="15" w:type="dxa"/>
            </w:tcMar>
            <w:vAlign w:val="center"/>
            <w:hideMark/>
          </w:tcPr>
          <w:p w14:paraId="31781BB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87</w:t>
            </w:r>
          </w:p>
        </w:tc>
        <w:tc>
          <w:tcPr>
            <w:tcW w:w="638" w:type="dxa"/>
            <w:tcBorders>
              <w:top w:val="nil"/>
              <w:bottom w:val="single" w:sz="4" w:space="0" w:color="auto"/>
            </w:tcBorders>
            <w:noWrap/>
            <w:tcMar>
              <w:top w:w="15" w:type="dxa"/>
              <w:left w:w="15" w:type="dxa"/>
              <w:bottom w:w="0" w:type="dxa"/>
              <w:right w:w="15" w:type="dxa"/>
            </w:tcMar>
            <w:vAlign w:val="center"/>
          </w:tcPr>
          <w:p w14:paraId="67CBE23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24</w:t>
            </w:r>
          </w:p>
        </w:tc>
        <w:tc>
          <w:tcPr>
            <w:tcW w:w="1033" w:type="dxa"/>
            <w:tcBorders>
              <w:top w:val="nil"/>
              <w:bottom w:val="single" w:sz="4" w:space="0" w:color="auto"/>
            </w:tcBorders>
            <w:noWrap/>
            <w:tcMar>
              <w:top w:w="15" w:type="dxa"/>
              <w:left w:w="15" w:type="dxa"/>
              <w:bottom w:w="0" w:type="dxa"/>
              <w:right w:w="15" w:type="dxa"/>
            </w:tcMar>
            <w:vAlign w:val="center"/>
            <w:hideMark/>
          </w:tcPr>
          <w:p w14:paraId="13B254A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50</w:t>
            </w:r>
          </w:p>
        </w:tc>
        <w:tc>
          <w:tcPr>
            <w:tcW w:w="1033" w:type="dxa"/>
            <w:tcBorders>
              <w:top w:val="nil"/>
              <w:bottom w:val="single" w:sz="4" w:space="0" w:color="auto"/>
            </w:tcBorders>
            <w:tcMar>
              <w:top w:w="15" w:type="dxa"/>
              <w:left w:w="15" w:type="dxa"/>
              <w:bottom w:w="0" w:type="dxa"/>
              <w:right w:w="15" w:type="dxa"/>
            </w:tcMar>
            <w:vAlign w:val="center"/>
            <w:hideMark/>
          </w:tcPr>
          <w:p w14:paraId="3B66BAD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83</w:t>
            </w:r>
          </w:p>
        </w:tc>
        <w:tc>
          <w:tcPr>
            <w:tcW w:w="659" w:type="dxa"/>
            <w:tcBorders>
              <w:top w:val="nil"/>
              <w:bottom w:val="single" w:sz="4" w:space="0" w:color="auto"/>
            </w:tcBorders>
            <w:noWrap/>
            <w:tcMar>
              <w:top w:w="15" w:type="dxa"/>
              <w:left w:w="15" w:type="dxa"/>
              <w:bottom w:w="0" w:type="dxa"/>
              <w:right w:w="15" w:type="dxa"/>
            </w:tcMar>
            <w:vAlign w:val="center"/>
          </w:tcPr>
          <w:p w14:paraId="6F1A0BE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33</w:t>
            </w:r>
          </w:p>
        </w:tc>
        <w:tc>
          <w:tcPr>
            <w:tcW w:w="1033" w:type="dxa"/>
            <w:tcBorders>
              <w:top w:val="nil"/>
              <w:bottom w:val="single" w:sz="4" w:space="0" w:color="auto"/>
            </w:tcBorders>
            <w:noWrap/>
            <w:tcMar>
              <w:top w:w="15" w:type="dxa"/>
              <w:left w:w="15" w:type="dxa"/>
              <w:bottom w:w="0" w:type="dxa"/>
              <w:right w:w="15" w:type="dxa"/>
            </w:tcMar>
            <w:vAlign w:val="center"/>
            <w:hideMark/>
          </w:tcPr>
          <w:p w14:paraId="5547F2F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50</w:t>
            </w:r>
          </w:p>
        </w:tc>
        <w:tc>
          <w:tcPr>
            <w:tcW w:w="1033" w:type="dxa"/>
            <w:tcBorders>
              <w:top w:val="nil"/>
              <w:bottom w:val="single" w:sz="4" w:space="0" w:color="auto"/>
            </w:tcBorders>
            <w:tcMar>
              <w:top w:w="15" w:type="dxa"/>
              <w:left w:w="15" w:type="dxa"/>
              <w:bottom w:w="0" w:type="dxa"/>
              <w:right w:w="15" w:type="dxa"/>
            </w:tcMar>
            <w:vAlign w:val="center"/>
            <w:hideMark/>
          </w:tcPr>
          <w:p w14:paraId="4441ABC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86</w:t>
            </w:r>
          </w:p>
        </w:tc>
        <w:tc>
          <w:tcPr>
            <w:tcW w:w="637" w:type="dxa"/>
            <w:tcBorders>
              <w:top w:val="nil"/>
              <w:bottom w:val="single" w:sz="4" w:space="0" w:color="auto"/>
            </w:tcBorders>
            <w:noWrap/>
            <w:tcMar>
              <w:top w:w="15" w:type="dxa"/>
              <w:left w:w="15" w:type="dxa"/>
              <w:bottom w:w="0" w:type="dxa"/>
              <w:right w:w="15" w:type="dxa"/>
            </w:tcMar>
            <w:vAlign w:val="center"/>
          </w:tcPr>
          <w:p w14:paraId="2668B3C9"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36</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19C5F77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48</w:t>
            </w:r>
          </w:p>
        </w:tc>
        <w:tc>
          <w:tcPr>
            <w:tcW w:w="1033" w:type="dxa"/>
            <w:tcBorders>
              <w:top w:val="nil"/>
              <w:bottom w:val="single" w:sz="4" w:space="0" w:color="auto"/>
            </w:tcBorders>
            <w:tcMar>
              <w:top w:w="15" w:type="dxa"/>
              <w:left w:w="15" w:type="dxa"/>
              <w:bottom w:w="0" w:type="dxa"/>
              <w:right w:w="15" w:type="dxa"/>
            </w:tcMar>
            <w:vAlign w:val="center"/>
            <w:hideMark/>
          </w:tcPr>
          <w:p w14:paraId="5AB37B1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84</w:t>
            </w:r>
          </w:p>
        </w:tc>
        <w:tc>
          <w:tcPr>
            <w:tcW w:w="698" w:type="dxa"/>
            <w:tcBorders>
              <w:top w:val="nil"/>
              <w:bottom w:val="single" w:sz="4" w:space="0" w:color="auto"/>
            </w:tcBorders>
            <w:noWrap/>
            <w:tcMar>
              <w:top w:w="15" w:type="dxa"/>
              <w:left w:w="15" w:type="dxa"/>
              <w:bottom w:w="0" w:type="dxa"/>
              <w:right w:w="15" w:type="dxa"/>
            </w:tcMar>
            <w:vAlign w:val="center"/>
          </w:tcPr>
          <w:p w14:paraId="328588D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36</w:t>
            </w:r>
          </w:p>
        </w:tc>
      </w:tr>
      <w:tr w:rsidR="000322EF" w:rsidRPr="00FE38FD" w14:paraId="02F565D7" w14:textId="77777777" w:rsidTr="00B05BE6">
        <w:trPr>
          <w:trHeight w:val="272"/>
        </w:trPr>
        <w:tc>
          <w:tcPr>
            <w:tcW w:w="877" w:type="dxa"/>
            <w:tcBorders>
              <w:top w:val="nil"/>
              <w:bottom w:val="single" w:sz="4" w:space="0" w:color="auto"/>
            </w:tcBorders>
            <w:tcMar>
              <w:top w:w="15" w:type="dxa"/>
              <w:left w:w="15" w:type="dxa"/>
              <w:bottom w:w="0" w:type="dxa"/>
              <w:right w:w="15" w:type="dxa"/>
            </w:tcMar>
            <w:vAlign w:val="center"/>
            <w:hideMark/>
          </w:tcPr>
          <w:p w14:paraId="780D7BF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Panimalar Hospital, Chennai</w:t>
            </w:r>
          </w:p>
        </w:tc>
        <w:tc>
          <w:tcPr>
            <w:tcW w:w="1032" w:type="dxa"/>
            <w:tcBorders>
              <w:top w:val="nil"/>
              <w:bottom w:val="single" w:sz="4" w:space="0" w:color="auto"/>
            </w:tcBorders>
            <w:noWrap/>
            <w:tcMar>
              <w:top w:w="15" w:type="dxa"/>
              <w:left w:w="15" w:type="dxa"/>
              <w:bottom w:w="0" w:type="dxa"/>
              <w:right w:w="15" w:type="dxa"/>
            </w:tcMar>
            <w:vAlign w:val="center"/>
            <w:hideMark/>
          </w:tcPr>
          <w:p w14:paraId="385A1E2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49</w:t>
            </w:r>
          </w:p>
        </w:tc>
        <w:tc>
          <w:tcPr>
            <w:tcW w:w="1032" w:type="dxa"/>
            <w:tcBorders>
              <w:top w:val="nil"/>
              <w:bottom w:val="single" w:sz="4" w:space="0" w:color="auto"/>
            </w:tcBorders>
            <w:tcMar>
              <w:top w:w="15" w:type="dxa"/>
              <w:left w:w="15" w:type="dxa"/>
              <w:bottom w:w="0" w:type="dxa"/>
              <w:right w:w="15" w:type="dxa"/>
            </w:tcMar>
            <w:vAlign w:val="center"/>
            <w:hideMark/>
          </w:tcPr>
          <w:p w14:paraId="7443B39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73</w:t>
            </w:r>
          </w:p>
        </w:tc>
        <w:tc>
          <w:tcPr>
            <w:tcW w:w="637" w:type="dxa"/>
            <w:tcBorders>
              <w:top w:val="nil"/>
              <w:bottom w:val="single" w:sz="4" w:space="0" w:color="auto"/>
            </w:tcBorders>
            <w:noWrap/>
            <w:tcMar>
              <w:top w:w="15" w:type="dxa"/>
              <w:left w:w="15" w:type="dxa"/>
              <w:bottom w:w="0" w:type="dxa"/>
              <w:right w:w="15" w:type="dxa"/>
            </w:tcMar>
            <w:vAlign w:val="center"/>
          </w:tcPr>
          <w:p w14:paraId="644D26C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24</w:t>
            </w:r>
          </w:p>
        </w:tc>
        <w:tc>
          <w:tcPr>
            <w:tcW w:w="1032" w:type="dxa"/>
            <w:tcBorders>
              <w:top w:val="nil"/>
              <w:bottom w:val="single" w:sz="4" w:space="0" w:color="auto"/>
            </w:tcBorders>
            <w:noWrap/>
            <w:tcMar>
              <w:top w:w="15" w:type="dxa"/>
              <w:left w:w="15" w:type="dxa"/>
              <w:bottom w:w="0" w:type="dxa"/>
              <w:right w:w="15" w:type="dxa"/>
            </w:tcMar>
            <w:vAlign w:val="center"/>
            <w:hideMark/>
          </w:tcPr>
          <w:p w14:paraId="7ED6985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57</w:t>
            </w:r>
          </w:p>
        </w:tc>
        <w:tc>
          <w:tcPr>
            <w:tcW w:w="1033" w:type="dxa"/>
            <w:tcBorders>
              <w:top w:val="nil"/>
              <w:bottom w:val="single" w:sz="4" w:space="0" w:color="auto"/>
            </w:tcBorders>
            <w:tcMar>
              <w:top w:w="15" w:type="dxa"/>
              <w:left w:w="15" w:type="dxa"/>
              <w:bottom w:w="0" w:type="dxa"/>
              <w:right w:w="15" w:type="dxa"/>
            </w:tcMar>
            <w:vAlign w:val="center"/>
            <w:hideMark/>
          </w:tcPr>
          <w:p w14:paraId="099FCE01"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89</w:t>
            </w:r>
          </w:p>
        </w:tc>
        <w:tc>
          <w:tcPr>
            <w:tcW w:w="638" w:type="dxa"/>
            <w:tcBorders>
              <w:top w:val="nil"/>
              <w:bottom w:val="single" w:sz="4" w:space="0" w:color="auto"/>
            </w:tcBorders>
            <w:noWrap/>
            <w:tcMar>
              <w:top w:w="15" w:type="dxa"/>
              <w:left w:w="15" w:type="dxa"/>
              <w:bottom w:w="0" w:type="dxa"/>
              <w:right w:w="15" w:type="dxa"/>
            </w:tcMar>
            <w:vAlign w:val="center"/>
          </w:tcPr>
          <w:p w14:paraId="52AEA20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32</w:t>
            </w:r>
          </w:p>
        </w:tc>
        <w:tc>
          <w:tcPr>
            <w:tcW w:w="1033" w:type="dxa"/>
            <w:tcBorders>
              <w:top w:val="nil"/>
              <w:bottom w:val="single" w:sz="4" w:space="0" w:color="auto"/>
            </w:tcBorders>
            <w:noWrap/>
            <w:tcMar>
              <w:top w:w="15" w:type="dxa"/>
              <w:left w:w="15" w:type="dxa"/>
              <w:bottom w:w="0" w:type="dxa"/>
              <w:right w:w="15" w:type="dxa"/>
            </w:tcMar>
            <w:vAlign w:val="center"/>
            <w:hideMark/>
          </w:tcPr>
          <w:p w14:paraId="108BB49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57</w:t>
            </w:r>
          </w:p>
        </w:tc>
        <w:tc>
          <w:tcPr>
            <w:tcW w:w="1033" w:type="dxa"/>
            <w:tcBorders>
              <w:top w:val="nil"/>
              <w:bottom w:val="single" w:sz="4" w:space="0" w:color="auto"/>
            </w:tcBorders>
            <w:tcMar>
              <w:top w:w="15" w:type="dxa"/>
              <w:left w:w="15" w:type="dxa"/>
              <w:bottom w:w="0" w:type="dxa"/>
              <w:right w:w="15" w:type="dxa"/>
            </w:tcMar>
            <w:vAlign w:val="center"/>
            <w:hideMark/>
          </w:tcPr>
          <w:p w14:paraId="5A9B3BC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659" w:type="dxa"/>
            <w:tcBorders>
              <w:top w:val="nil"/>
              <w:bottom w:val="single" w:sz="4" w:space="0" w:color="auto"/>
            </w:tcBorders>
            <w:noWrap/>
            <w:tcMar>
              <w:top w:w="15" w:type="dxa"/>
              <w:left w:w="15" w:type="dxa"/>
              <w:bottom w:w="0" w:type="dxa"/>
              <w:right w:w="15" w:type="dxa"/>
            </w:tcMar>
            <w:vAlign w:val="center"/>
          </w:tcPr>
          <w:p w14:paraId="1051FD7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33</w:t>
            </w:r>
          </w:p>
        </w:tc>
        <w:tc>
          <w:tcPr>
            <w:tcW w:w="1033" w:type="dxa"/>
            <w:tcBorders>
              <w:top w:val="nil"/>
              <w:bottom w:val="single" w:sz="4" w:space="0" w:color="auto"/>
            </w:tcBorders>
            <w:noWrap/>
            <w:tcMar>
              <w:top w:w="15" w:type="dxa"/>
              <w:left w:w="15" w:type="dxa"/>
              <w:bottom w:w="0" w:type="dxa"/>
              <w:right w:w="15" w:type="dxa"/>
            </w:tcMar>
            <w:vAlign w:val="center"/>
            <w:hideMark/>
          </w:tcPr>
          <w:p w14:paraId="3476925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57</w:t>
            </w:r>
          </w:p>
        </w:tc>
        <w:tc>
          <w:tcPr>
            <w:tcW w:w="1033" w:type="dxa"/>
            <w:tcBorders>
              <w:top w:val="nil"/>
              <w:bottom w:val="single" w:sz="4" w:space="0" w:color="auto"/>
            </w:tcBorders>
            <w:tcMar>
              <w:top w:w="15" w:type="dxa"/>
              <w:left w:w="15" w:type="dxa"/>
              <w:bottom w:w="0" w:type="dxa"/>
              <w:right w:w="15" w:type="dxa"/>
            </w:tcMar>
            <w:vAlign w:val="center"/>
            <w:hideMark/>
          </w:tcPr>
          <w:p w14:paraId="43D88C4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86</w:t>
            </w:r>
          </w:p>
        </w:tc>
        <w:tc>
          <w:tcPr>
            <w:tcW w:w="637" w:type="dxa"/>
            <w:tcBorders>
              <w:top w:val="nil"/>
              <w:bottom w:val="single" w:sz="4" w:space="0" w:color="auto"/>
            </w:tcBorders>
            <w:noWrap/>
            <w:tcMar>
              <w:top w:w="15" w:type="dxa"/>
              <w:left w:w="15" w:type="dxa"/>
              <w:bottom w:w="0" w:type="dxa"/>
              <w:right w:w="15" w:type="dxa"/>
            </w:tcMar>
            <w:vAlign w:val="center"/>
          </w:tcPr>
          <w:p w14:paraId="6589C7D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29</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71C3A930"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46</w:t>
            </w:r>
          </w:p>
        </w:tc>
        <w:tc>
          <w:tcPr>
            <w:tcW w:w="1033" w:type="dxa"/>
            <w:tcBorders>
              <w:top w:val="nil"/>
              <w:bottom w:val="single" w:sz="4" w:space="0" w:color="auto"/>
            </w:tcBorders>
            <w:tcMar>
              <w:top w:w="15" w:type="dxa"/>
              <w:left w:w="15" w:type="dxa"/>
              <w:bottom w:w="0" w:type="dxa"/>
              <w:right w:w="15" w:type="dxa"/>
            </w:tcMar>
            <w:vAlign w:val="center"/>
            <w:hideMark/>
          </w:tcPr>
          <w:p w14:paraId="7A3E97D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83</w:t>
            </w:r>
          </w:p>
        </w:tc>
        <w:tc>
          <w:tcPr>
            <w:tcW w:w="698" w:type="dxa"/>
            <w:tcBorders>
              <w:top w:val="nil"/>
              <w:bottom w:val="single" w:sz="4" w:space="0" w:color="auto"/>
            </w:tcBorders>
            <w:noWrap/>
            <w:tcMar>
              <w:top w:w="15" w:type="dxa"/>
              <w:left w:w="15" w:type="dxa"/>
              <w:bottom w:w="0" w:type="dxa"/>
              <w:right w:w="15" w:type="dxa"/>
            </w:tcMar>
            <w:vAlign w:val="center"/>
          </w:tcPr>
          <w:p w14:paraId="4E53E141"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37</w:t>
            </w:r>
          </w:p>
        </w:tc>
      </w:tr>
      <w:tr w:rsidR="000322EF" w:rsidRPr="00FE38FD" w14:paraId="22DE01D4" w14:textId="77777777" w:rsidTr="00B05BE6">
        <w:trPr>
          <w:trHeight w:val="1230"/>
        </w:trPr>
        <w:tc>
          <w:tcPr>
            <w:tcW w:w="877" w:type="dxa"/>
            <w:tcBorders>
              <w:top w:val="nil"/>
              <w:bottom w:val="single" w:sz="4" w:space="0" w:color="auto"/>
            </w:tcBorders>
            <w:tcMar>
              <w:top w:w="15" w:type="dxa"/>
              <w:left w:w="15" w:type="dxa"/>
              <w:bottom w:w="0" w:type="dxa"/>
              <w:right w:w="15" w:type="dxa"/>
            </w:tcMar>
            <w:vAlign w:val="center"/>
            <w:hideMark/>
          </w:tcPr>
          <w:p w14:paraId="1B5099D0"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MGM Hospital, Navi Mumbai</w:t>
            </w:r>
          </w:p>
        </w:tc>
        <w:tc>
          <w:tcPr>
            <w:tcW w:w="1032" w:type="dxa"/>
            <w:tcBorders>
              <w:top w:val="nil"/>
              <w:bottom w:val="single" w:sz="4" w:space="0" w:color="auto"/>
            </w:tcBorders>
            <w:noWrap/>
            <w:tcMar>
              <w:top w:w="15" w:type="dxa"/>
              <w:left w:w="15" w:type="dxa"/>
              <w:bottom w:w="0" w:type="dxa"/>
              <w:right w:w="15" w:type="dxa"/>
            </w:tcMar>
            <w:vAlign w:val="center"/>
            <w:hideMark/>
          </w:tcPr>
          <w:p w14:paraId="7E29769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84</w:t>
            </w:r>
          </w:p>
        </w:tc>
        <w:tc>
          <w:tcPr>
            <w:tcW w:w="1032" w:type="dxa"/>
            <w:tcBorders>
              <w:top w:val="nil"/>
              <w:bottom w:val="single" w:sz="4" w:space="0" w:color="auto"/>
            </w:tcBorders>
            <w:tcMar>
              <w:top w:w="15" w:type="dxa"/>
              <w:left w:w="15" w:type="dxa"/>
              <w:bottom w:w="0" w:type="dxa"/>
              <w:right w:w="15" w:type="dxa"/>
            </w:tcMar>
            <w:vAlign w:val="center"/>
            <w:hideMark/>
          </w:tcPr>
          <w:p w14:paraId="17B747E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93</w:t>
            </w:r>
          </w:p>
        </w:tc>
        <w:tc>
          <w:tcPr>
            <w:tcW w:w="637" w:type="dxa"/>
            <w:tcBorders>
              <w:top w:val="nil"/>
              <w:bottom w:val="single" w:sz="4" w:space="0" w:color="auto"/>
            </w:tcBorders>
            <w:noWrap/>
            <w:tcMar>
              <w:top w:w="15" w:type="dxa"/>
              <w:left w:w="15" w:type="dxa"/>
              <w:bottom w:w="0" w:type="dxa"/>
              <w:right w:w="15" w:type="dxa"/>
            </w:tcMar>
            <w:vAlign w:val="center"/>
          </w:tcPr>
          <w:p w14:paraId="6D4E9361"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w:t>
            </w:r>
          </w:p>
        </w:tc>
        <w:tc>
          <w:tcPr>
            <w:tcW w:w="1032" w:type="dxa"/>
            <w:tcBorders>
              <w:top w:val="nil"/>
              <w:bottom w:val="single" w:sz="4" w:space="0" w:color="auto"/>
            </w:tcBorders>
            <w:noWrap/>
            <w:tcMar>
              <w:top w:w="15" w:type="dxa"/>
              <w:left w:w="15" w:type="dxa"/>
              <w:bottom w:w="0" w:type="dxa"/>
              <w:right w:w="15" w:type="dxa"/>
            </w:tcMar>
            <w:vAlign w:val="center"/>
            <w:hideMark/>
          </w:tcPr>
          <w:p w14:paraId="7A78D2F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83</w:t>
            </w:r>
          </w:p>
        </w:tc>
        <w:tc>
          <w:tcPr>
            <w:tcW w:w="1033" w:type="dxa"/>
            <w:tcBorders>
              <w:top w:val="nil"/>
              <w:bottom w:val="single" w:sz="4" w:space="0" w:color="auto"/>
            </w:tcBorders>
            <w:tcMar>
              <w:top w:w="15" w:type="dxa"/>
              <w:left w:w="15" w:type="dxa"/>
              <w:bottom w:w="0" w:type="dxa"/>
              <w:right w:w="15" w:type="dxa"/>
            </w:tcMar>
            <w:vAlign w:val="center"/>
            <w:hideMark/>
          </w:tcPr>
          <w:p w14:paraId="084343B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93</w:t>
            </w:r>
          </w:p>
        </w:tc>
        <w:tc>
          <w:tcPr>
            <w:tcW w:w="638" w:type="dxa"/>
            <w:tcBorders>
              <w:top w:val="nil"/>
              <w:bottom w:val="single" w:sz="4" w:space="0" w:color="auto"/>
            </w:tcBorders>
            <w:noWrap/>
            <w:tcMar>
              <w:top w:w="15" w:type="dxa"/>
              <w:left w:w="15" w:type="dxa"/>
              <w:bottom w:w="0" w:type="dxa"/>
              <w:right w:w="15" w:type="dxa"/>
            </w:tcMar>
            <w:vAlign w:val="center"/>
          </w:tcPr>
          <w:p w14:paraId="1788F36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w:t>
            </w:r>
          </w:p>
        </w:tc>
        <w:tc>
          <w:tcPr>
            <w:tcW w:w="1033" w:type="dxa"/>
            <w:tcBorders>
              <w:top w:val="nil"/>
              <w:bottom w:val="single" w:sz="4" w:space="0" w:color="auto"/>
            </w:tcBorders>
            <w:noWrap/>
            <w:tcMar>
              <w:top w:w="15" w:type="dxa"/>
              <w:left w:w="15" w:type="dxa"/>
              <w:bottom w:w="0" w:type="dxa"/>
              <w:right w:w="15" w:type="dxa"/>
            </w:tcMar>
            <w:vAlign w:val="center"/>
            <w:hideMark/>
          </w:tcPr>
          <w:p w14:paraId="7BEDC9C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93</w:t>
            </w:r>
          </w:p>
        </w:tc>
        <w:tc>
          <w:tcPr>
            <w:tcW w:w="1033" w:type="dxa"/>
            <w:tcBorders>
              <w:top w:val="nil"/>
              <w:bottom w:val="single" w:sz="4" w:space="0" w:color="auto"/>
            </w:tcBorders>
            <w:tcMar>
              <w:top w:w="15" w:type="dxa"/>
              <w:left w:w="15" w:type="dxa"/>
              <w:bottom w:w="0" w:type="dxa"/>
              <w:right w:w="15" w:type="dxa"/>
            </w:tcMar>
            <w:vAlign w:val="center"/>
            <w:hideMark/>
          </w:tcPr>
          <w:p w14:paraId="6C627C3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93</w:t>
            </w:r>
          </w:p>
        </w:tc>
        <w:tc>
          <w:tcPr>
            <w:tcW w:w="659" w:type="dxa"/>
            <w:tcBorders>
              <w:top w:val="nil"/>
              <w:bottom w:val="single" w:sz="4" w:space="0" w:color="auto"/>
            </w:tcBorders>
            <w:noWrap/>
            <w:tcMar>
              <w:top w:w="15" w:type="dxa"/>
              <w:left w:w="15" w:type="dxa"/>
              <w:bottom w:w="0" w:type="dxa"/>
              <w:right w:w="15" w:type="dxa"/>
            </w:tcMar>
            <w:vAlign w:val="center"/>
          </w:tcPr>
          <w:p w14:paraId="1944D26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0</w:t>
            </w:r>
          </w:p>
        </w:tc>
        <w:tc>
          <w:tcPr>
            <w:tcW w:w="1033" w:type="dxa"/>
            <w:tcBorders>
              <w:top w:val="nil"/>
              <w:bottom w:val="single" w:sz="4" w:space="0" w:color="auto"/>
            </w:tcBorders>
            <w:noWrap/>
            <w:tcMar>
              <w:top w:w="15" w:type="dxa"/>
              <w:left w:w="15" w:type="dxa"/>
              <w:bottom w:w="0" w:type="dxa"/>
              <w:right w:w="15" w:type="dxa"/>
            </w:tcMar>
            <w:vAlign w:val="center"/>
            <w:hideMark/>
          </w:tcPr>
          <w:p w14:paraId="004893B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83</w:t>
            </w:r>
          </w:p>
        </w:tc>
        <w:tc>
          <w:tcPr>
            <w:tcW w:w="1033" w:type="dxa"/>
            <w:tcBorders>
              <w:top w:val="nil"/>
              <w:bottom w:val="single" w:sz="4" w:space="0" w:color="auto"/>
            </w:tcBorders>
            <w:tcMar>
              <w:top w:w="15" w:type="dxa"/>
              <w:left w:w="15" w:type="dxa"/>
              <w:bottom w:w="0" w:type="dxa"/>
              <w:right w:w="15" w:type="dxa"/>
            </w:tcMar>
            <w:vAlign w:val="center"/>
            <w:hideMark/>
          </w:tcPr>
          <w:p w14:paraId="7B575BDF"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85</w:t>
            </w:r>
          </w:p>
        </w:tc>
        <w:tc>
          <w:tcPr>
            <w:tcW w:w="637" w:type="dxa"/>
            <w:tcBorders>
              <w:top w:val="nil"/>
              <w:bottom w:val="single" w:sz="4" w:space="0" w:color="auto"/>
            </w:tcBorders>
            <w:noWrap/>
            <w:tcMar>
              <w:top w:w="15" w:type="dxa"/>
              <w:left w:w="15" w:type="dxa"/>
              <w:bottom w:w="0" w:type="dxa"/>
              <w:right w:w="15" w:type="dxa"/>
            </w:tcMar>
            <w:vAlign w:val="center"/>
          </w:tcPr>
          <w:p w14:paraId="616C610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15D39B9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83</w:t>
            </w:r>
          </w:p>
        </w:tc>
        <w:tc>
          <w:tcPr>
            <w:tcW w:w="1033" w:type="dxa"/>
            <w:tcBorders>
              <w:top w:val="nil"/>
              <w:bottom w:val="single" w:sz="4" w:space="0" w:color="auto"/>
            </w:tcBorders>
            <w:tcMar>
              <w:top w:w="15" w:type="dxa"/>
              <w:left w:w="15" w:type="dxa"/>
              <w:bottom w:w="0" w:type="dxa"/>
              <w:right w:w="15" w:type="dxa"/>
            </w:tcMar>
            <w:vAlign w:val="center"/>
            <w:hideMark/>
          </w:tcPr>
          <w:p w14:paraId="7203E8D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80</w:t>
            </w:r>
          </w:p>
        </w:tc>
        <w:tc>
          <w:tcPr>
            <w:tcW w:w="698" w:type="dxa"/>
            <w:tcBorders>
              <w:top w:val="nil"/>
              <w:bottom w:val="single" w:sz="4" w:space="0" w:color="auto"/>
            </w:tcBorders>
            <w:noWrap/>
            <w:tcMar>
              <w:top w:w="15" w:type="dxa"/>
              <w:left w:w="15" w:type="dxa"/>
              <w:bottom w:w="0" w:type="dxa"/>
              <w:right w:w="15" w:type="dxa"/>
            </w:tcMar>
            <w:vAlign w:val="center"/>
          </w:tcPr>
          <w:p w14:paraId="1B08277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w:t>
            </w:r>
          </w:p>
        </w:tc>
      </w:tr>
      <w:tr w:rsidR="000322EF" w:rsidRPr="00FE38FD" w14:paraId="69470B60" w14:textId="77777777" w:rsidTr="00B05BE6">
        <w:trPr>
          <w:trHeight w:val="65"/>
        </w:trPr>
        <w:tc>
          <w:tcPr>
            <w:tcW w:w="877" w:type="dxa"/>
            <w:tcBorders>
              <w:top w:val="nil"/>
              <w:bottom w:val="single" w:sz="4" w:space="0" w:color="auto"/>
            </w:tcBorders>
            <w:tcMar>
              <w:top w:w="15" w:type="dxa"/>
              <w:left w:w="15" w:type="dxa"/>
              <w:bottom w:w="0" w:type="dxa"/>
              <w:right w:w="15" w:type="dxa"/>
            </w:tcMar>
            <w:vAlign w:val="center"/>
            <w:hideMark/>
          </w:tcPr>
          <w:p w14:paraId="39F8EB7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lastRenderedPageBreak/>
              <w:t>Bansal Hospital, Bhopal</w:t>
            </w:r>
          </w:p>
        </w:tc>
        <w:tc>
          <w:tcPr>
            <w:tcW w:w="1032" w:type="dxa"/>
            <w:tcBorders>
              <w:top w:val="nil"/>
              <w:bottom w:val="single" w:sz="4" w:space="0" w:color="auto"/>
            </w:tcBorders>
            <w:noWrap/>
            <w:tcMar>
              <w:top w:w="15" w:type="dxa"/>
              <w:left w:w="15" w:type="dxa"/>
              <w:bottom w:w="0" w:type="dxa"/>
              <w:right w:w="15" w:type="dxa"/>
            </w:tcMar>
            <w:vAlign w:val="center"/>
            <w:hideMark/>
          </w:tcPr>
          <w:p w14:paraId="1D6D4E8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96</w:t>
            </w:r>
          </w:p>
        </w:tc>
        <w:tc>
          <w:tcPr>
            <w:tcW w:w="1032" w:type="dxa"/>
            <w:tcBorders>
              <w:top w:val="nil"/>
              <w:bottom w:val="single" w:sz="4" w:space="0" w:color="auto"/>
            </w:tcBorders>
            <w:tcMar>
              <w:top w:w="15" w:type="dxa"/>
              <w:left w:w="15" w:type="dxa"/>
              <w:bottom w:w="0" w:type="dxa"/>
              <w:right w:w="15" w:type="dxa"/>
            </w:tcMar>
            <w:vAlign w:val="center"/>
            <w:hideMark/>
          </w:tcPr>
          <w:p w14:paraId="056B64C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89</w:t>
            </w:r>
          </w:p>
        </w:tc>
        <w:tc>
          <w:tcPr>
            <w:tcW w:w="637" w:type="dxa"/>
            <w:tcBorders>
              <w:top w:val="nil"/>
              <w:bottom w:val="single" w:sz="4" w:space="0" w:color="auto"/>
            </w:tcBorders>
            <w:noWrap/>
            <w:tcMar>
              <w:top w:w="15" w:type="dxa"/>
              <w:left w:w="15" w:type="dxa"/>
              <w:bottom w:w="0" w:type="dxa"/>
              <w:right w:w="15" w:type="dxa"/>
            </w:tcMar>
            <w:vAlign w:val="center"/>
          </w:tcPr>
          <w:p w14:paraId="0405A27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-7</w:t>
            </w:r>
          </w:p>
        </w:tc>
        <w:tc>
          <w:tcPr>
            <w:tcW w:w="1032" w:type="dxa"/>
            <w:tcBorders>
              <w:top w:val="nil"/>
              <w:bottom w:val="single" w:sz="4" w:space="0" w:color="auto"/>
            </w:tcBorders>
            <w:noWrap/>
            <w:tcMar>
              <w:top w:w="15" w:type="dxa"/>
              <w:left w:w="15" w:type="dxa"/>
              <w:bottom w:w="0" w:type="dxa"/>
              <w:right w:w="15" w:type="dxa"/>
            </w:tcMar>
            <w:vAlign w:val="center"/>
            <w:hideMark/>
          </w:tcPr>
          <w:p w14:paraId="6736CBA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1033" w:type="dxa"/>
            <w:tcBorders>
              <w:top w:val="nil"/>
              <w:bottom w:val="single" w:sz="4" w:space="0" w:color="auto"/>
            </w:tcBorders>
            <w:tcMar>
              <w:top w:w="15" w:type="dxa"/>
              <w:left w:w="15" w:type="dxa"/>
              <w:bottom w:w="0" w:type="dxa"/>
              <w:right w:w="15" w:type="dxa"/>
            </w:tcMar>
            <w:vAlign w:val="center"/>
            <w:hideMark/>
          </w:tcPr>
          <w:p w14:paraId="3C30B63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86</w:t>
            </w:r>
          </w:p>
        </w:tc>
        <w:tc>
          <w:tcPr>
            <w:tcW w:w="638" w:type="dxa"/>
            <w:tcBorders>
              <w:top w:val="nil"/>
              <w:bottom w:val="single" w:sz="4" w:space="0" w:color="auto"/>
            </w:tcBorders>
            <w:noWrap/>
            <w:tcMar>
              <w:top w:w="15" w:type="dxa"/>
              <w:left w:w="15" w:type="dxa"/>
              <w:bottom w:w="0" w:type="dxa"/>
              <w:right w:w="15" w:type="dxa"/>
            </w:tcMar>
            <w:vAlign w:val="center"/>
          </w:tcPr>
          <w:p w14:paraId="33CC2ECF"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w:t>
            </w:r>
          </w:p>
        </w:tc>
        <w:tc>
          <w:tcPr>
            <w:tcW w:w="1033" w:type="dxa"/>
            <w:tcBorders>
              <w:top w:val="nil"/>
              <w:bottom w:val="single" w:sz="4" w:space="0" w:color="auto"/>
            </w:tcBorders>
            <w:noWrap/>
            <w:tcMar>
              <w:top w:w="15" w:type="dxa"/>
              <w:left w:w="15" w:type="dxa"/>
              <w:bottom w:w="0" w:type="dxa"/>
              <w:right w:w="15" w:type="dxa"/>
            </w:tcMar>
            <w:vAlign w:val="center"/>
            <w:hideMark/>
          </w:tcPr>
          <w:p w14:paraId="3B2C7D3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98</w:t>
            </w:r>
          </w:p>
        </w:tc>
        <w:tc>
          <w:tcPr>
            <w:tcW w:w="1033" w:type="dxa"/>
            <w:tcBorders>
              <w:top w:val="nil"/>
              <w:bottom w:val="single" w:sz="4" w:space="0" w:color="auto"/>
            </w:tcBorders>
            <w:noWrap/>
            <w:tcMar>
              <w:top w:w="15" w:type="dxa"/>
              <w:left w:w="15" w:type="dxa"/>
              <w:bottom w:w="0" w:type="dxa"/>
              <w:right w:w="15" w:type="dxa"/>
            </w:tcMar>
            <w:vAlign w:val="center"/>
            <w:hideMark/>
          </w:tcPr>
          <w:p w14:paraId="34CC5B6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98</w:t>
            </w:r>
          </w:p>
        </w:tc>
        <w:tc>
          <w:tcPr>
            <w:tcW w:w="659" w:type="dxa"/>
            <w:tcBorders>
              <w:top w:val="nil"/>
              <w:bottom w:val="single" w:sz="4" w:space="0" w:color="auto"/>
            </w:tcBorders>
            <w:noWrap/>
            <w:tcMar>
              <w:top w:w="15" w:type="dxa"/>
              <w:left w:w="15" w:type="dxa"/>
              <w:bottom w:w="0" w:type="dxa"/>
              <w:right w:w="15" w:type="dxa"/>
            </w:tcMar>
            <w:vAlign w:val="center"/>
          </w:tcPr>
          <w:p w14:paraId="1EDC6A7F"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0</w:t>
            </w:r>
          </w:p>
        </w:tc>
        <w:tc>
          <w:tcPr>
            <w:tcW w:w="1033" w:type="dxa"/>
            <w:tcBorders>
              <w:top w:val="nil"/>
              <w:bottom w:val="single" w:sz="4" w:space="0" w:color="auto"/>
            </w:tcBorders>
            <w:noWrap/>
            <w:tcMar>
              <w:top w:w="15" w:type="dxa"/>
              <w:left w:w="15" w:type="dxa"/>
              <w:bottom w:w="0" w:type="dxa"/>
              <w:right w:w="15" w:type="dxa"/>
            </w:tcMar>
            <w:vAlign w:val="center"/>
            <w:hideMark/>
          </w:tcPr>
          <w:p w14:paraId="08EE545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96</w:t>
            </w:r>
          </w:p>
        </w:tc>
        <w:tc>
          <w:tcPr>
            <w:tcW w:w="1033" w:type="dxa"/>
            <w:tcBorders>
              <w:top w:val="nil"/>
              <w:bottom w:val="single" w:sz="4" w:space="0" w:color="auto"/>
            </w:tcBorders>
            <w:noWrap/>
            <w:tcMar>
              <w:top w:w="15" w:type="dxa"/>
              <w:left w:w="15" w:type="dxa"/>
              <w:bottom w:w="0" w:type="dxa"/>
              <w:right w:w="15" w:type="dxa"/>
            </w:tcMar>
            <w:vAlign w:val="center"/>
            <w:hideMark/>
          </w:tcPr>
          <w:p w14:paraId="3A257A86"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100</w:t>
            </w:r>
          </w:p>
        </w:tc>
        <w:tc>
          <w:tcPr>
            <w:tcW w:w="637" w:type="dxa"/>
            <w:tcBorders>
              <w:top w:val="nil"/>
              <w:bottom w:val="single" w:sz="4" w:space="0" w:color="auto"/>
            </w:tcBorders>
            <w:noWrap/>
            <w:tcMar>
              <w:top w:w="15" w:type="dxa"/>
              <w:left w:w="15" w:type="dxa"/>
              <w:bottom w:w="0" w:type="dxa"/>
              <w:right w:w="15" w:type="dxa"/>
            </w:tcMar>
            <w:vAlign w:val="center"/>
          </w:tcPr>
          <w:p w14:paraId="4ADA2B0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2EB1051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95</w:t>
            </w:r>
          </w:p>
        </w:tc>
        <w:tc>
          <w:tcPr>
            <w:tcW w:w="1033" w:type="dxa"/>
            <w:tcBorders>
              <w:top w:val="nil"/>
              <w:bottom w:val="single" w:sz="4" w:space="0" w:color="auto"/>
            </w:tcBorders>
            <w:noWrap/>
            <w:tcMar>
              <w:top w:w="15" w:type="dxa"/>
              <w:left w:w="15" w:type="dxa"/>
              <w:bottom w:w="0" w:type="dxa"/>
              <w:right w:w="15" w:type="dxa"/>
            </w:tcMar>
            <w:vAlign w:val="center"/>
            <w:hideMark/>
          </w:tcPr>
          <w:p w14:paraId="581DAFA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83</w:t>
            </w:r>
          </w:p>
        </w:tc>
        <w:tc>
          <w:tcPr>
            <w:tcW w:w="698" w:type="dxa"/>
            <w:tcBorders>
              <w:top w:val="nil"/>
              <w:bottom w:val="single" w:sz="4" w:space="0" w:color="auto"/>
            </w:tcBorders>
            <w:noWrap/>
            <w:tcMar>
              <w:top w:w="15" w:type="dxa"/>
              <w:left w:w="15" w:type="dxa"/>
              <w:bottom w:w="0" w:type="dxa"/>
              <w:right w:w="15" w:type="dxa"/>
            </w:tcMar>
            <w:vAlign w:val="center"/>
          </w:tcPr>
          <w:p w14:paraId="05E97C0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-12</w:t>
            </w:r>
          </w:p>
        </w:tc>
      </w:tr>
      <w:tr w:rsidR="000322EF" w:rsidRPr="00FE38FD" w14:paraId="1FD7252C" w14:textId="77777777" w:rsidTr="00B05BE6">
        <w:trPr>
          <w:trHeight w:val="65"/>
        </w:trPr>
        <w:tc>
          <w:tcPr>
            <w:tcW w:w="877" w:type="dxa"/>
            <w:tcBorders>
              <w:top w:val="nil"/>
              <w:bottom w:val="single" w:sz="4" w:space="0" w:color="auto"/>
            </w:tcBorders>
            <w:tcMar>
              <w:top w:w="15" w:type="dxa"/>
              <w:left w:w="15" w:type="dxa"/>
              <w:bottom w:w="0" w:type="dxa"/>
              <w:right w:w="15" w:type="dxa"/>
            </w:tcMar>
            <w:vAlign w:val="center"/>
            <w:hideMark/>
          </w:tcPr>
          <w:p w14:paraId="658C59FC"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Venus Hospital, Surat</w:t>
            </w:r>
          </w:p>
        </w:tc>
        <w:tc>
          <w:tcPr>
            <w:tcW w:w="1032" w:type="dxa"/>
            <w:tcBorders>
              <w:top w:val="nil"/>
              <w:bottom w:val="single" w:sz="4" w:space="0" w:color="auto"/>
            </w:tcBorders>
            <w:noWrap/>
            <w:tcMar>
              <w:top w:w="15" w:type="dxa"/>
              <w:left w:w="15" w:type="dxa"/>
              <w:bottom w:w="0" w:type="dxa"/>
              <w:right w:w="15" w:type="dxa"/>
            </w:tcMar>
            <w:vAlign w:val="center"/>
            <w:hideMark/>
          </w:tcPr>
          <w:p w14:paraId="5464F8E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66</w:t>
            </w:r>
          </w:p>
        </w:tc>
        <w:tc>
          <w:tcPr>
            <w:tcW w:w="1032" w:type="dxa"/>
            <w:tcBorders>
              <w:top w:val="nil"/>
              <w:bottom w:val="single" w:sz="4" w:space="0" w:color="auto"/>
            </w:tcBorders>
            <w:tcMar>
              <w:top w:w="15" w:type="dxa"/>
              <w:left w:w="15" w:type="dxa"/>
              <w:bottom w:w="0" w:type="dxa"/>
              <w:right w:w="15" w:type="dxa"/>
            </w:tcMar>
            <w:vAlign w:val="center"/>
            <w:hideMark/>
          </w:tcPr>
          <w:p w14:paraId="40ADA66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91</w:t>
            </w:r>
          </w:p>
        </w:tc>
        <w:tc>
          <w:tcPr>
            <w:tcW w:w="637" w:type="dxa"/>
            <w:tcBorders>
              <w:top w:val="nil"/>
              <w:bottom w:val="single" w:sz="4" w:space="0" w:color="auto"/>
            </w:tcBorders>
            <w:noWrap/>
            <w:tcMar>
              <w:top w:w="15" w:type="dxa"/>
              <w:left w:w="15" w:type="dxa"/>
              <w:bottom w:w="0" w:type="dxa"/>
              <w:right w:w="15" w:type="dxa"/>
            </w:tcMar>
            <w:vAlign w:val="center"/>
          </w:tcPr>
          <w:p w14:paraId="60D4F01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25</w:t>
            </w:r>
          </w:p>
        </w:tc>
        <w:tc>
          <w:tcPr>
            <w:tcW w:w="1032" w:type="dxa"/>
            <w:tcBorders>
              <w:top w:val="nil"/>
              <w:bottom w:val="single" w:sz="4" w:space="0" w:color="auto"/>
            </w:tcBorders>
            <w:noWrap/>
            <w:tcMar>
              <w:top w:w="15" w:type="dxa"/>
              <w:left w:w="15" w:type="dxa"/>
              <w:bottom w:w="0" w:type="dxa"/>
              <w:right w:w="15" w:type="dxa"/>
            </w:tcMar>
            <w:vAlign w:val="center"/>
            <w:hideMark/>
          </w:tcPr>
          <w:p w14:paraId="640B912C"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63</w:t>
            </w:r>
          </w:p>
        </w:tc>
        <w:tc>
          <w:tcPr>
            <w:tcW w:w="1033" w:type="dxa"/>
            <w:tcBorders>
              <w:top w:val="nil"/>
              <w:bottom w:val="single" w:sz="4" w:space="0" w:color="auto"/>
            </w:tcBorders>
            <w:tcMar>
              <w:top w:w="15" w:type="dxa"/>
              <w:left w:w="15" w:type="dxa"/>
              <w:bottom w:w="0" w:type="dxa"/>
              <w:right w:w="15" w:type="dxa"/>
            </w:tcMar>
            <w:vAlign w:val="center"/>
            <w:hideMark/>
          </w:tcPr>
          <w:p w14:paraId="2ACD37A0"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638" w:type="dxa"/>
            <w:tcBorders>
              <w:top w:val="nil"/>
              <w:bottom w:val="single" w:sz="4" w:space="0" w:color="auto"/>
            </w:tcBorders>
            <w:noWrap/>
            <w:tcMar>
              <w:top w:w="15" w:type="dxa"/>
              <w:left w:w="15" w:type="dxa"/>
              <w:bottom w:w="0" w:type="dxa"/>
              <w:right w:w="15" w:type="dxa"/>
            </w:tcMar>
            <w:vAlign w:val="center"/>
          </w:tcPr>
          <w:p w14:paraId="1DDBCB8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27</w:t>
            </w:r>
          </w:p>
        </w:tc>
        <w:tc>
          <w:tcPr>
            <w:tcW w:w="1033" w:type="dxa"/>
            <w:tcBorders>
              <w:top w:val="nil"/>
              <w:bottom w:val="single" w:sz="4" w:space="0" w:color="auto"/>
            </w:tcBorders>
            <w:noWrap/>
            <w:tcMar>
              <w:top w:w="15" w:type="dxa"/>
              <w:left w:w="15" w:type="dxa"/>
              <w:bottom w:w="0" w:type="dxa"/>
              <w:right w:w="15" w:type="dxa"/>
            </w:tcMar>
            <w:vAlign w:val="center"/>
            <w:hideMark/>
          </w:tcPr>
          <w:p w14:paraId="141B715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52</w:t>
            </w:r>
          </w:p>
        </w:tc>
        <w:tc>
          <w:tcPr>
            <w:tcW w:w="1033" w:type="dxa"/>
            <w:tcBorders>
              <w:top w:val="nil"/>
              <w:bottom w:val="single" w:sz="4" w:space="0" w:color="auto"/>
            </w:tcBorders>
            <w:tcMar>
              <w:top w:w="15" w:type="dxa"/>
              <w:left w:w="15" w:type="dxa"/>
              <w:bottom w:w="0" w:type="dxa"/>
              <w:right w:w="15" w:type="dxa"/>
            </w:tcMar>
            <w:vAlign w:val="center"/>
            <w:hideMark/>
          </w:tcPr>
          <w:p w14:paraId="7BD860D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93</w:t>
            </w:r>
          </w:p>
        </w:tc>
        <w:tc>
          <w:tcPr>
            <w:tcW w:w="659" w:type="dxa"/>
            <w:tcBorders>
              <w:top w:val="nil"/>
              <w:bottom w:val="single" w:sz="4" w:space="0" w:color="auto"/>
            </w:tcBorders>
            <w:noWrap/>
            <w:tcMar>
              <w:top w:w="15" w:type="dxa"/>
              <w:left w:w="15" w:type="dxa"/>
              <w:bottom w:w="0" w:type="dxa"/>
              <w:right w:w="15" w:type="dxa"/>
            </w:tcMar>
            <w:vAlign w:val="center"/>
          </w:tcPr>
          <w:p w14:paraId="3707D519"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41</w:t>
            </w:r>
          </w:p>
        </w:tc>
        <w:tc>
          <w:tcPr>
            <w:tcW w:w="1033" w:type="dxa"/>
            <w:tcBorders>
              <w:top w:val="nil"/>
              <w:bottom w:val="single" w:sz="4" w:space="0" w:color="auto"/>
            </w:tcBorders>
            <w:noWrap/>
            <w:tcMar>
              <w:top w:w="15" w:type="dxa"/>
              <w:left w:w="15" w:type="dxa"/>
              <w:bottom w:w="0" w:type="dxa"/>
              <w:right w:w="15" w:type="dxa"/>
            </w:tcMar>
            <w:vAlign w:val="center"/>
            <w:hideMark/>
          </w:tcPr>
          <w:p w14:paraId="4286F48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37</w:t>
            </w:r>
          </w:p>
        </w:tc>
        <w:tc>
          <w:tcPr>
            <w:tcW w:w="1033" w:type="dxa"/>
            <w:tcBorders>
              <w:top w:val="nil"/>
              <w:bottom w:val="single" w:sz="4" w:space="0" w:color="auto"/>
            </w:tcBorders>
            <w:tcMar>
              <w:top w:w="15" w:type="dxa"/>
              <w:left w:w="15" w:type="dxa"/>
              <w:bottom w:w="0" w:type="dxa"/>
              <w:right w:w="15" w:type="dxa"/>
            </w:tcMar>
            <w:vAlign w:val="center"/>
            <w:hideMark/>
          </w:tcPr>
          <w:p w14:paraId="4E5FADB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93</w:t>
            </w:r>
          </w:p>
        </w:tc>
        <w:tc>
          <w:tcPr>
            <w:tcW w:w="637" w:type="dxa"/>
            <w:tcBorders>
              <w:top w:val="nil"/>
              <w:bottom w:val="single" w:sz="4" w:space="0" w:color="auto"/>
            </w:tcBorders>
            <w:noWrap/>
            <w:tcMar>
              <w:top w:w="15" w:type="dxa"/>
              <w:left w:w="15" w:type="dxa"/>
              <w:bottom w:w="0" w:type="dxa"/>
              <w:right w:w="15" w:type="dxa"/>
            </w:tcMar>
            <w:vAlign w:val="center"/>
          </w:tcPr>
          <w:p w14:paraId="47983B0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56</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361DEE9C"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31</w:t>
            </w:r>
          </w:p>
        </w:tc>
        <w:tc>
          <w:tcPr>
            <w:tcW w:w="1033" w:type="dxa"/>
            <w:tcBorders>
              <w:top w:val="nil"/>
              <w:bottom w:val="single" w:sz="4" w:space="0" w:color="auto"/>
            </w:tcBorders>
            <w:tcMar>
              <w:top w:w="15" w:type="dxa"/>
              <w:left w:w="15" w:type="dxa"/>
              <w:bottom w:w="0" w:type="dxa"/>
              <w:right w:w="15" w:type="dxa"/>
            </w:tcMar>
            <w:vAlign w:val="center"/>
            <w:hideMark/>
          </w:tcPr>
          <w:p w14:paraId="3557B9C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63</w:t>
            </w:r>
          </w:p>
        </w:tc>
        <w:tc>
          <w:tcPr>
            <w:tcW w:w="698" w:type="dxa"/>
            <w:tcBorders>
              <w:top w:val="nil"/>
              <w:bottom w:val="single" w:sz="4" w:space="0" w:color="auto"/>
            </w:tcBorders>
            <w:noWrap/>
            <w:tcMar>
              <w:top w:w="15" w:type="dxa"/>
              <w:left w:w="15" w:type="dxa"/>
              <w:bottom w:w="0" w:type="dxa"/>
              <w:right w:w="15" w:type="dxa"/>
            </w:tcMar>
            <w:vAlign w:val="center"/>
          </w:tcPr>
          <w:p w14:paraId="017FD33B"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32</w:t>
            </w:r>
          </w:p>
        </w:tc>
      </w:tr>
      <w:tr w:rsidR="000322EF" w:rsidRPr="00FE38FD" w14:paraId="0C7B4F82" w14:textId="77777777" w:rsidTr="00B05BE6">
        <w:trPr>
          <w:trHeight w:val="65"/>
        </w:trPr>
        <w:tc>
          <w:tcPr>
            <w:tcW w:w="877" w:type="dxa"/>
            <w:tcBorders>
              <w:top w:val="nil"/>
              <w:bottom w:val="single" w:sz="4" w:space="0" w:color="auto"/>
            </w:tcBorders>
            <w:tcMar>
              <w:top w:w="15" w:type="dxa"/>
              <w:left w:w="15" w:type="dxa"/>
              <w:bottom w:w="0" w:type="dxa"/>
              <w:right w:w="15" w:type="dxa"/>
            </w:tcMar>
            <w:vAlign w:val="center"/>
            <w:hideMark/>
          </w:tcPr>
          <w:p w14:paraId="1BB9DF4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Narayani Hospital, Nashik</w:t>
            </w:r>
          </w:p>
        </w:tc>
        <w:tc>
          <w:tcPr>
            <w:tcW w:w="1032" w:type="dxa"/>
            <w:tcBorders>
              <w:top w:val="nil"/>
              <w:bottom w:val="single" w:sz="4" w:space="0" w:color="auto"/>
            </w:tcBorders>
            <w:noWrap/>
            <w:tcMar>
              <w:top w:w="15" w:type="dxa"/>
              <w:left w:w="15" w:type="dxa"/>
              <w:bottom w:w="0" w:type="dxa"/>
              <w:right w:w="15" w:type="dxa"/>
            </w:tcMar>
            <w:vAlign w:val="center"/>
            <w:hideMark/>
          </w:tcPr>
          <w:p w14:paraId="44B87BE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52</w:t>
            </w:r>
          </w:p>
        </w:tc>
        <w:tc>
          <w:tcPr>
            <w:tcW w:w="1032" w:type="dxa"/>
            <w:tcBorders>
              <w:top w:val="nil"/>
              <w:bottom w:val="single" w:sz="4" w:space="0" w:color="auto"/>
            </w:tcBorders>
            <w:tcMar>
              <w:top w:w="15" w:type="dxa"/>
              <w:left w:w="15" w:type="dxa"/>
              <w:bottom w:w="0" w:type="dxa"/>
              <w:right w:w="15" w:type="dxa"/>
            </w:tcMar>
            <w:vAlign w:val="center"/>
            <w:hideMark/>
          </w:tcPr>
          <w:p w14:paraId="747636D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89</w:t>
            </w:r>
          </w:p>
        </w:tc>
        <w:tc>
          <w:tcPr>
            <w:tcW w:w="637" w:type="dxa"/>
            <w:tcBorders>
              <w:top w:val="nil"/>
              <w:bottom w:val="single" w:sz="4" w:space="0" w:color="auto"/>
            </w:tcBorders>
            <w:noWrap/>
            <w:tcMar>
              <w:top w:w="15" w:type="dxa"/>
              <w:left w:w="15" w:type="dxa"/>
              <w:bottom w:w="0" w:type="dxa"/>
              <w:right w:w="15" w:type="dxa"/>
            </w:tcMar>
            <w:vAlign w:val="center"/>
          </w:tcPr>
          <w:p w14:paraId="7622465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37</w:t>
            </w:r>
          </w:p>
        </w:tc>
        <w:tc>
          <w:tcPr>
            <w:tcW w:w="1032" w:type="dxa"/>
            <w:tcBorders>
              <w:top w:val="nil"/>
              <w:bottom w:val="single" w:sz="4" w:space="0" w:color="auto"/>
            </w:tcBorders>
            <w:noWrap/>
            <w:tcMar>
              <w:top w:w="15" w:type="dxa"/>
              <w:left w:w="15" w:type="dxa"/>
              <w:bottom w:w="0" w:type="dxa"/>
              <w:right w:w="15" w:type="dxa"/>
            </w:tcMar>
            <w:vAlign w:val="center"/>
            <w:hideMark/>
          </w:tcPr>
          <w:p w14:paraId="1BF27EF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59</w:t>
            </w:r>
          </w:p>
        </w:tc>
        <w:tc>
          <w:tcPr>
            <w:tcW w:w="1033" w:type="dxa"/>
            <w:tcBorders>
              <w:top w:val="nil"/>
              <w:bottom w:val="single" w:sz="4" w:space="0" w:color="auto"/>
            </w:tcBorders>
            <w:tcMar>
              <w:top w:w="15" w:type="dxa"/>
              <w:left w:w="15" w:type="dxa"/>
              <w:bottom w:w="0" w:type="dxa"/>
              <w:right w:w="15" w:type="dxa"/>
            </w:tcMar>
            <w:vAlign w:val="center"/>
            <w:hideMark/>
          </w:tcPr>
          <w:p w14:paraId="40FD4BC1"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95</w:t>
            </w:r>
          </w:p>
        </w:tc>
        <w:tc>
          <w:tcPr>
            <w:tcW w:w="638" w:type="dxa"/>
            <w:tcBorders>
              <w:top w:val="nil"/>
              <w:bottom w:val="single" w:sz="4" w:space="0" w:color="auto"/>
            </w:tcBorders>
            <w:noWrap/>
            <w:tcMar>
              <w:top w:w="15" w:type="dxa"/>
              <w:left w:w="15" w:type="dxa"/>
              <w:bottom w:w="0" w:type="dxa"/>
              <w:right w:w="15" w:type="dxa"/>
            </w:tcMar>
            <w:vAlign w:val="center"/>
          </w:tcPr>
          <w:p w14:paraId="50500148"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36</w:t>
            </w:r>
          </w:p>
        </w:tc>
        <w:tc>
          <w:tcPr>
            <w:tcW w:w="1033" w:type="dxa"/>
            <w:tcBorders>
              <w:top w:val="nil"/>
              <w:bottom w:val="single" w:sz="4" w:space="0" w:color="auto"/>
            </w:tcBorders>
            <w:noWrap/>
            <w:tcMar>
              <w:top w:w="15" w:type="dxa"/>
              <w:left w:w="15" w:type="dxa"/>
              <w:bottom w:w="0" w:type="dxa"/>
              <w:right w:w="15" w:type="dxa"/>
            </w:tcMar>
            <w:vAlign w:val="center"/>
            <w:hideMark/>
          </w:tcPr>
          <w:p w14:paraId="284DFCA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39</w:t>
            </w:r>
          </w:p>
        </w:tc>
        <w:tc>
          <w:tcPr>
            <w:tcW w:w="1033" w:type="dxa"/>
            <w:tcBorders>
              <w:top w:val="nil"/>
              <w:bottom w:val="single" w:sz="4" w:space="0" w:color="auto"/>
            </w:tcBorders>
            <w:tcMar>
              <w:top w:w="15" w:type="dxa"/>
              <w:left w:w="15" w:type="dxa"/>
              <w:bottom w:w="0" w:type="dxa"/>
              <w:right w:w="15" w:type="dxa"/>
            </w:tcMar>
            <w:vAlign w:val="center"/>
            <w:hideMark/>
          </w:tcPr>
          <w:p w14:paraId="52E24FCF"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659" w:type="dxa"/>
            <w:tcBorders>
              <w:top w:val="nil"/>
              <w:bottom w:val="single" w:sz="4" w:space="0" w:color="auto"/>
            </w:tcBorders>
            <w:noWrap/>
            <w:tcMar>
              <w:top w:w="15" w:type="dxa"/>
              <w:left w:w="15" w:type="dxa"/>
              <w:bottom w:w="0" w:type="dxa"/>
              <w:right w:w="15" w:type="dxa"/>
            </w:tcMar>
            <w:vAlign w:val="center"/>
          </w:tcPr>
          <w:p w14:paraId="4F1C9A6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51</w:t>
            </w:r>
          </w:p>
        </w:tc>
        <w:tc>
          <w:tcPr>
            <w:tcW w:w="1033" w:type="dxa"/>
            <w:tcBorders>
              <w:top w:val="nil"/>
              <w:bottom w:val="single" w:sz="4" w:space="0" w:color="auto"/>
            </w:tcBorders>
            <w:noWrap/>
            <w:tcMar>
              <w:top w:w="15" w:type="dxa"/>
              <w:left w:w="15" w:type="dxa"/>
              <w:bottom w:w="0" w:type="dxa"/>
              <w:right w:w="15" w:type="dxa"/>
            </w:tcMar>
            <w:vAlign w:val="center"/>
            <w:hideMark/>
          </w:tcPr>
          <w:p w14:paraId="175D4CD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54</w:t>
            </w:r>
          </w:p>
        </w:tc>
        <w:tc>
          <w:tcPr>
            <w:tcW w:w="1033" w:type="dxa"/>
            <w:tcBorders>
              <w:top w:val="nil"/>
              <w:bottom w:val="single" w:sz="4" w:space="0" w:color="auto"/>
            </w:tcBorders>
            <w:tcMar>
              <w:top w:w="15" w:type="dxa"/>
              <w:left w:w="15" w:type="dxa"/>
              <w:bottom w:w="0" w:type="dxa"/>
              <w:right w:w="15" w:type="dxa"/>
            </w:tcMar>
            <w:vAlign w:val="center"/>
            <w:hideMark/>
          </w:tcPr>
          <w:p w14:paraId="7158EC7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90</w:t>
            </w:r>
          </w:p>
        </w:tc>
        <w:tc>
          <w:tcPr>
            <w:tcW w:w="637" w:type="dxa"/>
            <w:tcBorders>
              <w:top w:val="nil"/>
              <w:bottom w:val="single" w:sz="4" w:space="0" w:color="auto"/>
            </w:tcBorders>
            <w:noWrap/>
            <w:tcMar>
              <w:top w:w="15" w:type="dxa"/>
              <w:left w:w="15" w:type="dxa"/>
              <w:bottom w:w="0" w:type="dxa"/>
              <w:right w:w="15" w:type="dxa"/>
            </w:tcMar>
            <w:vAlign w:val="center"/>
          </w:tcPr>
          <w:p w14:paraId="7B74FC81"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36</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5207C830"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56</w:t>
            </w:r>
          </w:p>
        </w:tc>
        <w:tc>
          <w:tcPr>
            <w:tcW w:w="1033" w:type="dxa"/>
            <w:tcBorders>
              <w:top w:val="nil"/>
              <w:bottom w:val="single" w:sz="4" w:space="0" w:color="auto"/>
            </w:tcBorders>
            <w:tcMar>
              <w:top w:w="15" w:type="dxa"/>
              <w:left w:w="15" w:type="dxa"/>
              <w:bottom w:w="0" w:type="dxa"/>
              <w:right w:w="15" w:type="dxa"/>
            </w:tcMar>
            <w:vAlign w:val="center"/>
            <w:hideMark/>
          </w:tcPr>
          <w:p w14:paraId="0F97C5D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95</w:t>
            </w:r>
          </w:p>
        </w:tc>
        <w:tc>
          <w:tcPr>
            <w:tcW w:w="698" w:type="dxa"/>
            <w:tcBorders>
              <w:top w:val="nil"/>
              <w:bottom w:val="single" w:sz="4" w:space="0" w:color="auto"/>
            </w:tcBorders>
            <w:noWrap/>
            <w:tcMar>
              <w:top w:w="15" w:type="dxa"/>
              <w:left w:w="15" w:type="dxa"/>
              <w:bottom w:w="0" w:type="dxa"/>
              <w:right w:w="15" w:type="dxa"/>
            </w:tcMar>
            <w:vAlign w:val="center"/>
          </w:tcPr>
          <w:p w14:paraId="4C8E5C6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39</w:t>
            </w:r>
          </w:p>
        </w:tc>
      </w:tr>
      <w:tr w:rsidR="000322EF" w:rsidRPr="00FE38FD" w14:paraId="5C23B071" w14:textId="77777777" w:rsidTr="00B05BE6">
        <w:trPr>
          <w:trHeight w:val="65"/>
        </w:trPr>
        <w:tc>
          <w:tcPr>
            <w:tcW w:w="877" w:type="dxa"/>
            <w:tcBorders>
              <w:top w:val="nil"/>
              <w:bottom w:val="single" w:sz="4" w:space="0" w:color="auto"/>
            </w:tcBorders>
            <w:tcMar>
              <w:top w:w="15" w:type="dxa"/>
              <w:left w:w="15" w:type="dxa"/>
              <w:bottom w:w="0" w:type="dxa"/>
              <w:right w:w="15" w:type="dxa"/>
            </w:tcMar>
            <w:vAlign w:val="center"/>
            <w:hideMark/>
          </w:tcPr>
          <w:p w14:paraId="71A5E645"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Rainbow Hospital, Agra</w:t>
            </w:r>
          </w:p>
        </w:tc>
        <w:tc>
          <w:tcPr>
            <w:tcW w:w="1032" w:type="dxa"/>
            <w:tcBorders>
              <w:top w:val="nil"/>
              <w:bottom w:val="single" w:sz="4" w:space="0" w:color="auto"/>
            </w:tcBorders>
            <w:noWrap/>
            <w:tcMar>
              <w:top w:w="15" w:type="dxa"/>
              <w:left w:w="15" w:type="dxa"/>
              <w:bottom w:w="0" w:type="dxa"/>
              <w:right w:w="15" w:type="dxa"/>
            </w:tcMar>
            <w:vAlign w:val="center"/>
            <w:hideMark/>
          </w:tcPr>
          <w:p w14:paraId="047FE02D"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49</w:t>
            </w:r>
          </w:p>
        </w:tc>
        <w:tc>
          <w:tcPr>
            <w:tcW w:w="1032" w:type="dxa"/>
            <w:tcBorders>
              <w:top w:val="nil"/>
              <w:bottom w:val="single" w:sz="4" w:space="0" w:color="auto"/>
            </w:tcBorders>
            <w:noWrap/>
            <w:tcMar>
              <w:top w:w="15" w:type="dxa"/>
              <w:left w:w="15" w:type="dxa"/>
              <w:bottom w:w="0" w:type="dxa"/>
              <w:right w:w="15" w:type="dxa"/>
            </w:tcMar>
            <w:vAlign w:val="center"/>
            <w:hideMark/>
          </w:tcPr>
          <w:p w14:paraId="38C7E29C"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96</w:t>
            </w:r>
          </w:p>
        </w:tc>
        <w:tc>
          <w:tcPr>
            <w:tcW w:w="637" w:type="dxa"/>
            <w:tcBorders>
              <w:top w:val="nil"/>
              <w:bottom w:val="single" w:sz="4" w:space="0" w:color="auto"/>
            </w:tcBorders>
            <w:noWrap/>
            <w:tcMar>
              <w:top w:w="15" w:type="dxa"/>
              <w:left w:w="15" w:type="dxa"/>
              <w:bottom w:w="0" w:type="dxa"/>
              <w:right w:w="15" w:type="dxa"/>
            </w:tcMar>
            <w:vAlign w:val="center"/>
          </w:tcPr>
          <w:p w14:paraId="674D405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47</w:t>
            </w:r>
          </w:p>
        </w:tc>
        <w:tc>
          <w:tcPr>
            <w:tcW w:w="1032" w:type="dxa"/>
            <w:tcBorders>
              <w:top w:val="nil"/>
              <w:bottom w:val="single" w:sz="4" w:space="0" w:color="auto"/>
            </w:tcBorders>
            <w:noWrap/>
            <w:tcMar>
              <w:top w:w="15" w:type="dxa"/>
              <w:left w:w="15" w:type="dxa"/>
              <w:bottom w:w="0" w:type="dxa"/>
              <w:right w:w="15" w:type="dxa"/>
            </w:tcMar>
            <w:vAlign w:val="center"/>
            <w:hideMark/>
          </w:tcPr>
          <w:p w14:paraId="19AABA0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89</w:t>
            </w:r>
          </w:p>
        </w:tc>
        <w:tc>
          <w:tcPr>
            <w:tcW w:w="1033" w:type="dxa"/>
            <w:tcBorders>
              <w:top w:val="nil"/>
              <w:bottom w:val="single" w:sz="4" w:space="0" w:color="auto"/>
            </w:tcBorders>
            <w:noWrap/>
            <w:tcMar>
              <w:top w:w="15" w:type="dxa"/>
              <w:left w:w="15" w:type="dxa"/>
              <w:bottom w:w="0" w:type="dxa"/>
              <w:right w:w="15" w:type="dxa"/>
            </w:tcMar>
            <w:vAlign w:val="center"/>
            <w:hideMark/>
          </w:tcPr>
          <w:p w14:paraId="45B05A24"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92</w:t>
            </w:r>
          </w:p>
        </w:tc>
        <w:tc>
          <w:tcPr>
            <w:tcW w:w="638" w:type="dxa"/>
            <w:tcBorders>
              <w:top w:val="nil"/>
              <w:bottom w:val="single" w:sz="4" w:space="0" w:color="auto"/>
            </w:tcBorders>
            <w:noWrap/>
            <w:tcMar>
              <w:top w:w="15" w:type="dxa"/>
              <w:left w:w="15" w:type="dxa"/>
              <w:bottom w:w="0" w:type="dxa"/>
              <w:right w:w="15" w:type="dxa"/>
            </w:tcMar>
            <w:vAlign w:val="center"/>
            <w:hideMark/>
          </w:tcPr>
          <w:p w14:paraId="197EF39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w:t>
            </w:r>
          </w:p>
        </w:tc>
        <w:tc>
          <w:tcPr>
            <w:tcW w:w="1033" w:type="dxa"/>
            <w:tcBorders>
              <w:top w:val="nil"/>
              <w:bottom w:val="single" w:sz="4" w:space="0" w:color="auto"/>
            </w:tcBorders>
            <w:noWrap/>
            <w:tcMar>
              <w:top w:w="15" w:type="dxa"/>
              <w:left w:w="15" w:type="dxa"/>
              <w:bottom w:w="0" w:type="dxa"/>
              <w:right w:w="15" w:type="dxa"/>
            </w:tcMar>
            <w:vAlign w:val="center"/>
            <w:hideMark/>
          </w:tcPr>
          <w:p w14:paraId="3654B463"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100</w:t>
            </w:r>
          </w:p>
        </w:tc>
        <w:tc>
          <w:tcPr>
            <w:tcW w:w="1033" w:type="dxa"/>
            <w:tcBorders>
              <w:top w:val="nil"/>
              <w:bottom w:val="single" w:sz="4" w:space="0" w:color="auto"/>
            </w:tcBorders>
            <w:tcMar>
              <w:top w:w="15" w:type="dxa"/>
              <w:left w:w="15" w:type="dxa"/>
              <w:bottom w:w="0" w:type="dxa"/>
              <w:right w:w="15" w:type="dxa"/>
            </w:tcMar>
            <w:vAlign w:val="center"/>
            <w:hideMark/>
          </w:tcPr>
          <w:p w14:paraId="6A99187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78</w:t>
            </w:r>
          </w:p>
        </w:tc>
        <w:tc>
          <w:tcPr>
            <w:tcW w:w="659" w:type="dxa"/>
            <w:tcBorders>
              <w:top w:val="nil"/>
              <w:bottom w:val="single" w:sz="4" w:space="0" w:color="auto"/>
            </w:tcBorders>
            <w:noWrap/>
            <w:tcMar>
              <w:top w:w="15" w:type="dxa"/>
              <w:left w:w="15" w:type="dxa"/>
              <w:bottom w:w="0" w:type="dxa"/>
              <w:right w:w="15" w:type="dxa"/>
            </w:tcMar>
            <w:vAlign w:val="center"/>
          </w:tcPr>
          <w:p w14:paraId="0E4BCF7E"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-22</w:t>
            </w:r>
          </w:p>
        </w:tc>
        <w:tc>
          <w:tcPr>
            <w:tcW w:w="1033" w:type="dxa"/>
            <w:tcBorders>
              <w:top w:val="nil"/>
              <w:bottom w:val="single" w:sz="4" w:space="0" w:color="auto"/>
            </w:tcBorders>
            <w:noWrap/>
            <w:tcMar>
              <w:top w:w="15" w:type="dxa"/>
              <w:left w:w="15" w:type="dxa"/>
              <w:bottom w:w="0" w:type="dxa"/>
              <w:right w:w="15" w:type="dxa"/>
            </w:tcMar>
            <w:vAlign w:val="center"/>
            <w:hideMark/>
          </w:tcPr>
          <w:p w14:paraId="0D63D4D7"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100</w:t>
            </w:r>
          </w:p>
        </w:tc>
        <w:tc>
          <w:tcPr>
            <w:tcW w:w="1033" w:type="dxa"/>
            <w:tcBorders>
              <w:top w:val="nil"/>
              <w:bottom w:val="single" w:sz="4" w:space="0" w:color="auto"/>
            </w:tcBorders>
            <w:tcMar>
              <w:top w:w="15" w:type="dxa"/>
              <w:left w:w="15" w:type="dxa"/>
              <w:bottom w:w="0" w:type="dxa"/>
              <w:right w:w="15" w:type="dxa"/>
            </w:tcMar>
            <w:vAlign w:val="center"/>
            <w:hideMark/>
          </w:tcPr>
          <w:p w14:paraId="49E8FB3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82</w:t>
            </w:r>
          </w:p>
        </w:tc>
        <w:tc>
          <w:tcPr>
            <w:tcW w:w="637" w:type="dxa"/>
            <w:tcBorders>
              <w:top w:val="nil"/>
              <w:bottom w:val="single" w:sz="4" w:space="0" w:color="auto"/>
            </w:tcBorders>
            <w:noWrap/>
            <w:tcMar>
              <w:top w:w="15" w:type="dxa"/>
              <w:left w:w="15" w:type="dxa"/>
              <w:bottom w:w="0" w:type="dxa"/>
              <w:right w:w="15" w:type="dxa"/>
            </w:tcMar>
            <w:vAlign w:val="center"/>
          </w:tcPr>
          <w:p w14:paraId="09F984C2"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-18</w:t>
            </w:r>
          </w:p>
        </w:tc>
        <w:tc>
          <w:tcPr>
            <w:tcW w:w="1034" w:type="dxa"/>
            <w:gridSpan w:val="2"/>
            <w:tcBorders>
              <w:top w:val="nil"/>
              <w:bottom w:val="single" w:sz="4" w:space="0" w:color="auto"/>
            </w:tcBorders>
            <w:noWrap/>
            <w:tcMar>
              <w:top w:w="15" w:type="dxa"/>
              <w:left w:w="15" w:type="dxa"/>
              <w:bottom w:w="0" w:type="dxa"/>
              <w:right w:w="15" w:type="dxa"/>
            </w:tcMar>
            <w:vAlign w:val="center"/>
            <w:hideMark/>
          </w:tcPr>
          <w:p w14:paraId="4466C6EA"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39</w:t>
            </w:r>
          </w:p>
        </w:tc>
        <w:tc>
          <w:tcPr>
            <w:tcW w:w="1033" w:type="dxa"/>
            <w:tcBorders>
              <w:top w:val="nil"/>
              <w:bottom w:val="single" w:sz="4" w:space="0" w:color="auto"/>
            </w:tcBorders>
            <w:tcMar>
              <w:top w:w="15" w:type="dxa"/>
              <w:left w:w="15" w:type="dxa"/>
              <w:bottom w:w="0" w:type="dxa"/>
              <w:right w:w="15" w:type="dxa"/>
            </w:tcMar>
            <w:vAlign w:val="center"/>
            <w:hideMark/>
          </w:tcPr>
          <w:p w14:paraId="35E9E0F1"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74</w:t>
            </w:r>
          </w:p>
        </w:tc>
        <w:tc>
          <w:tcPr>
            <w:tcW w:w="698" w:type="dxa"/>
            <w:tcBorders>
              <w:top w:val="nil"/>
              <w:bottom w:val="single" w:sz="4" w:space="0" w:color="auto"/>
            </w:tcBorders>
            <w:noWrap/>
            <w:tcMar>
              <w:top w:w="15" w:type="dxa"/>
              <w:left w:w="15" w:type="dxa"/>
              <w:bottom w:w="0" w:type="dxa"/>
              <w:right w:w="15" w:type="dxa"/>
            </w:tcMar>
            <w:vAlign w:val="center"/>
          </w:tcPr>
          <w:p w14:paraId="68674089" w14:textId="77777777" w:rsidR="000322EF" w:rsidRPr="00B05BE6" w:rsidRDefault="000322EF" w:rsidP="00B05BE6">
            <w:pPr>
              <w:spacing w:after="0" w:line="480" w:lineRule="auto"/>
              <w:jc w:val="both"/>
              <w:rPr>
                <w:rFonts w:ascii="Arial" w:hAnsi="Arial" w:cs="Arial"/>
                <w:color w:val="000000"/>
              </w:rPr>
            </w:pPr>
            <w:r w:rsidRPr="00B05BE6">
              <w:rPr>
                <w:rFonts w:ascii="Arial" w:hAnsi="Arial" w:cs="Arial"/>
                <w:color w:val="000000"/>
              </w:rPr>
              <w:t>35</w:t>
            </w:r>
          </w:p>
        </w:tc>
      </w:tr>
    </w:tbl>
    <w:p w14:paraId="6034D5BC" w14:textId="77777777" w:rsidR="000322EF" w:rsidRPr="00B05BE6" w:rsidRDefault="000322EF" w:rsidP="00B05BE6">
      <w:pPr>
        <w:spacing w:line="480" w:lineRule="auto"/>
        <w:jc w:val="both"/>
        <w:rPr>
          <w:rFonts w:ascii="Arial" w:hAnsi="Arial" w:cs="Arial"/>
          <w:b/>
          <w:bCs/>
        </w:rPr>
      </w:pPr>
      <w:r w:rsidRPr="00B05BE6" w:rsidDel="00FD00E9">
        <w:rPr>
          <w:rFonts w:ascii="Arial" w:hAnsi="Arial" w:cs="Arial"/>
          <w:b/>
          <w:bCs/>
        </w:rPr>
        <w:t xml:space="preserve"> </w:t>
      </w:r>
    </w:p>
    <w:p w14:paraId="65F882B5" w14:textId="77777777" w:rsidR="00B05BE6" w:rsidRPr="00B05BE6" w:rsidRDefault="00B05BE6" w:rsidP="00B05BE6">
      <w:pPr>
        <w:spacing w:line="480" w:lineRule="auto"/>
        <w:jc w:val="both"/>
        <w:rPr>
          <w:rFonts w:ascii="Arial" w:hAnsi="Arial" w:cs="Arial"/>
          <w:b/>
          <w:bCs/>
        </w:rPr>
        <w:sectPr w:rsidR="00000000" w:rsidRPr="00B05BE6" w:rsidSect="000322EF">
          <w:pgSz w:w="16838" w:h="11906" w:orient="landscape"/>
          <w:pgMar w:top="1440" w:right="1440" w:bottom="1440" w:left="1440" w:header="708" w:footer="708" w:gutter="0"/>
          <w:cols w:space="708"/>
          <w:docGrid w:linePitch="360"/>
        </w:sectPr>
      </w:pPr>
    </w:p>
    <w:p w14:paraId="09BB4BCC" w14:textId="6E70B5F0" w:rsidR="000322EF" w:rsidRPr="00B05BE6" w:rsidRDefault="000322EF" w:rsidP="00B05BE6">
      <w:pPr>
        <w:spacing w:line="480" w:lineRule="auto"/>
        <w:jc w:val="both"/>
        <w:rPr>
          <w:rFonts w:ascii="Arial" w:hAnsi="Arial" w:cs="Arial"/>
          <w:b/>
          <w:bCs/>
        </w:rPr>
      </w:pPr>
      <w:r w:rsidRPr="00B05BE6">
        <w:rPr>
          <w:rFonts w:ascii="Arial" w:hAnsi="Arial" w:cs="Arial"/>
          <w:b/>
          <w:bCs/>
        </w:rPr>
        <w:lastRenderedPageBreak/>
        <w:t xml:space="preserve">Supplementary Table 4: </w:t>
      </w:r>
      <w:r w:rsidRPr="00B05BE6">
        <w:rPr>
          <w:rFonts w:ascii="Arial" w:hAnsi="Arial" w:cs="Arial"/>
        </w:rPr>
        <w:t>Decrease in CAUTI incidence following the adoption of CAUTI care bundles as reported in various studies</w:t>
      </w:r>
    </w:p>
    <w:tbl>
      <w:tblPr>
        <w:tblStyle w:val="TableGridLight"/>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571"/>
        <w:gridCol w:w="1185"/>
        <w:gridCol w:w="3186"/>
        <w:gridCol w:w="1508"/>
        <w:gridCol w:w="1403"/>
        <w:gridCol w:w="1449"/>
      </w:tblGrid>
      <w:tr w:rsidR="000322EF" w:rsidRPr="00FE38FD" w14:paraId="4826E1E7" w14:textId="77777777" w:rsidTr="00B05BE6">
        <w:trPr>
          <w:tblHeader/>
        </w:trPr>
        <w:tc>
          <w:tcPr>
            <w:tcW w:w="9016" w:type="dxa"/>
            <w:gridSpan w:val="6"/>
            <w:shd w:val="clear" w:color="auto" w:fill="F2F2F2" w:themeFill="background1" w:themeFillShade="F2"/>
          </w:tcPr>
          <w:p w14:paraId="7157961E"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Reduction in CAUTIs</w:t>
            </w:r>
          </w:p>
        </w:tc>
      </w:tr>
      <w:tr w:rsidR="000322EF" w:rsidRPr="00FE38FD" w14:paraId="1506A353" w14:textId="77777777" w:rsidTr="00B05BE6">
        <w:trPr>
          <w:tblHeader/>
        </w:trPr>
        <w:tc>
          <w:tcPr>
            <w:tcW w:w="511" w:type="dxa"/>
            <w:shd w:val="clear" w:color="auto" w:fill="F2F2F2" w:themeFill="background1" w:themeFillShade="F2"/>
          </w:tcPr>
          <w:p w14:paraId="16B52F11"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Sl. No.</w:t>
            </w:r>
          </w:p>
        </w:tc>
        <w:tc>
          <w:tcPr>
            <w:tcW w:w="1185" w:type="dxa"/>
            <w:shd w:val="clear" w:color="auto" w:fill="F2F2F2" w:themeFill="background1" w:themeFillShade="F2"/>
          </w:tcPr>
          <w:p w14:paraId="3FDB51FA"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Type of ward</w:t>
            </w:r>
          </w:p>
        </w:tc>
        <w:tc>
          <w:tcPr>
            <w:tcW w:w="3186" w:type="dxa"/>
            <w:shd w:val="clear" w:color="auto" w:fill="F2F2F2" w:themeFill="background1" w:themeFillShade="F2"/>
          </w:tcPr>
          <w:p w14:paraId="5BE4C381"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IPC practices implemented</w:t>
            </w:r>
          </w:p>
        </w:tc>
        <w:tc>
          <w:tcPr>
            <w:tcW w:w="1508" w:type="dxa"/>
            <w:shd w:val="clear" w:color="auto" w:fill="F2F2F2" w:themeFill="background1" w:themeFillShade="F2"/>
          </w:tcPr>
          <w:p w14:paraId="722D03FA"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Reduction rates</w:t>
            </w:r>
          </w:p>
        </w:tc>
        <w:tc>
          <w:tcPr>
            <w:tcW w:w="1177" w:type="dxa"/>
            <w:shd w:val="clear" w:color="auto" w:fill="F2F2F2" w:themeFill="background1" w:themeFillShade="F2"/>
          </w:tcPr>
          <w:p w14:paraId="43FE7F09"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Percentage reduction</w:t>
            </w:r>
          </w:p>
        </w:tc>
        <w:tc>
          <w:tcPr>
            <w:tcW w:w="1449" w:type="dxa"/>
            <w:shd w:val="clear" w:color="auto" w:fill="F2F2F2" w:themeFill="background1" w:themeFillShade="F2"/>
          </w:tcPr>
          <w:p w14:paraId="155C67CB"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Reference</w:t>
            </w:r>
          </w:p>
        </w:tc>
      </w:tr>
      <w:tr w:rsidR="000322EF" w:rsidRPr="00FE38FD" w14:paraId="0D353DC6" w14:textId="77777777" w:rsidTr="00B05BE6">
        <w:trPr>
          <w:trHeight w:val="1617"/>
        </w:trPr>
        <w:tc>
          <w:tcPr>
            <w:tcW w:w="511" w:type="dxa"/>
          </w:tcPr>
          <w:p w14:paraId="3AB4730E" w14:textId="77777777" w:rsidR="000322EF" w:rsidRPr="00B05BE6" w:rsidRDefault="000322EF" w:rsidP="00B05BE6">
            <w:pPr>
              <w:spacing w:line="480" w:lineRule="auto"/>
              <w:jc w:val="both"/>
              <w:rPr>
                <w:rFonts w:ascii="Arial" w:hAnsi="Arial" w:cs="Arial"/>
                <w:b/>
                <w:bCs/>
              </w:rPr>
            </w:pPr>
            <w:r w:rsidRPr="00B05BE6">
              <w:rPr>
                <w:rFonts w:ascii="Arial" w:hAnsi="Arial" w:cs="Arial"/>
              </w:rPr>
              <w:t>1.</w:t>
            </w:r>
          </w:p>
        </w:tc>
        <w:tc>
          <w:tcPr>
            <w:tcW w:w="1185" w:type="dxa"/>
          </w:tcPr>
          <w:p w14:paraId="37AEBA00" w14:textId="77777777" w:rsidR="000322EF" w:rsidRPr="00B05BE6" w:rsidRDefault="000322EF" w:rsidP="00B05BE6">
            <w:pPr>
              <w:spacing w:line="480" w:lineRule="auto"/>
              <w:jc w:val="both"/>
              <w:rPr>
                <w:rFonts w:ascii="Arial" w:hAnsi="Arial" w:cs="Arial"/>
              </w:rPr>
            </w:pPr>
            <w:r w:rsidRPr="00B05BE6">
              <w:rPr>
                <w:rFonts w:ascii="Arial" w:hAnsi="Arial" w:cs="Arial"/>
              </w:rPr>
              <w:t>Intensive care units</w:t>
            </w:r>
          </w:p>
        </w:tc>
        <w:tc>
          <w:tcPr>
            <w:tcW w:w="3186" w:type="dxa"/>
          </w:tcPr>
          <w:p w14:paraId="45226AA4" w14:textId="77777777" w:rsidR="000322EF" w:rsidRPr="00B05BE6" w:rsidRDefault="000322EF" w:rsidP="00B05BE6">
            <w:pPr>
              <w:spacing w:line="480" w:lineRule="auto"/>
              <w:jc w:val="both"/>
              <w:rPr>
                <w:rFonts w:ascii="Arial" w:hAnsi="Arial" w:cs="Arial"/>
              </w:rPr>
            </w:pPr>
            <w:r w:rsidRPr="00B05BE6">
              <w:rPr>
                <w:rFonts w:ascii="Arial" w:hAnsi="Arial" w:cs="Arial"/>
              </w:rPr>
              <w:t>CAUTI care bundle sequentially implemented in plan-do-study-act cycles</w:t>
            </w:r>
          </w:p>
        </w:tc>
        <w:tc>
          <w:tcPr>
            <w:tcW w:w="1508" w:type="dxa"/>
          </w:tcPr>
          <w:p w14:paraId="5461EAD8" w14:textId="77777777" w:rsidR="000322EF" w:rsidRPr="00B05BE6" w:rsidRDefault="000322EF" w:rsidP="00B05BE6">
            <w:pPr>
              <w:spacing w:line="480" w:lineRule="auto"/>
              <w:jc w:val="both"/>
              <w:rPr>
                <w:rFonts w:ascii="Arial" w:hAnsi="Arial" w:cs="Arial"/>
              </w:rPr>
            </w:pPr>
            <w:r w:rsidRPr="00B05BE6">
              <w:rPr>
                <w:rFonts w:ascii="Arial" w:hAnsi="Arial" w:cs="Arial"/>
              </w:rPr>
              <w:t>5.86 cases/1000 catheter days</w:t>
            </w:r>
          </w:p>
          <w:p w14:paraId="4B7B556E" w14:textId="77777777" w:rsidR="000322EF" w:rsidRPr="00B05BE6" w:rsidRDefault="000322EF" w:rsidP="00B05BE6">
            <w:pPr>
              <w:spacing w:line="480" w:lineRule="auto"/>
              <w:jc w:val="both"/>
              <w:rPr>
                <w:rFonts w:ascii="Arial" w:hAnsi="Arial" w:cs="Arial"/>
              </w:rPr>
            </w:pPr>
            <w:r w:rsidRPr="00B05BE6">
              <w:rPr>
                <w:rFonts w:ascii="Arial" w:hAnsi="Arial" w:cs="Arial"/>
              </w:rPr>
              <w:t>to</w:t>
            </w:r>
          </w:p>
          <w:p w14:paraId="55894B8E" w14:textId="77777777" w:rsidR="000322EF" w:rsidRPr="00B05BE6" w:rsidRDefault="000322EF" w:rsidP="00B05BE6">
            <w:pPr>
              <w:spacing w:line="480" w:lineRule="auto"/>
              <w:jc w:val="both"/>
              <w:rPr>
                <w:rFonts w:ascii="Arial" w:hAnsi="Arial" w:cs="Arial"/>
              </w:rPr>
            </w:pPr>
            <w:r w:rsidRPr="00B05BE6">
              <w:rPr>
                <w:rFonts w:ascii="Arial" w:hAnsi="Arial" w:cs="Arial"/>
              </w:rPr>
              <w:t>1.62 cases/1000 catheter days</w:t>
            </w:r>
          </w:p>
        </w:tc>
        <w:tc>
          <w:tcPr>
            <w:tcW w:w="1177" w:type="dxa"/>
          </w:tcPr>
          <w:p w14:paraId="0F246453" w14:textId="77777777" w:rsidR="000322EF" w:rsidRPr="00B05BE6" w:rsidRDefault="000322EF" w:rsidP="00B05BE6">
            <w:pPr>
              <w:spacing w:line="480" w:lineRule="auto"/>
              <w:jc w:val="both"/>
              <w:rPr>
                <w:rFonts w:ascii="Arial" w:hAnsi="Arial" w:cs="Arial"/>
              </w:rPr>
            </w:pPr>
            <w:r w:rsidRPr="00B05BE6">
              <w:rPr>
                <w:rFonts w:ascii="Arial" w:hAnsi="Arial" w:cs="Arial"/>
              </w:rPr>
              <w:t>72%</w:t>
            </w:r>
          </w:p>
        </w:tc>
        <w:tc>
          <w:tcPr>
            <w:tcW w:w="1449" w:type="dxa"/>
          </w:tcPr>
          <w:p w14:paraId="0229808C" w14:textId="369AB1FA"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{"citationID":"YRmwqojz","properties":{"formattedCitation":"[47]","plainCitation":"[47]","noteIndex":0},"citationItems":[{"id":1004,"uris":["http://zotero.org/users/local/7lPBLJiX/items/UIZN5ER6"],"itemData":{"id":1004,"type":"post-weblog","title":"36. Van Decker SG, Bosch N, Murphy J. Catheter-associated urinary tract infection reduction in critical care units: a bundled care model. BMJ Open Qual. 2021;10:e001534. doi:10.1136/bmjoq-2021-001534."}}],"schema":"https://github.com/citation-style-language/schema/raw/master/csl-citation.json"} </w:instrText>
            </w:r>
            <w:r w:rsidRPr="00B05BE6">
              <w:rPr>
                <w:rFonts w:ascii="Arial" w:hAnsi="Arial" w:cs="Arial"/>
              </w:rPr>
              <w:fldChar w:fldCharType="separate"/>
            </w:r>
            <w:r w:rsidRPr="00B05BE6">
              <w:rPr>
                <w:rFonts w:ascii="Arial" w:hAnsi="Arial" w:cs="Arial"/>
              </w:rPr>
              <w:t>[47]</w:t>
            </w:r>
            <w:r w:rsidRPr="00B05BE6">
              <w:rPr>
                <w:rFonts w:ascii="Arial" w:hAnsi="Arial" w:cs="Arial"/>
              </w:rPr>
              <w:fldChar w:fldCharType="end"/>
            </w:r>
          </w:p>
        </w:tc>
      </w:tr>
      <w:tr w:rsidR="000322EF" w:rsidRPr="00FE38FD" w14:paraId="5852733A" w14:textId="77777777" w:rsidTr="00B05BE6">
        <w:tc>
          <w:tcPr>
            <w:tcW w:w="511" w:type="dxa"/>
          </w:tcPr>
          <w:p w14:paraId="4E8F9046" w14:textId="77777777" w:rsidR="000322EF" w:rsidRPr="00B05BE6" w:rsidRDefault="000322EF" w:rsidP="00B05BE6">
            <w:pPr>
              <w:spacing w:line="480" w:lineRule="auto"/>
              <w:jc w:val="both"/>
              <w:rPr>
                <w:rFonts w:ascii="Arial" w:hAnsi="Arial" w:cs="Arial"/>
                <w:b/>
                <w:bCs/>
              </w:rPr>
            </w:pPr>
            <w:r w:rsidRPr="00B05BE6">
              <w:rPr>
                <w:rFonts w:ascii="Arial" w:hAnsi="Arial" w:cs="Arial"/>
              </w:rPr>
              <w:t>2.</w:t>
            </w:r>
          </w:p>
        </w:tc>
        <w:tc>
          <w:tcPr>
            <w:tcW w:w="1185" w:type="dxa"/>
          </w:tcPr>
          <w:p w14:paraId="749EB8DD" w14:textId="77777777" w:rsidR="000322EF" w:rsidRPr="00B05BE6" w:rsidRDefault="000322EF" w:rsidP="00B05BE6">
            <w:pPr>
              <w:spacing w:line="480" w:lineRule="auto"/>
              <w:jc w:val="both"/>
              <w:rPr>
                <w:rFonts w:ascii="Arial" w:hAnsi="Arial" w:cs="Arial"/>
              </w:rPr>
            </w:pPr>
            <w:r w:rsidRPr="00B05BE6">
              <w:rPr>
                <w:rFonts w:ascii="Arial" w:hAnsi="Arial" w:cs="Arial"/>
              </w:rPr>
              <w:t>All wards</w:t>
            </w:r>
          </w:p>
        </w:tc>
        <w:tc>
          <w:tcPr>
            <w:tcW w:w="3186" w:type="dxa"/>
          </w:tcPr>
          <w:p w14:paraId="0826F957" w14:textId="77777777" w:rsidR="000322EF" w:rsidRPr="00B05BE6" w:rsidRDefault="000322EF" w:rsidP="00B05BE6">
            <w:pPr>
              <w:spacing w:line="480" w:lineRule="auto"/>
              <w:jc w:val="both"/>
              <w:rPr>
                <w:rFonts w:ascii="Arial" w:hAnsi="Arial" w:cs="Arial"/>
              </w:rPr>
            </w:pPr>
            <w:r w:rsidRPr="00B05BE6">
              <w:rPr>
                <w:rFonts w:ascii="Arial" w:hAnsi="Arial" w:cs="Arial"/>
              </w:rPr>
              <w:t>Multimodal interventions included practice changes assessment tools to identify IPC and HAI prevention gaps</w:t>
            </w:r>
          </w:p>
        </w:tc>
        <w:tc>
          <w:tcPr>
            <w:tcW w:w="1508" w:type="dxa"/>
          </w:tcPr>
          <w:p w14:paraId="5A38263E" w14:textId="77777777" w:rsidR="000322EF" w:rsidRPr="00B05BE6" w:rsidRDefault="000322EF" w:rsidP="00B05BE6">
            <w:pPr>
              <w:spacing w:line="480" w:lineRule="auto"/>
              <w:jc w:val="both"/>
              <w:rPr>
                <w:rFonts w:ascii="Arial" w:hAnsi="Arial" w:cs="Arial"/>
              </w:rPr>
            </w:pPr>
            <w:r w:rsidRPr="00B05BE6">
              <w:rPr>
                <w:rFonts w:ascii="Arial" w:hAnsi="Arial" w:cs="Arial"/>
              </w:rPr>
              <w:t>1.12 cases/1000 catheter days</w:t>
            </w:r>
          </w:p>
          <w:p w14:paraId="371FF5BC"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to</w:t>
            </w:r>
          </w:p>
          <w:p w14:paraId="602305A3" w14:textId="77777777" w:rsidR="000322EF" w:rsidRPr="00B05BE6" w:rsidRDefault="000322EF" w:rsidP="00B05BE6">
            <w:pPr>
              <w:spacing w:line="480" w:lineRule="auto"/>
              <w:jc w:val="both"/>
              <w:rPr>
                <w:rFonts w:ascii="Arial" w:hAnsi="Arial" w:cs="Arial"/>
              </w:rPr>
            </w:pPr>
            <w:r w:rsidRPr="00B05BE6">
              <w:rPr>
                <w:rFonts w:ascii="Arial" w:hAnsi="Arial" w:cs="Arial"/>
              </w:rPr>
              <w:t>1.04 cases/1000 catheter days</w:t>
            </w:r>
          </w:p>
        </w:tc>
        <w:tc>
          <w:tcPr>
            <w:tcW w:w="1177" w:type="dxa"/>
          </w:tcPr>
          <w:p w14:paraId="3A9C1DF9"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7%</w:t>
            </w:r>
          </w:p>
        </w:tc>
        <w:tc>
          <w:tcPr>
            <w:tcW w:w="1449" w:type="dxa"/>
          </w:tcPr>
          <w:p w14:paraId="1236B88B" w14:textId="3D62F2EA"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{"citationID":"8VPbBpMD","properties":{"formattedCitation":"[48]","plainCitation":"[48]","noteIndex":0},"citationItems":[{"id":532,"uris":["http://zotero.org/users/local/7lPBLJiX/items/IV5AAZMC"],"itemData":{"id":532,"type":"article-journal","container-title":"Annals of Internal Medicine","issue":"7_Supplement","language":"en","title":"Quantitative results of a national intervention to prevent hospital-acquired catheter-associated urinary tract infection: A pre–post observational study","volume":"171","author":[{"family":"Meddings","given":"J."},{"family":"Manojlovich","given":"M."},{"family":"Ameling","given":"J.M."}],"issued":{"date-parts":[["2019"]]}}}],"schema":"https://github.com/citation-style-language/schema/raw/master/csl-citation.json"} </w:instrText>
            </w:r>
            <w:r w:rsidRPr="00B05BE6">
              <w:rPr>
                <w:rFonts w:ascii="Arial" w:hAnsi="Arial" w:cs="Arial"/>
              </w:rPr>
              <w:fldChar w:fldCharType="separate"/>
            </w:r>
            <w:r w:rsidRPr="00B05BE6">
              <w:rPr>
                <w:rFonts w:ascii="Arial" w:hAnsi="Arial" w:cs="Arial"/>
              </w:rPr>
              <w:t>[48]</w:t>
            </w:r>
            <w:r w:rsidRPr="00B05BE6">
              <w:rPr>
                <w:rFonts w:ascii="Arial" w:hAnsi="Arial" w:cs="Arial"/>
              </w:rPr>
              <w:fldChar w:fldCharType="end"/>
            </w:r>
          </w:p>
        </w:tc>
      </w:tr>
      <w:tr w:rsidR="000322EF" w:rsidRPr="00FE38FD" w14:paraId="3133BEC6" w14:textId="77777777" w:rsidTr="00B05BE6">
        <w:tc>
          <w:tcPr>
            <w:tcW w:w="511" w:type="dxa"/>
          </w:tcPr>
          <w:p w14:paraId="6E1B63E4" w14:textId="77777777" w:rsidR="000322EF" w:rsidRPr="00B05BE6" w:rsidRDefault="000322EF" w:rsidP="00B05BE6">
            <w:pPr>
              <w:spacing w:line="480" w:lineRule="auto"/>
              <w:jc w:val="both"/>
              <w:rPr>
                <w:rFonts w:ascii="Arial" w:hAnsi="Arial" w:cs="Arial"/>
                <w:b/>
                <w:bCs/>
              </w:rPr>
            </w:pPr>
            <w:r w:rsidRPr="00B05BE6">
              <w:rPr>
                <w:rFonts w:ascii="Arial" w:hAnsi="Arial" w:cs="Arial"/>
              </w:rPr>
              <w:t xml:space="preserve">3. </w:t>
            </w:r>
          </w:p>
        </w:tc>
        <w:tc>
          <w:tcPr>
            <w:tcW w:w="1185" w:type="dxa"/>
          </w:tcPr>
          <w:p w14:paraId="2BD40A48"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Tertiary cardiac care facility </w:t>
            </w:r>
          </w:p>
        </w:tc>
        <w:tc>
          <w:tcPr>
            <w:tcW w:w="3186" w:type="dxa"/>
          </w:tcPr>
          <w:p w14:paraId="009B27BA" w14:textId="77777777" w:rsidR="000322EF" w:rsidRPr="00B05BE6" w:rsidRDefault="000322EF" w:rsidP="00B05BE6">
            <w:pPr>
              <w:spacing w:line="480" w:lineRule="auto"/>
              <w:jc w:val="both"/>
              <w:rPr>
                <w:rFonts w:ascii="Arial" w:hAnsi="Arial" w:cs="Arial"/>
              </w:rPr>
            </w:pPr>
            <w:r w:rsidRPr="00B05BE6">
              <w:rPr>
                <w:rFonts w:ascii="Arial" w:hAnsi="Arial" w:cs="Arial"/>
              </w:rPr>
              <w:t>Key interventions included empowering front-line nurses for automatic stop orders and ensuring compliance with the catheter insertion and maintenance bundles used as a model for improvement and testing the changes using plan-to-study-act cycles.</w:t>
            </w:r>
          </w:p>
        </w:tc>
        <w:tc>
          <w:tcPr>
            <w:tcW w:w="1508" w:type="dxa"/>
          </w:tcPr>
          <w:p w14:paraId="5B4FCD8E" w14:textId="77777777" w:rsidR="000322EF" w:rsidRPr="00B05BE6" w:rsidRDefault="000322EF" w:rsidP="00B05BE6">
            <w:pPr>
              <w:spacing w:line="480" w:lineRule="auto"/>
              <w:jc w:val="both"/>
              <w:rPr>
                <w:rFonts w:ascii="Arial" w:hAnsi="Arial" w:cs="Arial"/>
              </w:rPr>
            </w:pPr>
            <w:r w:rsidRPr="00B05BE6">
              <w:rPr>
                <w:rFonts w:ascii="Arial" w:hAnsi="Arial" w:cs="Arial"/>
              </w:rPr>
              <w:t>7.6 cases/1000 catheter days</w:t>
            </w:r>
          </w:p>
          <w:p w14:paraId="1F8DA944" w14:textId="77777777" w:rsidR="000322EF" w:rsidRPr="00B05BE6" w:rsidRDefault="000322EF" w:rsidP="00B05BE6">
            <w:pPr>
              <w:spacing w:line="480" w:lineRule="auto"/>
              <w:jc w:val="both"/>
              <w:rPr>
                <w:rFonts w:ascii="Arial" w:hAnsi="Arial" w:cs="Arial"/>
              </w:rPr>
            </w:pPr>
            <w:r w:rsidRPr="00B05BE6">
              <w:rPr>
                <w:rFonts w:ascii="Arial" w:hAnsi="Arial" w:cs="Arial"/>
              </w:rPr>
              <w:t>to</w:t>
            </w:r>
          </w:p>
          <w:p w14:paraId="18A34B21" w14:textId="77777777" w:rsidR="000322EF" w:rsidRPr="00B05BE6" w:rsidRDefault="000322EF" w:rsidP="00B05BE6">
            <w:pPr>
              <w:spacing w:line="480" w:lineRule="auto"/>
              <w:jc w:val="both"/>
              <w:rPr>
                <w:rFonts w:ascii="Arial" w:hAnsi="Arial" w:cs="Arial"/>
              </w:rPr>
            </w:pPr>
            <w:r w:rsidRPr="00B05BE6">
              <w:rPr>
                <w:rFonts w:ascii="Arial" w:hAnsi="Arial" w:cs="Arial"/>
              </w:rPr>
              <w:t>0 cases/1000 catheter days</w:t>
            </w:r>
          </w:p>
        </w:tc>
        <w:tc>
          <w:tcPr>
            <w:tcW w:w="1177" w:type="dxa"/>
          </w:tcPr>
          <w:p w14:paraId="4B85F805" w14:textId="77777777" w:rsidR="000322EF" w:rsidRPr="00B05BE6" w:rsidRDefault="000322EF" w:rsidP="00B05BE6">
            <w:pPr>
              <w:spacing w:line="480" w:lineRule="auto"/>
              <w:jc w:val="both"/>
              <w:rPr>
                <w:rFonts w:ascii="Arial" w:hAnsi="Arial" w:cs="Arial"/>
              </w:rPr>
            </w:pPr>
            <w:r w:rsidRPr="00B05BE6">
              <w:rPr>
                <w:rFonts w:ascii="Arial" w:hAnsi="Arial" w:cs="Arial"/>
              </w:rPr>
              <w:t>100%</w:t>
            </w:r>
          </w:p>
        </w:tc>
        <w:tc>
          <w:tcPr>
            <w:tcW w:w="1449" w:type="dxa"/>
          </w:tcPr>
          <w:p w14:paraId="6D88B925" w14:textId="72204FFF" w:rsidR="000322EF" w:rsidRPr="00B05BE6" w:rsidRDefault="005D625C" w:rsidP="00B05BE6">
            <w:pPr>
              <w:spacing w:line="480" w:lineRule="auto"/>
              <w:jc w:val="both"/>
              <w:rPr>
                <w:rFonts w:ascii="Arial" w:hAnsi="Arial" w:cs="Arial"/>
                <w:u w:val="single"/>
              </w:rPr>
            </w:pPr>
            <w:r w:rsidRPr="00B05BE6">
              <w:rPr>
                <w:rFonts w:ascii="Arial" w:hAnsi="Arial" w:cs="Arial"/>
              </w:rPr>
              <w:fldChar w:fldCharType="begin"/>
            </w:r>
            <w:r w:rsidRPr="00B05BE6">
              <w:rPr>
                <w:rFonts w:ascii="Arial" w:hAnsi="Arial" w:cs="Arial"/>
              </w:rPr>
              <w:instrText xml:space="preserve"> ADDIN ZOTERO_ITEM CSL_CITATION {"citationID":"8YgpZOXj","properties":{"formattedCitation":"[49]","plainCitation":"[49]","noteIndex":0},"citationItems":[{"id":518,"uris":["http://zotero.org/users/local/7lPBLJiX/items/UZ2PD7UD"],"itemData":{"id":518,"type":"article-journal","container-title":"BMJ Open Quality","issue":"2","language":"en","title":"Reducing catheter-associated urinary tract infections in the cardiac intensive care unit with a coordinated strategy and nursing staff empowerment","volume":"12","author":[{"family":"Gupta","given":"P."},{"family":"Thomas","given":"M."},{"family":"Mathews","given":"L."}],"issued":{"date-parts":[["2023"]]}}}],"schema":"https://github.com/citation-style-language/schema/raw/master/csl-citation.json"} </w:instrText>
            </w:r>
            <w:r w:rsidRPr="00B05BE6">
              <w:rPr>
                <w:rFonts w:ascii="Arial" w:hAnsi="Arial" w:cs="Arial"/>
              </w:rPr>
              <w:fldChar w:fldCharType="separate"/>
            </w:r>
            <w:r w:rsidRPr="00B05BE6">
              <w:rPr>
                <w:rFonts w:ascii="Arial" w:hAnsi="Arial" w:cs="Arial"/>
              </w:rPr>
              <w:t>[49]</w:t>
            </w:r>
            <w:r w:rsidRPr="00B05BE6">
              <w:rPr>
                <w:rFonts w:ascii="Arial" w:hAnsi="Arial" w:cs="Arial"/>
              </w:rPr>
              <w:fldChar w:fldCharType="end"/>
            </w:r>
          </w:p>
        </w:tc>
      </w:tr>
      <w:tr w:rsidR="000322EF" w:rsidRPr="00FE38FD" w14:paraId="396FD489" w14:textId="77777777" w:rsidTr="00B05BE6">
        <w:tc>
          <w:tcPr>
            <w:tcW w:w="511" w:type="dxa"/>
          </w:tcPr>
          <w:p w14:paraId="292A6EFF" w14:textId="77777777" w:rsidR="000322EF" w:rsidRPr="00B05BE6" w:rsidRDefault="000322EF" w:rsidP="00B05BE6">
            <w:pPr>
              <w:spacing w:line="480" w:lineRule="auto"/>
              <w:jc w:val="both"/>
              <w:rPr>
                <w:rFonts w:ascii="Arial" w:hAnsi="Arial" w:cs="Arial"/>
                <w:b/>
                <w:bCs/>
              </w:rPr>
            </w:pPr>
            <w:r w:rsidRPr="00B05BE6">
              <w:rPr>
                <w:rFonts w:ascii="Arial" w:hAnsi="Arial" w:cs="Arial"/>
              </w:rPr>
              <w:lastRenderedPageBreak/>
              <w:t xml:space="preserve">4. </w:t>
            </w:r>
          </w:p>
        </w:tc>
        <w:tc>
          <w:tcPr>
            <w:tcW w:w="1185" w:type="dxa"/>
          </w:tcPr>
          <w:p w14:paraId="5BF107E6"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All wards </w:t>
            </w:r>
          </w:p>
        </w:tc>
        <w:tc>
          <w:tcPr>
            <w:tcW w:w="3186" w:type="dxa"/>
          </w:tcPr>
          <w:p w14:paraId="48C8E589" w14:textId="77777777" w:rsidR="000322EF" w:rsidRPr="00B05BE6" w:rsidRDefault="000322EF" w:rsidP="00B05BE6">
            <w:pPr>
              <w:spacing w:line="480" w:lineRule="auto"/>
              <w:jc w:val="both"/>
              <w:rPr>
                <w:rFonts w:ascii="Arial" w:hAnsi="Arial" w:cs="Arial"/>
              </w:rPr>
            </w:pPr>
            <w:r w:rsidRPr="00B05BE6">
              <w:rPr>
                <w:rFonts w:ascii="Arial" w:hAnsi="Arial" w:cs="Arial"/>
              </w:rPr>
              <w:t>CAUTI care bundle involving the following steps:</w:t>
            </w:r>
          </w:p>
          <w:p w14:paraId="5E1A9095" w14:textId="77777777" w:rsidR="000322EF" w:rsidRPr="00B05BE6" w:rsidRDefault="000322EF" w:rsidP="00B05BE6">
            <w:pPr>
              <w:pStyle w:val="ListParagraph"/>
              <w:numPr>
                <w:ilvl w:val="0"/>
                <w:numId w:val="10"/>
              </w:numPr>
              <w:spacing w:line="480" w:lineRule="auto"/>
              <w:jc w:val="both"/>
              <w:rPr>
                <w:rFonts w:ascii="Arial" w:hAnsi="Arial" w:cs="Arial"/>
              </w:rPr>
            </w:pPr>
            <w:r w:rsidRPr="00B05BE6">
              <w:rPr>
                <w:rFonts w:ascii="Arial" w:hAnsi="Arial" w:cs="Arial"/>
              </w:rPr>
              <w:t>Do not use (avoid) catheter irrigation (A-I)</w:t>
            </w:r>
          </w:p>
          <w:p w14:paraId="3C299FD6" w14:textId="77777777" w:rsidR="000322EF" w:rsidRPr="00B05BE6" w:rsidRDefault="000322EF" w:rsidP="00B05BE6">
            <w:pPr>
              <w:pStyle w:val="ListParagraph"/>
              <w:numPr>
                <w:ilvl w:val="0"/>
                <w:numId w:val="10"/>
              </w:numPr>
              <w:spacing w:line="480" w:lineRule="auto"/>
              <w:jc w:val="both"/>
              <w:rPr>
                <w:rFonts w:ascii="Arial" w:hAnsi="Arial" w:cs="Arial"/>
              </w:rPr>
            </w:pPr>
            <w:r w:rsidRPr="00B05BE6">
              <w:rPr>
                <w:rFonts w:ascii="Arial" w:hAnsi="Arial" w:cs="Arial"/>
              </w:rPr>
              <w:t>Do not use systemic antimicrobials routinely as prophylaxis (A-II)</w:t>
            </w:r>
          </w:p>
          <w:p w14:paraId="23E5AA50" w14:textId="77777777" w:rsidR="000322EF" w:rsidRPr="00B05BE6" w:rsidRDefault="000322EF" w:rsidP="00B05BE6">
            <w:pPr>
              <w:pStyle w:val="ListParagraph"/>
              <w:numPr>
                <w:ilvl w:val="0"/>
                <w:numId w:val="10"/>
              </w:numPr>
              <w:spacing w:line="480" w:lineRule="auto"/>
              <w:jc w:val="both"/>
              <w:rPr>
                <w:rFonts w:ascii="Arial" w:hAnsi="Arial" w:cs="Arial"/>
              </w:rPr>
            </w:pPr>
            <w:r w:rsidRPr="00B05BE6">
              <w:rPr>
                <w:rFonts w:ascii="Arial" w:hAnsi="Arial" w:cs="Arial"/>
              </w:rPr>
              <w:t>Do not change catheters routinely (A-III)</w:t>
            </w:r>
          </w:p>
        </w:tc>
        <w:tc>
          <w:tcPr>
            <w:tcW w:w="1508" w:type="dxa"/>
          </w:tcPr>
          <w:p w14:paraId="3CC3832C" w14:textId="77777777" w:rsidR="000322EF" w:rsidRPr="00B05BE6" w:rsidRDefault="000322EF" w:rsidP="00B05BE6">
            <w:pPr>
              <w:spacing w:line="480" w:lineRule="auto"/>
              <w:jc w:val="both"/>
              <w:rPr>
                <w:rFonts w:ascii="Arial" w:hAnsi="Arial" w:cs="Arial"/>
              </w:rPr>
            </w:pPr>
            <w:r w:rsidRPr="00B05BE6">
              <w:rPr>
                <w:rFonts w:ascii="Arial" w:hAnsi="Arial" w:cs="Arial"/>
              </w:rPr>
              <w:t>0.39 cases/1000</w:t>
            </w:r>
          </w:p>
          <w:p w14:paraId="338C0D18" w14:textId="77777777" w:rsidR="000322EF" w:rsidRPr="00B05BE6" w:rsidRDefault="000322EF" w:rsidP="00B05BE6">
            <w:pPr>
              <w:spacing w:line="480" w:lineRule="auto"/>
              <w:jc w:val="both"/>
              <w:rPr>
                <w:rFonts w:ascii="Arial" w:hAnsi="Arial" w:cs="Arial"/>
              </w:rPr>
            </w:pPr>
            <w:r w:rsidRPr="00B05BE6">
              <w:rPr>
                <w:rFonts w:ascii="Arial" w:hAnsi="Arial" w:cs="Arial"/>
              </w:rPr>
              <w:t>catheter days</w:t>
            </w:r>
          </w:p>
          <w:p w14:paraId="1EDF30F4" w14:textId="77777777" w:rsidR="000322EF" w:rsidRPr="00B05BE6" w:rsidRDefault="000322EF" w:rsidP="00B05BE6">
            <w:pPr>
              <w:spacing w:line="480" w:lineRule="auto"/>
              <w:jc w:val="both"/>
              <w:rPr>
                <w:rFonts w:ascii="Arial" w:hAnsi="Arial" w:cs="Arial"/>
              </w:rPr>
            </w:pPr>
            <w:r w:rsidRPr="00B05BE6">
              <w:rPr>
                <w:rFonts w:ascii="Arial" w:hAnsi="Arial" w:cs="Arial"/>
              </w:rPr>
              <w:t>to</w:t>
            </w:r>
          </w:p>
          <w:p w14:paraId="7365D54F"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0.35 cases/1000 </w:t>
            </w:r>
          </w:p>
          <w:p w14:paraId="24B51B48"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catheter days </w:t>
            </w:r>
          </w:p>
          <w:p w14:paraId="52E45C11" w14:textId="77777777" w:rsidR="000322EF" w:rsidRPr="00B05BE6" w:rsidRDefault="000322EF" w:rsidP="00B05BE6">
            <w:pPr>
              <w:spacing w:line="480" w:lineRule="auto"/>
              <w:jc w:val="both"/>
              <w:rPr>
                <w:rFonts w:ascii="Arial" w:hAnsi="Arial" w:cs="Arial"/>
              </w:rPr>
            </w:pPr>
          </w:p>
        </w:tc>
        <w:tc>
          <w:tcPr>
            <w:tcW w:w="1177" w:type="dxa"/>
          </w:tcPr>
          <w:p w14:paraId="1DACD9E2" w14:textId="77777777" w:rsidR="000322EF" w:rsidRPr="00B05BE6" w:rsidRDefault="000322EF" w:rsidP="00B05BE6">
            <w:pPr>
              <w:spacing w:line="480" w:lineRule="auto"/>
              <w:jc w:val="both"/>
              <w:rPr>
                <w:rFonts w:ascii="Arial" w:hAnsi="Arial" w:cs="Arial"/>
              </w:rPr>
            </w:pPr>
            <w:r w:rsidRPr="00B05BE6">
              <w:rPr>
                <w:rFonts w:ascii="Arial" w:hAnsi="Arial" w:cs="Arial"/>
              </w:rPr>
              <w:t>10%</w:t>
            </w:r>
          </w:p>
        </w:tc>
        <w:tc>
          <w:tcPr>
            <w:tcW w:w="1449" w:type="dxa"/>
          </w:tcPr>
          <w:p w14:paraId="0B2F878D" w14:textId="77777777" w:rsidR="000322EF" w:rsidRPr="00B05BE6" w:rsidRDefault="000322EF" w:rsidP="00B05BE6">
            <w:pPr>
              <w:spacing w:line="480" w:lineRule="auto"/>
              <w:jc w:val="both"/>
              <w:rPr>
                <w:rFonts w:ascii="Arial" w:hAnsi="Arial" w:cs="Arial"/>
              </w:rPr>
            </w:pPr>
            <w:r w:rsidRPr="00B05BE6">
              <w:rPr>
                <w:rFonts w:ascii="Arial" w:hAnsi="Arial" w:cs="Arial"/>
              </w:rPr>
              <w:t>Present study</w:t>
            </w:r>
          </w:p>
        </w:tc>
      </w:tr>
    </w:tbl>
    <w:p w14:paraId="12395AF9" w14:textId="77777777" w:rsidR="000322EF" w:rsidRPr="00B05BE6" w:rsidRDefault="000322EF" w:rsidP="00B05BE6">
      <w:pPr>
        <w:spacing w:line="480" w:lineRule="auto"/>
        <w:jc w:val="both"/>
        <w:rPr>
          <w:rFonts w:ascii="Arial" w:hAnsi="Arial" w:cs="Arial"/>
          <w:i/>
          <w:iCs/>
        </w:rPr>
      </w:pPr>
      <w:r w:rsidRPr="00B05BE6">
        <w:rPr>
          <w:rFonts w:ascii="Arial" w:hAnsi="Arial" w:cs="Arial"/>
          <w:i/>
          <w:iCs/>
        </w:rPr>
        <w:t>CAUTI: Catheter-associated urinary tract infection; HAI: Healthcare-associated infection; IPC: Infection prevention and control.</w:t>
      </w:r>
    </w:p>
    <w:p w14:paraId="3D63B5B5" w14:textId="77777777" w:rsidR="000322EF" w:rsidRPr="00B05BE6" w:rsidRDefault="000322EF" w:rsidP="00FE38FD">
      <w:pPr>
        <w:spacing w:line="480" w:lineRule="auto"/>
        <w:jc w:val="both"/>
        <w:rPr>
          <w:rFonts w:ascii="Arial" w:hAnsi="Arial" w:cs="Arial"/>
          <w:b/>
          <w:bCs/>
        </w:rPr>
      </w:pPr>
    </w:p>
    <w:p w14:paraId="177CAE36" w14:textId="77777777" w:rsidR="00C475EB" w:rsidRPr="00B05BE6" w:rsidRDefault="00C475EB" w:rsidP="00FE38FD">
      <w:pPr>
        <w:spacing w:line="480" w:lineRule="auto"/>
        <w:jc w:val="both"/>
        <w:rPr>
          <w:rFonts w:ascii="Arial" w:hAnsi="Arial" w:cs="Arial"/>
          <w:b/>
          <w:bCs/>
        </w:rPr>
      </w:pPr>
    </w:p>
    <w:p w14:paraId="0A523C7A" w14:textId="77777777" w:rsidR="00C475EB" w:rsidRPr="00B05BE6" w:rsidRDefault="00C475EB" w:rsidP="00FE38FD">
      <w:pPr>
        <w:spacing w:line="480" w:lineRule="auto"/>
        <w:jc w:val="both"/>
        <w:rPr>
          <w:rFonts w:ascii="Arial" w:hAnsi="Arial" w:cs="Arial"/>
          <w:b/>
          <w:bCs/>
        </w:rPr>
      </w:pPr>
    </w:p>
    <w:p w14:paraId="0DD74228" w14:textId="77777777" w:rsidR="00C475EB" w:rsidRPr="00B05BE6" w:rsidRDefault="00C475EB" w:rsidP="00FE38FD">
      <w:pPr>
        <w:spacing w:line="480" w:lineRule="auto"/>
        <w:jc w:val="both"/>
        <w:rPr>
          <w:rFonts w:ascii="Arial" w:hAnsi="Arial" w:cs="Arial"/>
          <w:b/>
          <w:bCs/>
        </w:rPr>
      </w:pPr>
    </w:p>
    <w:p w14:paraId="30FE9798" w14:textId="77777777" w:rsidR="00C475EB" w:rsidRPr="00B05BE6" w:rsidRDefault="00C475EB" w:rsidP="00B05BE6">
      <w:pPr>
        <w:spacing w:line="480" w:lineRule="auto"/>
        <w:jc w:val="both"/>
        <w:rPr>
          <w:rFonts w:ascii="Arial" w:hAnsi="Arial" w:cs="Arial"/>
          <w:b/>
          <w:bCs/>
        </w:rPr>
      </w:pPr>
    </w:p>
    <w:p w14:paraId="353EC3E3" w14:textId="5CA9CEA3" w:rsidR="000322EF" w:rsidRPr="00B05BE6" w:rsidRDefault="000322EF" w:rsidP="00B05BE6">
      <w:pPr>
        <w:spacing w:line="480" w:lineRule="auto"/>
        <w:jc w:val="both"/>
        <w:rPr>
          <w:rFonts w:ascii="Arial" w:hAnsi="Arial" w:cs="Arial"/>
          <w:b/>
          <w:bCs/>
        </w:rPr>
      </w:pPr>
      <w:r w:rsidRPr="00B05BE6">
        <w:rPr>
          <w:rFonts w:ascii="Arial" w:hAnsi="Arial" w:cs="Arial"/>
          <w:b/>
          <w:bCs/>
        </w:rPr>
        <w:t xml:space="preserve">Supplementary Table 5: </w:t>
      </w:r>
      <w:r w:rsidRPr="00B05BE6">
        <w:rPr>
          <w:rFonts w:ascii="Arial" w:hAnsi="Arial" w:cs="Arial"/>
        </w:rPr>
        <w:t>Decrease in CLABSI incidence following the adoption of CLABSI care bundles as reported in various studies</w:t>
      </w:r>
    </w:p>
    <w:tbl>
      <w:tblPr>
        <w:tblStyle w:val="TableGridLight"/>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571"/>
        <w:gridCol w:w="1185"/>
        <w:gridCol w:w="3186"/>
        <w:gridCol w:w="1508"/>
        <w:gridCol w:w="1403"/>
        <w:gridCol w:w="1449"/>
      </w:tblGrid>
      <w:tr w:rsidR="000322EF" w:rsidRPr="00FE38FD" w14:paraId="0D5A90AA" w14:textId="77777777" w:rsidTr="00B05BE6">
        <w:trPr>
          <w:tblHeader/>
        </w:trPr>
        <w:tc>
          <w:tcPr>
            <w:tcW w:w="9016" w:type="dxa"/>
            <w:gridSpan w:val="6"/>
            <w:shd w:val="clear" w:color="auto" w:fill="F2F2F2" w:themeFill="background1" w:themeFillShade="F2"/>
          </w:tcPr>
          <w:p w14:paraId="43ED9ADB"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Reduction in CLABSIs</w:t>
            </w:r>
          </w:p>
        </w:tc>
      </w:tr>
      <w:tr w:rsidR="000322EF" w:rsidRPr="00FE38FD" w14:paraId="1988BBD9" w14:textId="77777777" w:rsidTr="00B05BE6">
        <w:trPr>
          <w:tblHeader/>
        </w:trPr>
        <w:tc>
          <w:tcPr>
            <w:tcW w:w="511" w:type="dxa"/>
            <w:shd w:val="clear" w:color="auto" w:fill="F2F2F2" w:themeFill="background1" w:themeFillShade="F2"/>
          </w:tcPr>
          <w:p w14:paraId="666C79B6"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Sl. No.</w:t>
            </w:r>
          </w:p>
        </w:tc>
        <w:tc>
          <w:tcPr>
            <w:tcW w:w="1185" w:type="dxa"/>
            <w:shd w:val="clear" w:color="auto" w:fill="F2F2F2" w:themeFill="background1" w:themeFillShade="F2"/>
          </w:tcPr>
          <w:p w14:paraId="6A861E8B"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Type of ward</w:t>
            </w:r>
          </w:p>
        </w:tc>
        <w:tc>
          <w:tcPr>
            <w:tcW w:w="3186" w:type="dxa"/>
            <w:shd w:val="clear" w:color="auto" w:fill="F2F2F2" w:themeFill="background1" w:themeFillShade="F2"/>
          </w:tcPr>
          <w:p w14:paraId="364EBC1F"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IPC practices implemented</w:t>
            </w:r>
          </w:p>
        </w:tc>
        <w:tc>
          <w:tcPr>
            <w:tcW w:w="1508" w:type="dxa"/>
            <w:shd w:val="clear" w:color="auto" w:fill="F2F2F2" w:themeFill="background1" w:themeFillShade="F2"/>
          </w:tcPr>
          <w:p w14:paraId="0593D43F"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Reduction rates</w:t>
            </w:r>
          </w:p>
        </w:tc>
        <w:tc>
          <w:tcPr>
            <w:tcW w:w="1177" w:type="dxa"/>
            <w:shd w:val="clear" w:color="auto" w:fill="F2F2F2" w:themeFill="background1" w:themeFillShade="F2"/>
          </w:tcPr>
          <w:p w14:paraId="13422658"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Percentage reduction</w:t>
            </w:r>
          </w:p>
        </w:tc>
        <w:tc>
          <w:tcPr>
            <w:tcW w:w="1449" w:type="dxa"/>
            <w:shd w:val="clear" w:color="auto" w:fill="F2F2F2" w:themeFill="background1" w:themeFillShade="F2"/>
          </w:tcPr>
          <w:p w14:paraId="6BC5ACF2"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Reference</w:t>
            </w:r>
          </w:p>
        </w:tc>
      </w:tr>
      <w:tr w:rsidR="000322EF" w:rsidRPr="00FE38FD" w14:paraId="15D58807" w14:textId="77777777" w:rsidTr="00B05BE6">
        <w:trPr>
          <w:trHeight w:val="1617"/>
        </w:trPr>
        <w:tc>
          <w:tcPr>
            <w:tcW w:w="511" w:type="dxa"/>
          </w:tcPr>
          <w:p w14:paraId="2D9B3818" w14:textId="77777777" w:rsidR="000322EF" w:rsidRPr="00B05BE6" w:rsidRDefault="000322EF" w:rsidP="00B05BE6">
            <w:pPr>
              <w:spacing w:line="480" w:lineRule="auto"/>
              <w:jc w:val="both"/>
              <w:rPr>
                <w:rFonts w:ascii="Arial" w:hAnsi="Arial" w:cs="Arial"/>
                <w:b/>
                <w:bCs/>
              </w:rPr>
            </w:pPr>
            <w:r w:rsidRPr="00B05BE6">
              <w:rPr>
                <w:rFonts w:ascii="Arial" w:hAnsi="Arial" w:cs="Arial"/>
              </w:rPr>
              <w:t>1.</w:t>
            </w:r>
          </w:p>
        </w:tc>
        <w:tc>
          <w:tcPr>
            <w:tcW w:w="1185" w:type="dxa"/>
          </w:tcPr>
          <w:p w14:paraId="36C3B667"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Intensive care units </w:t>
            </w:r>
          </w:p>
        </w:tc>
        <w:tc>
          <w:tcPr>
            <w:tcW w:w="3186" w:type="dxa"/>
          </w:tcPr>
          <w:p w14:paraId="0D39646A"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CLABSI prevention bundle along with chlorhexidine bathing of ICU patients with central venous catheters </w:t>
            </w:r>
          </w:p>
        </w:tc>
        <w:tc>
          <w:tcPr>
            <w:tcW w:w="1508" w:type="dxa"/>
          </w:tcPr>
          <w:p w14:paraId="6DCDE58F" w14:textId="77777777" w:rsidR="000322EF" w:rsidRPr="00B05BE6" w:rsidRDefault="000322EF" w:rsidP="00B05BE6">
            <w:pPr>
              <w:spacing w:line="480" w:lineRule="auto"/>
              <w:jc w:val="both"/>
              <w:rPr>
                <w:rFonts w:ascii="Arial" w:hAnsi="Arial" w:cs="Arial"/>
              </w:rPr>
            </w:pPr>
            <w:r w:rsidRPr="00B05BE6">
              <w:rPr>
                <w:rFonts w:ascii="Arial" w:hAnsi="Arial" w:cs="Arial"/>
              </w:rPr>
              <w:t>2.45 cases/1000 central line days</w:t>
            </w:r>
          </w:p>
          <w:p w14:paraId="0EECA1DA" w14:textId="77777777" w:rsidR="000322EF" w:rsidRPr="00B05BE6" w:rsidRDefault="000322EF" w:rsidP="00B05BE6">
            <w:pPr>
              <w:spacing w:line="480" w:lineRule="auto"/>
              <w:jc w:val="both"/>
              <w:rPr>
                <w:rFonts w:ascii="Arial" w:hAnsi="Arial" w:cs="Arial"/>
              </w:rPr>
            </w:pPr>
            <w:r w:rsidRPr="00B05BE6">
              <w:rPr>
                <w:rFonts w:ascii="Arial" w:hAnsi="Arial" w:cs="Arial"/>
              </w:rPr>
              <w:t>to</w:t>
            </w:r>
          </w:p>
          <w:p w14:paraId="2709E843" w14:textId="77777777" w:rsidR="000322EF" w:rsidRPr="00B05BE6" w:rsidRDefault="000322EF" w:rsidP="00B05BE6">
            <w:pPr>
              <w:spacing w:line="480" w:lineRule="auto"/>
              <w:jc w:val="both"/>
              <w:rPr>
                <w:rFonts w:ascii="Arial" w:hAnsi="Arial" w:cs="Arial"/>
              </w:rPr>
            </w:pPr>
            <w:r w:rsidRPr="00B05BE6">
              <w:rPr>
                <w:rFonts w:ascii="Arial" w:hAnsi="Arial" w:cs="Arial"/>
              </w:rPr>
              <w:t>1.00 cases/1000 central line days</w:t>
            </w:r>
          </w:p>
        </w:tc>
        <w:tc>
          <w:tcPr>
            <w:tcW w:w="1177" w:type="dxa"/>
          </w:tcPr>
          <w:p w14:paraId="4220116E" w14:textId="77777777" w:rsidR="000322EF" w:rsidRPr="00B05BE6" w:rsidRDefault="000322EF" w:rsidP="00B05BE6">
            <w:pPr>
              <w:spacing w:line="480" w:lineRule="auto"/>
              <w:jc w:val="both"/>
              <w:rPr>
                <w:rFonts w:ascii="Arial" w:hAnsi="Arial" w:cs="Arial"/>
              </w:rPr>
            </w:pPr>
            <w:r w:rsidRPr="00B05BE6">
              <w:rPr>
                <w:rFonts w:ascii="Arial" w:hAnsi="Arial" w:cs="Arial"/>
              </w:rPr>
              <w:t>59%</w:t>
            </w:r>
          </w:p>
        </w:tc>
        <w:tc>
          <w:tcPr>
            <w:tcW w:w="1449" w:type="dxa"/>
          </w:tcPr>
          <w:p w14:paraId="6349808D" w14:textId="072E0B59"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{"citationID":"lW9z6MgW","properties":{"formattedCitation":"[50]","plainCitation":"[50]","noteIndex":0},"citationItems":[{"id":539,"uris":["http://zotero.org/users/local/7lPBLJiX/items/6C3QDLVX"],"itemData":{"id":539,"type":"article-journal","container-title":"Journal of Hospital Infection","language":"en","page":"26–32","title":"Implementation of daily chlorhexidine bathing in intensive care units for reduction of central line-associated bloodstream infections","volume":"110","author":[{"family":"Scheier","given":"T."},{"family":"Saleschus","given":"D."},{"family":"Dunic","given":"M."}],"issued":{"date-parts":[["2021"]]}}}],"schema":"https://github.com/citation-style-language/schema/raw/master/csl-citation.json"} </w:instrText>
            </w:r>
            <w:r w:rsidRPr="00B05BE6">
              <w:rPr>
                <w:rFonts w:ascii="Arial" w:hAnsi="Arial" w:cs="Arial"/>
              </w:rPr>
              <w:fldChar w:fldCharType="separate"/>
            </w:r>
            <w:r w:rsidRPr="00B05BE6">
              <w:rPr>
                <w:rFonts w:ascii="Arial" w:hAnsi="Arial" w:cs="Arial"/>
              </w:rPr>
              <w:t>[50]</w:t>
            </w:r>
            <w:r w:rsidRPr="00B05BE6">
              <w:rPr>
                <w:rFonts w:ascii="Arial" w:hAnsi="Arial" w:cs="Arial"/>
              </w:rPr>
              <w:fldChar w:fldCharType="end"/>
            </w:r>
          </w:p>
        </w:tc>
      </w:tr>
      <w:tr w:rsidR="000322EF" w:rsidRPr="00FE38FD" w14:paraId="5632ED84" w14:textId="77777777" w:rsidTr="00B05BE6">
        <w:tc>
          <w:tcPr>
            <w:tcW w:w="511" w:type="dxa"/>
          </w:tcPr>
          <w:p w14:paraId="3BD0301D" w14:textId="77777777" w:rsidR="000322EF" w:rsidRPr="00B05BE6" w:rsidRDefault="000322EF" w:rsidP="00B05BE6">
            <w:pPr>
              <w:spacing w:line="480" w:lineRule="auto"/>
              <w:jc w:val="both"/>
              <w:rPr>
                <w:rFonts w:ascii="Arial" w:hAnsi="Arial" w:cs="Arial"/>
                <w:b/>
                <w:bCs/>
              </w:rPr>
            </w:pPr>
            <w:r w:rsidRPr="00B05BE6">
              <w:rPr>
                <w:rFonts w:ascii="Arial" w:hAnsi="Arial" w:cs="Arial"/>
              </w:rPr>
              <w:lastRenderedPageBreak/>
              <w:t>2.</w:t>
            </w:r>
          </w:p>
        </w:tc>
        <w:tc>
          <w:tcPr>
            <w:tcW w:w="1185" w:type="dxa"/>
          </w:tcPr>
          <w:p w14:paraId="3CD28B86" w14:textId="77777777" w:rsidR="000322EF" w:rsidRPr="00B05BE6" w:rsidRDefault="000322EF" w:rsidP="00B05BE6">
            <w:pPr>
              <w:spacing w:line="480" w:lineRule="auto"/>
              <w:jc w:val="both"/>
              <w:rPr>
                <w:rFonts w:ascii="Arial" w:hAnsi="Arial" w:cs="Arial"/>
              </w:rPr>
            </w:pPr>
            <w:r w:rsidRPr="00B05BE6">
              <w:rPr>
                <w:rFonts w:ascii="Arial" w:hAnsi="Arial" w:cs="Arial"/>
              </w:rPr>
              <w:t>Liver care intensive care unit</w:t>
            </w:r>
          </w:p>
        </w:tc>
        <w:tc>
          <w:tcPr>
            <w:tcW w:w="3186" w:type="dxa"/>
          </w:tcPr>
          <w:p w14:paraId="743F55FD" w14:textId="77777777" w:rsidR="000322EF" w:rsidRPr="00B05BE6" w:rsidRDefault="000322EF" w:rsidP="00B05BE6">
            <w:pPr>
              <w:spacing w:line="480" w:lineRule="auto"/>
              <w:jc w:val="both"/>
              <w:rPr>
                <w:rFonts w:ascii="Arial" w:hAnsi="Arial" w:cs="Arial"/>
              </w:rPr>
            </w:pPr>
            <w:r w:rsidRPr="00B05BE6">
              <w:rPr>
                <w:rFonts w:ascii="Arial" w:hAnsi="Arial" w:cs="Arial"/>
              </w:rPr>
              <w:t>CLABSI care bundle</w:t>
            </w:r>
          </w:p>
        </w:tc>
        <w:tc>
          <w:tcPr>
            <w:tcW w:w="1508" w:type="dxa"/>
          </w:tcPr>
          <w:p w14:paraId="3CD2C199" w14:textId="77777777" w:rsidR="000322EF" w:rsidRPr="00B05BE6" w:rsidRDefault="000322EF" w:rsidP="00B05BE6">
            <w:pPr>
              <w:spacing w:line="480" w:lineRule="auto"/>
              <w:jc w:val="both"/>
              <w:rPr>
                <w:rFonts w:ascii="Arial" w:hAnsi="Arial" w:cs="Arial"/>
              </w:rPr>
            </w:pPr>
            <w:r w:rsidRPr="00B05BE6">
              <w:rPr>
                <w:rFonts w:ascii="Arial" w:hAnsi="Arial" w:cs="Arial"/>
              </w:rPr>
              <w:t>11.73 cases/1000 central line days to</w:t>
            </w:r>
          </w:p>
          <w:p w14:paraId="7C59D9A1" w14:textId="77777777" w:rsidR="000322EF" w:rsidRPr="00B05BE6" w:rsidRDefault="000322EF" w:rsidP="00B05BE6">
            <w:pPr>
              <w:spacing w:line="480" w:lineRule="auto"/>
              <w:jc w:val="both"/>
              <w:rPr>
                <w:rFonts w:ascii="Arial" w:hAnsi="Arial" w:cs="Arial"/>
              </w:rPr>
            </w:pPr>
            <w:r w:rsidRPr="00B05BE6">
              <w:rPr>
                <w:rFonts w:ascii="Arial" w:hAnsi="Arial" w:cs="Arial"/>
              </w:rPr>
              <w:t>3.99 cases/1000 central line days</w:t>
            </w:r>
          </w:p>
          <w:p w14:paraId="1DFEE788" w14:textId="77777777" w:rsidR="000322EF" w:rsidRPr="00B05BE6" w:rsidRDefault="000322EF" w:rsidP="00B05BE6">
            <w:pPr>
              <w:spacing w:line="480" w:lineRule="auto"/>
              <w:jc w:val="both"/>
              <w:rPr>
                <w:rFonts w:ascii="Arial" w:hAnsi="Arial" w:cs="Arial"/>
              </w:rPr>
            </w:pPr>
            <w:r w:rsidRPr="00B05BE6">
              <w:rPr>
                <w:rFonts w:ascii="Arial" w:hAnsi="Arial" w:cs="Arial"/>
              </w:rPr>
              <w:t>(p&lt;0.001)</w:t>
            </w:r>
          </w:p>
        </w:tc>
        <w:tc>
          <w:tcPr>
            <w:tcW w:w="1177" w:type="dxa"/>
          </w:tcPr>
          <w:p w14:paraId="57051190"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    66.1%</w:t>
            </w:r>
          </w:p>
        </w:tc>
        <w:tc>
          <w:tcPr>
            <w:tcW w:w="1449" w:type="dxa"/>
          </w:tcPr>
          <w:p w14:paraId="787FB440" w14:textId="1748B695"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{"citationID":"QqeEdsJ7","properties":{"formattedCitation":"[51]","plainCitation":"[51]","noteIndex":0},"citationItems":[{"id":526,"uris":["http://zotero.org/users/local/7lPBLJiX/items/TB9DS74P"],"itemData":{"id":526,"type":"article-journal","container-title":"Indian Journal of Critical Care Medicine: Peer-reviewed, Official Publication of Indian Society of Critical Care Medicine","issue":"1","language":"en","title":"Incidence, microbiological profile, and impact of preventive measures on central line-associated bloodstream infection in liver care intensive care unit","volume":"24","author":[{"family":"Khodare","given":"A."},{"family":"Kale","given":"P."},{"family":"Pindi","given":"G."}],"issued":{"date-parts":[["2020"]]}}}],"schema":"https://github.com/citation-style-language/schema/raw/master/csl-citation.json"} </w:instrText>
            </w:r>
            <w:r w:rsidRPr="00B05BE6">
              <w:rPr>
                <w:rFonts w:ascii="Arial" w:hAnsi="Arial" w:cs="Arial"/>
              </w:rPr>
              <w:fldChar w:fldCharType="separate"/>
            </w:r>
            <w:r w:rsidRPr="00B05BE6">
              <w:rPr>
                <w:rFonts w:ascii="Arial" w:hAnsi="Arial" w:cs="Arial"/>
              </w:rPr>
              <w:t>[51]</w:t>
            </w:r>
            <w:r w:rsidRPr="00B05BE6">
              <w:rPr>
                <w:rFonts w:ascii="Arial" w:hAnsi="Arial" w:cs="Arial"/>
              </w:rPr>
              <w:fldChar w:fldCharType="end"/>
            </w:r>
          </w:p>
        </w:tc>
      </w:tr>
      <w:tr w:rsidR="000322EF" w:rsidRPr="00FE38FD" w14:paraId="4DF79B50" w14:textId="77777777" w:rsidTr="00B05BE6">
        <w:tc>
          <w:tcPr>
            <w:tcW w:w="511" w:type="dxa"/>
          </w:tcPr>
          <w:p w14:paraId="7ACEBAF0" w14:textId="77777777" w:rsidR="000322EF" w:rsidRPr="00B05BE6" w:rsidRDefault="000322EF" w:rsidP="00B05BE6">
            <w:pPr>
              <w:spacing w:line="480" w:lineRule="auto"/>
              <w:jc w:val="both"/>
              <w:rPr>
                <w:rFonts w:ascii="Arial" w:hAnsi="Arial" w:cs="Arial"/>
                <w:b/>
                <w:bCs/>
              </w:rPr>
            </w:pPr>
            <w:r w:rsidRPr="00B05BE6">
              <w:rPr>
                <w:rFonts w:ascii="Arial" w:hAnsi="Arial" w:cs="Arial"/>
              </w:rPr>
              <w:t xml:space="preserve">3. </w:t>
            </w:r>
          </w:p>
        </w:tc>
        <w:tc>
          <w:tcPr>
            <w:tcW w:w="1185" w:type="dxa"/>
          </w:tcPr>
          <w:p w14:paraId="67E68F28"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Adult intensive care units </w:t>
            </w:r>
          </w:p>
        </w:tc>
        <w:tc>
          <w:tcPr>
            <w:tcW w:w="3186" w:type="dxa"/>
          </w:tcPr>
          <w:p w14:paraId="130EE90C"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INICC multidimensional CLABSI bundle, education, outcome, and process surveillance and performance feedback </w:t>
            </w:r>
          </w:p>
        </w:tc>
        <w:tc>
          <w:tcPr>
            <w:tcW w:w="1508" w:type="dxa"/>
          </w:tcPr>
          <w:p w14:paraId="3E0F19F9" w14:textId="77777777" w:rsidR="000322EF" w:rsidRPr="00B05BE6" w:rsidRDefault="000322EF" w:rsidP="00B05BE6">
            <w:pPr>
              <w:spacing w:line="480" w:lineRule="auto"/>
              <w:jc w:val="both"/>
              <w:rPr>
                <w:rFonts w:ascii="Arial" w:hAnsi="Arial" w:cs="Arial"/>
              </w:rPr>
            </w:pPr>
            <w:r w:rsidRPr="00B05BE6">
              <w:rPr>
                <w:rFonts w:ascii="Arial" w:hAnsi="Arial" w:cs="Arial"/>
              </w:rPr>
              <w:t>6.4 cases/1000</w:t>
            </w:r>
          </w:p>
          <w:p w14:paraId="64642A2A"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central line days to </w:t>
            </w:r>
          </w:p>
          <w:p w14:paraId="71B27CC0"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 xml:space="preserve">3.9 cases/1000 </w:t>
            </w:r>
          </w:p>
          <w:p w14:paraId="6768B660" w14:textId="77777777" w:rsidR="000322EF" w:rsidRPr="00B05BE6" w:rsidRDefault="000322EF" w:rsidP="00B05BE6">
            <w:pPr>
              <w:spacing w:line="480" w:lineRule="auto"/>
              <w:jc w:val="both"/>
              <w:rPr>
                <w:rFonts w:ascii="Arial" w:hAnsi="Arial" w:cs="Arial"/>
              </w:rPr>
            </w:pPr>
            <w:r w:rsidRPr="00B05BE6">
              <w:rPr>
                <w:rFonts w:ascii="Arial" w:hAnsi="Arial" w:cs="Arial"/>
              </w:rPr>
              <w:t>central line days</w:t>
            </w:r>
          </w:p>
          <w:p w14:paraId="37297EFB"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(p=0.0001) </w:t>
            </w:r>
          </w:p>
        </w:tc>
        <w:tc>
          <w:tcPr>
            <w:tcW w:w="1177" w:type="dxa"/>
          </w:tcPr>
          <w:p w14:paraId="4DF9318F"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53%</w:t>
            </w:r>
          </w:p>
        </w:tc>
        <w:tc>
          <w:tcPr>
            <w:tcW w:w="1449" w:type="dxa"/>
          </w:tcPr>
          <w:p w14:paraId="6BEF14A3" w14:textId="39E8BA64"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{"citationID":"CO2fqjUB","properties":{"formattedCitation":"[52]","plainCitation":"[52]","noteIndex":0},"citationItems":[{"id":523,"uris":["http://zotero.org/users/local/7lPBLJiX/items/3NSEWRM2"],"itemData":{"id":523,"type":"article-journal","container-title":"International Journal of Infectious Diseases","issue":"12","language":"en","title":"Impact of an international nosocomial infection control consortium multidimensional approach on central line-associated bloodstream infection rates in adult intensive care units in eight cities in India","volume":"17","author":[{"family":"Jaggi","given":"N."},{"family":"Rodrigues","given":"C."},{"family":"Rosenthal","given":"V.D."}],"issued":{"date-parts":[["2013"]]}}}],"schema":"https://github.com/citation-style-language/schema/raw/master/csl-citation.json"} </w:instrText>
            </w:r>
            <w:r w:rsidRPr="00B05BE6">
              <w:rPr>
                <w:rFonts w:ascii="Arial" w:hAnsi="Arial" w:cs="Arial"/>
              </w:rPr>
              <w:fldChar w:fldCharType="separate"/>
            </w:r>
            <w:r w:rsidRPr="00B05BE6">
              <w:rPr>
                <w:rFonts w:ascii="Arial" w:hAnsi="Arial" w:cs="Arial"/>
              </w:rPr>
              <w:t>[52]</w:t>
            </w:r>
            <w:r w:rsidRPr="00B05BE6">
              <w:rPr>
                <w:rFonts w:ascii="Arial" w:hAnsi="Arial" w:cs="Arial"/>
              </w:rPr>
              <w:fldChar w:fldCharType="end"/>
            </w:r>
          </w:p>
        </w:tc>
      </w:tr>
      <w:tr w:rsidR="000322EF" w:rsidRPr="00FE38FD" w14:paraId="1D000FEA" w14:textId="77777777" w:rsidTr="00B05BE6">
        <w:tc>
          <w:tcPr>
            <w:tcW w:w="511" w:type="dxa"/>
          </w:tcPr>
          <w:p w14:paraId="2F0E2DB2" w14:textId="77777777" w:rsidR="000322EF" w:rsidRPr="00B05BE6" w:rsidRDefault="000322EF" w:rsidP="00B05BE6">
            <w:pPr>
              <w:spacing w:line="480" w:lineRule="auto"/>
              <w:jc w:val="both"/>
              <w:rPr>
                <w:rFonts w:ascii="Arial" w:hAnsi="Arial" w:cs="Arial"/>
                <w:b/>
                <w:bCs/>
              </w:rPr>
            </w:pPr>
            <w:r w:rsidRPr="00B05BE6">
              <w:rPr>
                <w:rFonts w:ascii="Arial" w:hAnsi="Arial" w:cs="Arial"/>
              </w:rPr>
              <w:t>4.</w:t>
            </w:r>
          </w:p>
        </w:tc>
        <w:tc>
          <w:tcPr>
            <w:tcW w:w="1185" w:type="dxa"/>
          </w:tcPr>
          <w:p w14:paraId="4DFBD324"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Adult intensive care units </w:t>
            </w:r>
          </w:p>
        </w:tc>
        <w:tc>
          <w:tcPr>
            <w:tcW w:w="3186" w:type="dxa"/>
          </w:tcPr>
          <w:p w14:paraId="50DFDEE0"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CLABSI care bundles </w:t>
            </w:r>
          </w:p>
        </w:tc>
        <w:tc>
          <w:tcPr>
            <w:tcW w:w="1508" w:type="dxa"/>
          </w:tcPr>
          <w:p w14:paraId="37760633" w14:textId="77777777" w:rsidR="000322EF" w:rsidRPr="00B05BE6" w:rsidRDefault="000322EF" w:rsidP="00B05BE6">
            <w:pPr>
              <w:spacing w:line="480" w:lineRule="auto"/>
              <w:jc w:val="both"/>
              <w:rPr>
                <w:rFonts w:ascii="Arial" w:hAnsi="Arial" w:cs="Arial"/>
              </w:rPr>
            </w:pPr>
            <w:r w:rsidRPr="00B05BE6">
              <w:rPr>
                <w:rFonts w:ascii="Arial" w:hAnsi="Arial" w:cs="Arial"/>
              </w:rPr>
              <w:t>7.4 cases/1000 central line days to</w:t>
            </w:r>
          </w:p>
          <w:p w14:paraId="45D8AFAA" w14:textId="77777777" w:rsidR="000322EF" w:rsidRPr="00B05BE6" w:rsidRDefault="000322EF" w:rsidP="00B05BE6">
            <w:pPr>
              <w:spacing w:line="480" w:lineRule="auto"/>
              <w:jc w:val="both"/>
              <w:rPr>
                <w:rFonts w:ascii="Arial" w:hAnsi="Arial" w:cs="Arial"/>
              </w:rPr>
            </w:pPr>
            <w:r w:rsidRPr="00B05BE6">
              <w:rPr>
                <w:rFonts w:ascii="Arial" w:hAnsi="Arial" w:cs="Arial"/>
              </w:rPr>
              <w:t>3.93 cases/1000</w:t>
            </w:r>
          </w:p>
          <w:p w14:paraId="24D7DE22" w14:textId="77777777" w:rsidR="000322EF" w:rsidRPr="00B05BE6" w:rsidRDefault="000322EF" w:rsidP="00B05BE6">
            <w:pPr>
              <w:spacing w:line="480" w:lineRule="auto"/>
              <w:jc w:val="both"/>
              <w:rPr>
                <w:rFonts w:ascii="Arial" w:hAnsi="Arial" w:cs="Arial"/>
              </w:rPr>
            </w:pPr>
            <w:r w:rsidRPr="00B05BE6">
              <w:rPr>
                <w:rFonts w:ascii="Arial" w:hAnsi="Arial" w:cs="Arial"/>
              </w:rPr>
              <w:t>central line days</w:t>
            </w:r>
          </w:p>
          <w:p w14:paraId="08717BDF" w14:textId="77777777" w:rsidR="000322EF" w:rsidRPr="00B05BE6" w:rsidRDefault="000322EF" w:rsidP="00B05BE6">
            <w:pPr>
              <w:spacing w:line="480" w:lineRule="auto"/>
              <w:jc w:val="both"/>
              <w:rPr>
                <w:rFonts w:ascii="Arial" w:hAnsi="Arial" w:cs="Arial"/>
              </w:rPr>
            </w:pPr>
            <w:r w:rsidRPr="00B05BE6">
              <w:rPr>
                <w:rFonts w:ascii="Arial" w:hAnsi="Arial" w:cs="Arial"/>
              </w:rPr>
              <w:t>(p&lt;0.05)</w:t>
            </w:r>
          </w:p>
        </w:tc>
        <w:tc>
          <w:tcPr>
            <w:tcW w:w="1177" w:type="dxa"/>
          </w:tcPr>
          <w:p w14:paraId="04A9D25D" w14:textId="77777777" w:rsidR="000322EF" w:rsidRPr="00B05BE6" w:rsidRDefault="000322EF" w:rsidP="00B05BE6">
            <w:pPr>
              <w:spacing w:line="480" w:lineRule="auto"/>
              <w:jc w:val="both"/>
              <w:rPr>
                <w:rFonts w:ascii="Arial" w:hAnsi="Arial" w:cs="Arial"/>
              </w:rPr>
            </w:pPr>
            <w:r w:rsidRPr="00B05BE6">
              <w:rPr>
                <w:rFonts w:ascii="Arial" w:hAnsi="Arial" w:cs="Arial"/>
              </w:rPr>
              <w:t>47%</w:t>
            </w:r>
          </w:p>
        </w:tc>
        <w:tc>
          <w:tcPr>
            <w:tcW w:w="1449" w:type="dxa"/>
          </w:tcPr>
          <w:p w14:paraId="01F7DDAE" w14:textId="6E18B18B"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{"citationID":"uXLg11mO","properties":{"formattedCitation":"[53]","plainCitation":"[53]","noteIndex":0},"citationItems":[{"id":527,"uris":["http://zotero.org/users/local/7lPBLJiX/items/WWUZCD8R"],"itemData":{"id":527,"type":"article-journal","container-title":"Journal of microbiology, immunology and infection","issue":"3","language":"en","page":"339–48","title":"Central line-associated bloodstream infections among critically-ill patients in the era of bundle care","volume":"50","author":[{"family":"Lin","given":"K.Y."},{"family":"Cheng","given":"A."},{"family":"Chang","given":"Y.C."}],"issued":{"date-parts":[["2017"]]}}}],"schema":"https://github.com/citation-style-language/schema/raw/master/csl-citation.json"} </w:instrText>
            </w:r>
            <w:r w:rsidRPr="00B05BE6">
              <w:rPr>
                <w:rFonts w:ascii="Arial" w:hAnsi="Arial" w:cs="Arial"/>
              </w:rPr>
              <w:fldChar w:fldCharType="separate"/>
            </w:r>
            <w:r w:rsidRPr="00B05BE6">
              <w:rPr>
                <w:rFonts w:ascii="Arial" w:hAnsi="Arial" w:cs="Arial"/>
              </w:rPr>
              <w:t>[53]</w:t>
            </w:r>
            <w:r w:rsidRPr="00B05BE6">
              <w:rPr>
                <w:rFonts w:ascii="Arial" w:hAnsi="Arial" w:cs="Arial"/>
              </w:rPr>
              <w:fldChar w:fldCharType="end"/>
            </w:r>
          </w:p>
        </w:tc>
      </w:tr>
      <w:tr w:rsidR="000322EF" w:rsidRPr="00FE38FD" w14:paraId="086ED94D" w14:textId="77777777" w:rsidTr="00B05BE6">
        <w:tc>
          <w:tcPr>
            <w:tcW w:w="511" w:type="dxa"/>
          </w:tcPr>
          <w:p w14:paraId="266F443A" w14:textId="77777777" w:rsidR="000322EF" w:rsidRPr="00B05BE6" w:rsidRDefault="000322EF" w:rsidP="00B05BE6">
            <w:pPr>
              <w:spacing w:line="480" w:lineRule="auto"/>
              <w:jc w:val="both"/>
              <w:rPr>
                <w:rFonts w:ascii="Arial" w:hAnsi="Arial" w:cs="Arial"/>
                <w:b/>
                <w:bCs/>
              </w:rPr>
            </w:pPr>
            <w:r w:rsidRPr="00B05BE6">
              <w:rPr>
                <w:rFonts w:ascii="Arial" w:hAnsi="Arial" w:cs="Arial"/>
              </w:rPr>
              <w:lastRenderedPageBreak/>
              <w:t>5.</w:t>
            </w:r>
          </w:p>
        </w:tc>
        <w:tc>
          <w:tcPr>
            <w:tcW w:w="1185" w:type="dxa"/>
          </w:tcPr>
          <w:p w14:paraId="159922BD"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All units </w:t>
            </w:r>
          </w:p>
        </w:tc>
        <w:tc>
          <w:tcPr>
            <w:tcW w:w="3186" w:type="dxa"/>
          </w:tcPr>
          <w:p w14:paraId="2ED672F2"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CLABSI care bundle </w:t>
            </w:r>
          </w:p>
        </w:tc>
        <w:tc>
          <w:tcPr>
            <w:tcW w:w="1508" w:type="dxa"/>
          </w:tcPr>
          <w:p w14:paraId="74046FEC"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14 cases/1000 </w:t>
            </w:r>
          </w:p>
          <w:p w14:paraId="6946B1E9" w14:textId="77777777" w:rsidR="000322EF" w:rsidRPr="00B05BE6" w:rsidRDefault="000322EF" w:rsidP="00B05BE6">
            <w:pPr>
              <w:spacing w:line="480" w:lineRule="auto"/>
              <w:jc w:val="both"/>
              <w:rPr>
                <w:rFonts w:ascii="Arial" w:hAnsi="Arial" w:cs="Arial"/>
              </w:rPr>
            </w:pPr>
            <w:r w:rsidRPr="00B05BE6">
              <w:rPr>
                <w:rFonts w:ascii="Arial" w:hAnsi="Arial" w:cs="Arial"/>
              </w:rPr>
              <w:t>central line days</w:t>
            </w:r>
          </w:p>
          <w:p w14:paraId="5824172D"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to </w:t>
            </w:r>
          </w:p>
          <w:p w14:paraId="7B9A09E3" w14:textId="77777777" w:rsidR="000322EF" w:rsidRPr="00B05BE6" w:rsidRDefault="000322EF" w:rsidP="00B05BE6">
            <w:pPr>
              <w:spacing w:line="480" w:lineRule="auto"/>
              <w:jc w:val="both"/>
              <w:rPr>
                <w:rFonts w:ascii="Arial" w:hAnsi="Arial" w:cs="Arial"/>
              </w:rPr>
            </w:pPr>
            <w:r w:rsidRPr="00B05BE6">
              <w:rPr>
                <w:rFonts w:ascii="Arial" w:hAnsi="Arial" w:cs="Arial"/>
              </w:rPr>
              <w:t>1.4 cases/1000</w:t>
            </w:r>
          </w:p>
          <w:p w14:paraId="5F7A42EC" w14:textId="77777777" w:rsidR="000322EF" w:rsidRPr="00B05BE6" w:rsidRDefault="000322EF" w:rsidP="00B05BE6">
            <w:pPr>
              <w:spacing w:line="480" w:lineRule="auto"/>
              <w:jc w:val="both"/>
              <w:rPr>
                <w:rFonts w:ascii="Arial" w:hAnsi="Arial" w:cs="Arial"/>
              </w:rPr>
            </w:pPr>
            <w:r w:rsidRPr="00B05BE6">
              <w:rPr>
                <w:rFonts w:ascii="Arial" w:hAnsi="Arial" w:cs="Arial"/>
              </w:rPr>
              <w:t>central line days</w:t>
            </w:r>
          </w:p>
        </w:tc>
        <w:tc>
          <w:tcPr>
            <w:tcW w:w="1177" w:type="dxa"/>
          </w:tcPr>
          <w:p w14:paraId="70664281" w14:textId="77777777" w:rsidR="000322EF" w:rsidRPr="00B05BE6" w:rsidRDefault="000322EF" w:rsidP="00B05BE6">
            <w:pPr>
              <w:spacing w:line="480" w:lineRule="auto"/>
              <w:jc w:val="both"/>
              <w:rPr>
                <w:rFonts w:ascii="Arial" w:hAnsi="Arial" w:cs="Arial"/>
              </w:rPr>
            </w:pPr>
            <w:r w:rsidRPr="00B05BE6">
              <w:rPr>
                <w:rFonts w:ascii="Arial" w:hAnsi="Arial" w:cs="Arial"/>
              </w:rPr>
              <w:t>78%</w:t>
            </w:r>
          </w:p>
        </w:tc>
        <w:tc>
          <w:tcPr>
            <w:tcW w:w="1449" w:type="dxa"/>
          </w:tcPr>
          <w:p w14:paraId="3E817B95" w14:textId="2C62AB3F"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{"citationID":"eB6MpdVV","properties":{"formattedCitation":"[54]","plainCitation":"[54]","noteIndex":0},"citationItems":[{"id":502,"uris":["http://zotero.org/users/local/7lPBLJiX/items/NDNPKG2T"],"itemData":{"id":502,"type":"article-journal","container-title":"American Journal Of Infection Control","issue":"6","language":"en","page":"449–455","title":"Effectiveness of a catheter-associated bloodstream infection bundle in a Thai tertiary care center: A 3-year study","volume":"38","author":[{"family":"Apisarnthanarak","given":"A."},{"family":"Thongphubeth","given":"K."},{"family":"Yuekyen","given":"C."}],"issued":{"date-parts":[["2010"]]}}}],"schema":"https://github.com/citation-style-language/schema/raw/master/csl-citation.json"} </w:instrText>
            </w:r>
            <w:r w:rsidRPr="00B05BE6">
              <w:rPr>
                <w:rFonts w:ascii="Arial" w:hAnsi="Arial" w:cs="Arial"/>
              </w:rPr>
              <w:fldChar w:fldCharType="separate"/>
            </w:r>
            <w:r w:rsidRPr="00B05BE6">
              <w:rPr>
                <w:rFonts w:ascii="Arial" w:hAnsi="Arial" w:cs="Arial"/>
              </w:rPr>
              <w:t>[54]</w:t>
            </w:r>
            <w:r w:rsidRPr="00B05BE6">
              <w:rPr>
                <w:rFonts w:ascii="Arial" w:hAnsi="Arial" w:cs="Arial"/>
              </w:rPr>
              <w:fldChar w:fldCharType="end"/>
            </w:r>
          </w:p>
        </w:tc>
      </w:tr>
      <w:tr w:rsidR="000322EF" w:rsidRPr="00FE38FD" w14:paraId="4FC2FC71" w14:textId="77777777" w:rsidTr="00B05BE6">
        <w:tc>
          <w:tcPr>
            <w:tcW w:w="511" w:type="dxa"/>
          </w:tcPr>
          <w:p w14:paraId="1F930E1B" w14:textId="77777777" w:rsidR="000322EF" w:rsidRPr="00B05BE6" w:rsidRDefault="000322EF" w:rsidP="00B05BE6">
            <w:pPr>
              <w:spacing w:line="480" w:lineRule="auto"/>
              <w:jc w:val="both"/>
              <w:rPr>
                <w:rFonts w:ascii="Arial" w:hAnsi="Arial" w:cs="Arial"/>
                <w:b/>
                <w:bCs/>
              </w:rPr>
            </w:pPr>
            <w:r w:rsidRPr="00B05BE6">
              <w:rPr>
                <w:rFonts w:ascii="Arial" w:hAnsi="Arial" w:cs="Arial"/>
              </w:rPr>
              <w:t xml:space="preserve">6. </w:t>
            </w:r>
          </w:p>
        </w:tc>
        <w:tc>
          <w:tcPr>
            <w:tcW w:w="1185" w:type="dxa"/>
          </w:tcPr>
          <w:p w14:paraId="6790DEF3"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All units </w:t>
            </w:r>
          </w:p>
        </w:tc>
        <w:tc>
          <w:tcPr>
            <w:tcW w:w="3186" w:type="dxa"/>
          </w:tcPr>
          <w:p w14:paraId="3BC5F282" w14:textId="77777777" w:rsidR="000322EF" w:rsidRPr="00B05BE6" w:rsidRDefault="000322EF" w:rsidP="00B05BE6">
            <w:pPr>
              <w:spacing w:line="480" w:lineRule="auto"/>
              <w:jc w:val="both"/>
              <w:rPr>
                <w:rFonts w:ascii="Arial" w:hAnsi="Arial" w:cs="Arial"/>
              </w:rPr>
            </w:pPr>
            <w:r w:rsidRPr="00B05BE6">
              <w:rPr>
                <w:rFonts w:ascii="Arial" w:hAnsi="Arial" w:cs="Arial"/>
              </w:rPr>
              <w:t>CLABSI prevention care bundle including the following:</w:t>
            </w:r>
          </w:p>
          <w:p w14:paraId="33F54416"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t>Hand hygiene</w:t>
            </w:r>
          </w:p>
          <w:p w14:paraId="6341D82E"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t xml:space="preserve"> Maximal sterile barrier precaution at insertion</w:t>
            </w:r>
          </w:p>
          <w:p w14:paraId="700F54E5"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lastRenderedPageBreak/>
              <w:t>Skin antisepsis with alcohol-based chlorhexidine-containing products</w:t>
            </w:r>
          </w:p>
          <w:p w14:paraId="1738BC85"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t>Subclavian access as the preferred insertion site</w:t>
            </w:r>
          </w:p>
          <w:p w14:paraId="76A5005F"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t>Daily review of line necessity</w:t>
            </w:r>
          </w:p>
          <w:p w14:paraId="330C3659"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t>Standardized catheter care using a non-touch technique</w:t>
            </w:r>
          </w:p>
          <w:p w14:paraId="768DB54B"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t>Adhering to the recommendations for dressing change</w:t>
            </w:r>
          </w:p>
        </w:tc>
        <w:tc>
          <w:tcPr>
            <w:tcW w:w="1508" w:type="dxa"/>
          </w:tcPr>
          <w:p w14:paraId="3570EA98" w14:textId="77777777" w:rsidR="000322EF" w:rsidRPr="00B05BE6" w:rsidRDefault="000322EF" w:rsidP="00B05BE6">
            <w:pPr>
              <w:spacing w:line="480" w:lineRule="auto"/>
              <w:jc w:val="both"/>
              <w:rPr>
                <w:rFonts w:ascii="Arial" w:hAnsi="Arial" w:cs="Arial"/>
              </w:rPr>
            </w:pPr>
          </w:p>
          <w:p w14:paraId="47E495DF" w14:textId="77777777" w:rsidR="000322EF" w:rsidRPr="00B05BE6" w:rsidRDefault="000322EF" w:rsidP="00B05BE6">
            <w:pPr>
              <w:spacing w:line="480" w:lineRule="auto"/>
              <w:jc w:val="both"/>
              <w:rPr>
                <w:rFonts w:ascii="Arial" w:hAnsi="Arial" w:cs="Arial"/>
              </w:rPr>
            </w:pPr>
            <w:r w:rsidRPr="00B05BE6">
              <w:rPr>
                <w:rFonts w:ascii="Arial" w:hAnsi="Arial" w:cs="Arial"/>
              </w:rPr>
              <w:t>1.6 cases/1000</w:t>
            </w:r>
          </w:p>
          <w:p w14:paraId="27565EE2" w14:textId="77777777" w:rsidR="000322EF" w:rsidRPr="00B05BE6" w:rsidRDefault="000322EF" w:rsidP="00B05BE6">
            <w:pPr>
              <w:spacing w:line="480" w:lineRule="auto"/>
              <w:jc w:val="both"/>
              <w:rPr>
                <w:rFonts w:ascii="Arial" w:hAnsi="Arial" w:cs="Arial"/>
              </w:rPr>
            </w:pPr>
            <w:r w:rsidRPr="00B05BE6">
              <w:rPr>
                <w:rFonts w:ascii="Arial" w:hAnsi="Arial" w:cs="Arial"/>
              </w:rPr>
              <w:t>central line days</w:t>
            </w:r>
          </w:p>
          <w:p w14:paraId="3782D9E5"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to</w:t>
            </w:r>
          </w:p>
          <w:p w14:paraId="31EDFF35" w14:textId="77777777" w:rsidR="000322EF" w:rsidRPr="00B05BE6" w:rsidRDefault="000322EF" w:rsidP="00B05BE6">
            <w:pPr>
              <w:spacing w:line="480" w:lineRule="auto"/>
              <w:jc w:val="both"/>
              <w:rPr>
                <w:rFonts w:ascii="Arial" w:hAnsi="Arial" w:cs="Arial"/>
              </w:rPr>
            </w:pPr>
            <w:r w:rsidRPr="00B05BE6">
              <w:rPr>
                <w:rFonts w:ascii="Arial" w:hAnsi="Arial" w:cs="Arial"/>
              </w:rPr>
              <w:t>1 case/1000</w:t>
            </w:r>
          </w:p>
          <w:p w14:paraId="12646601" w14:textId="77777777" w:rsidR="000322EF" w:rsidRPr="00B05BE6" w:rsidRDefault="000322EF" w:rsidP="00B05BE6">
            <w:pPr>
              <w:spacing w:line="480" w:lineRule="auto"/>
              <w:jc w:val="both"/>
              <w:rPr>
                <w:rFonts w:ascii="Arial" w:hAnsi="Arial" w:cs="Arial"/>
              </w:rPr>
            </w:pPr>
            <w:r w:rsidRPr="00B05BE6">
              <w:rPr>
                <w:rFonts w:ascii="Arial" w:hAnsi="Arial" w:cs="Arial"/>
              </w:rPr>
              <w:t>central line days</w:t>
            </w:r>
          </w:p>
          <w:p w14:paraId="30A9EE5C" w14:textId="77777777" w:rsidR="000322EF" w:rsidRPr="00B05BE6" w:rsidRDefault="000322EF" w:rsidP="00B05BE6">
            <w:pPr>
              <w:spacing w:line="480" w:lineRule="auto"/>
              <w:jc w:val="both"/>
              <w:rPr>
                <w:rFonts w:ascii="Arial" w:hAnsi="Arial" w:cs="Arial"/>
              </w:rPr>
            </w:pPr>
          </w:p>
        </w:tc>
        <w:tc>
          <w:tcPr>
            <w:tcW w:w="1177" w:type="dxa"/>
          </w:tcPr>
          <w:p w14:paraId="022A0988"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 xml:space="preserve">     38%</w:t>
            </w:r>
          </w:p>
        </w:tc>
        <w:tc>
          <w:tcPr>
            <w:tcW w:w="1449" w:type="dxa"/>
          </w:tcPr>
          <w:p w14:paraId="21BC4C2C" w14:textId="77777777" w:rsidR="000322EF" w:rsidRPr="00B05BE6" w:rsidRDefault="000322EF" w:rsidP="00B05BE6">
            <w:pPr>
              <w:spacing w:line="480" w:lineRule="auto"/>
              <w:jc w:val="both"/>
              <w:rPr>
                <w:rFonts w:ascii="Arial" w:hAnsi="Arial" w:cs="Arial"/>
              </w:rPr>
            </w:pPr>
            <w:r w:rsidRPr="00B05BE6">
              <w:rPr>
                <w:rFonts w:ascii="Arial" w:hAnsi="Arial" w:cs="Arial"/>
              </w:rPr>
              <w:t>Present study</w:t>
            </w:r>
          </w:p>
        </w:tc>
      </w:tr>
    </w:tbl>
    <w:p w14:paraId="065B5E56" w14:textId="77777777" w:rsidR="000322EF" w:rsidRPr="00B05BE6" w:rsidRDefault="000322EF" w:rsidP="00B05BE6">
      <w:pPr>
        <w:spacing w:line="480" w:lineRule="auto"/>
        <w:jc w:val="both"/>
        <w:rPr>
          <w:rFonts w:ascii="Arial" w:hAnsi="Arial" w:cs="Arial"/>
          <w:i/>
          <w:iCs/>
        </w:rPr>
      </w:pPr>
      <w:r w:rsidRPr="00B05BE6">
        <w:rPr>
          <w:rFonts w:ascii="Arial" w:hAnsi="Arial" w:cs="Arial"/>
          <w:i/>
          <w:iCs/>
        </w:rPr>
        <w:lastRenderedPageBreak/>
        <w:t xml:space="preserve">CLABSI: Central line-associated bloodstream infection; INICC: </w:t>
      </w:r>
      <w:r w:rsidRPr="00B05BE6">
        <w:rPr>
          <w:rStyle w:val="Emphasis"/>
          <w:rFonts w:ascii="Arial" w:hAnsi="Arial" w:cs="Arial"/>
        </w:rPr>
        <w:t xml:space="preserve">International Nosocomial Infection Control Consortium; </w:t>
      </w:r>
      <w:r w:rsidRPr="00B05BE6">
        <w:rPr>
          <w:rFonts w:ascii="Arial" w:hAnsi="Arial" w:cs="Arial"/>
          <w:i/>
          <w:iCs/>
        </w:rPr>
        <w:t>IPC: Infection prevention and control</w:t>
      </w:r>
      <w:r w:rsidRPr="00B05BE6">
        <w:rPr>
          <w:rStyle w:val="Emphasis"/>
          <w:rFonts w:ascii="Arial" w:hAnsi="Arial" w:cs="Arial"/>
        </w:rPr>
        <w:t>.</w:t>
      </w:r>
    </w:p>
    <w:p w14:paraId="7A3EB034" w14:textId="77777777" w:rsidR="000322EF" w:rsidRPr="00B05BE6" w:rsidRDefault="000322EF" w:rsidP="00B05BE6">
      <w:pPr>
        <w:spacing w:line="480" w:lineRule="auto"/>
        <w:ind w:firstLine="720"/>
        <w:jc w:val="both"/>
        <w:rPr>
          <w:rFonts w:ascii="Arial" w:hAnsi="Arial" w:cs="Arial"/>
        </w:rPr>
      </w:pPr>
    </w:p>
    <w:p w14:paraId="51FAA61D" w14:textId="77777777" w:rsidR="000322EF" w:rsidRPr="00B05BE6" w:rsidRDefault="000322EF" w:rsidP="00FE38FD">
      <w:pPr>
        <w:spacing w:line="480" w:lineRule="auto"/>
        <w:ind w:firstLine="720"/>
        <w:jc w:val="both"/>
        <w:rPr>
          <w:rFonts w:ascii="Arial" w:hAnsi="Arial" w:cs="Arial"/>
        </w:rPr>
      </w:pPr>
    </w:p>
    <w:p w14:paraId="796D240F" w14:textId="77777777" w:rsidR="00C475EB" w:rsidRPr="00B05BE6" w:rsidRDefault="00C475EB" w:rsidP="00FE38FD">
      <w:pPr>
        <w:spacing w:line="480" w:lineRule="auto"/>
        <w:ind w:firstLine="720"/>
        <w:jc w:val="both"/>
        <w:rPr>
          <w:rFonts w:ascii="Arial" w:hAnsi="Arial" w:cs="Arial"/>
        </w:rPr>
      </w:pPr>
    </w:p>
    <w:p w14:paraId="3A965521" w14:textId="77777777" w:rsidR="00C475EB" w:rsidRPr="00B05BE6" w:rsidRDefault="00C475EB" w:rsidP="00FE38FD">
      <w:pPr>
        <w:spacing w:line="480" w:lineRule="auto"/>
        <w:ind w:firstLine="720"/>
        <w:jc w:val="both"/>
        <w:rPr>
          <w:rFonts w:ascii="Arial" w:hAnsi="Arial" w:cs="Arial"/>
        </w:rPr>
      </w:pPr>
    </w:p>
    <w:p w14:paraId="4D98B88E" w14:textId="77777777" w:rsidR="00C475EB" w:rsidRPr="00B05BE6" w:rsidRDefault="00C475EB" w:rsidP="00FE38FD">
      <w:pPr>
        <w:spacing w:line="480" w:lineRule="auto"/>
        <w:ind w:firstLine="720"/>
        <w:jc w:val="both"/>
        <w:rPr>
          <w:rFonts w:ascii="Arial" w:hAnsi="Arial" w:cs="Arial"/>
        </w:rPr>
      </w:pPr>
    </w:p>
    <w:p w14:paraId="24A720E7" w14:textId="77777777" w:rsidR="00C475EB" w:rsidRPr="00B05BE6" w:rsidRDefault="00C475EB" w:rsidP="00FE38FD">
      <w:pPr>
        <w:spacing w:line="480" w:lineRule="auto"/>
        <w:ind w:firstLine="720"/>
        <w:jc w:val="both"/>
        <w:rPr>
          <w:rFonts w:ascii="Arial" w:hAnsi="Arial" w:cs="Arial"/>
        </w:rPr>
      </w:pPr>
    </w:p>
    <w:p w14:paraId="39E9CF3A" w14:textId="77777777" w:rsidR="00C475EB" w:rsidRPr="00B05BE6" w:rsidRDefault="00C475EB" w:rsidP="00B05BE6">
      <w:pPr>
        <w:spacing w:line="480" w:lineRule="auto"/>
        <w:ind w:firstLine="720"/>
        <w:jc w:val="both"/>
        <w:rPr>
          <w:rFonts w:ascii="Arial" w:hAnsi="Arial" w:cs="Arial"/>
        </w:rPr>
      </w:pPr>
    </w:p>
    <w:p w14:paraId="17C37DAE" w14:textId="60505AAA" w:rsidR="000322EF" w:rsidRPr="00B05BE6" w:rsidRDefault="000322EF" w:rsidP="00B05BE6">
      <w:pPr>
        <w:spacing w:line="480" w:lineRule="auto"/>
        <w:jc w:val="both"/>
        <w:rPr>
          <w:rFonts w:ascii="Arial" w:hAnsi="Arial" w:cs="Arial"/>
          <w:b/>
          <w:bCs/>
        </w:rPr>
      </w:pPr>
      <w:r w:rsidRPr="00B05BE6">
        <w:rPr>
          <w:rFonts w:ascii="Arial" w:hAnsi="Arial" w:cs="Arial"/>
          <w:b/>
          <w:bCs/>
        </w:rPr>
        <w:t xml:space="preserve">Supplementary Table 6: </w:t>
      </w:r>
      <w:r w:rsidRPr="00B05BE6">
        <w:rPr>
          <w:rFonts w:ascii="Arial" w:hAnsi="Arial" w:cs="Arial"/>
        </w:rPr>
        <w:t>Decrease in SSI incidence following the adoption of SSI care bundles as reported in various studies</w:t>
      </w:r>
      <w:r w:rsidRPr="00B05BE6">
        <w:rPr>
          <w:rFonts w:ascii="Arial" w:hAnsi="Arial" w:cs="Arial"/>
          <w:b/>
          <w:bCs/>
        </w:rPr>
        <w:t xml:space="preserve"> </w:t>
      </w:r>
    </w:p>
    <w:tbl>
      <w:tblPr>
        <w:tblStyle w:val="TableGridLight"/>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571"/>
        <w:gridCol w:w="1185"/>
        <w:gridCol w:w="3186"/>
        <w:gridCol w:w="1782"/>
        <w:gridCol w:w="1403"/>
        <w:gridCol w:w="1449"/>
      </w:tblGrid>
      <w:tr w:rsidR="000322EF" w:rsidRPr="00FE38FD" w14:paraId="79D4542F" w14:textId="77777777" w:rsidTr="00B05BE6">
        <w:trPr>
          <w:tblHeader/>
        </w:trPr>
        <w:tc>
          <w:tcPr>
            <w:tcW w:w="9016" w:type="dxa"/>
            <w:gridSpan w:val="6"/>
            <w:shd w:val="clear" w:color="auto" w:fill="F2F2F2" w:themeFill="background1" w:themeFillShade="F2"/>
          </w:tcPr>
          <w:p w14:paraId="41B93934"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lastRenderedPageBreak/>
              <w:t>Reduction in SSIs</w:t>
            </w:r>
          </w:p>
        </w:tc>
      </w:tr>
      <w:tr w:rsidR="000322EF" w:rsidRPr="00FE38FD" w14:paraId="049CE2D8" w14:textId="77777777" w:rsidTr="00B05BE6">
        <w:trPr>
          <w:tblHeader/>
        </w:trPr>
        <w:tc>
          <w:tcPr>
            <w:tcW w:w="511" w:type="dxa"/>
            <w:shd w:val="clear" w:color="auto" w:fill="F2F2F2" w:themeFill="background1" w:themeFillShade="F2"/>
          </w:tcPr>
          <w:p w14:paraId="61AE762C"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Sl. No.</w:t>
            </w:r>
          </w:p>
        </w:tc>
        <w:tc>
          <w:tcPr>
            <w:tcW w:w="1185" w:type="dxa"/>
            <w:shd w:val="clear" w:color="auto" w:fill="F2F2F2" w:themeFill="background1" w:themeFillShade="F2"/>
          </w:tcPr>
          <w:p w14:paraId="7CF873C9"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Type of ward</w:t>
            </w:r>
          </w:p>
        </w:tc>
        <w:tc>
          <w:tcPr>
            <w:tcW w:w="3186" w:type="dxa"/>
            <w:shd w:val="clear" w:color="auto" w:fill="F2F2F2" w:themeFill="background1" w:themeFillShade="F2"/>
          </w:tcPr>
          <w:p w14:paraId="627EE53F"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IPC practices implemented</w:t>
            </w:r>
          </w:p>
        </w:tc>
        <w:tc>
          <w:tcPr>
            <w:tcW w:w="1508" w:type="dxa"/>
            <w:shd w:val="clear" w:color="auto" w:fill="F2F2F2" w:themeFill="background1" w:themeFillShade="F2"/>
          </w:tcPr>
          <w:p w14:paraId="392D8C36"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Reduction rates</w:t>
            </w:r>
          </w:p>
        </w:tc>
        <w:tc>
          <w:tcPr>
            <w:tcW w:w="1177" w:type="dxa"/>
            <w:shd w:val="clear" w:color="auto" w:fill="F2F2F2" w:themeFill="background1" w:themeFillShade="F2"/>
          </w:tcPr>
          <w:p w14:paraId="2368C3CB"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Percentage reduction</w:t>
            </w:r>
          </w:p>
        </w:tc>
        <w:tc>
          <w:tcPr>
            <w:tcW w:w="1449" w:type="dxa"/>
            <w:shd w:val="clear" w:color="auto" w:fill="F2F2F2" w:themeFill="background1" w:themeFillShade="F2"/>
          </w:tcPr>
          <w:p w14:paraId="052C03DD"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Reference</w:t>
            </w:r>
          </w:p>
        </w:tc>
      </w:tr>
      <w:tr w:rsidR="000322EF" w:rsidRPr="00FE38FD" w14:paraId="3D3DC51C" w14:textId="77777777" w:rsidTr="00B05BE6">
        <w:trPr>
          <w:trHeight w:val="1192"/>
        </w:trPr>
        <w:tc>
          <w:tcPr>
            <w:tcW w:w="511" w:type="dxa"/>
          </w:tcPr>
          <w:p w14:paraId="11B73CBB" w14:textId="77777777" w:rsidR="000322EF" w:rsidRPr="00B05BE6" w:rsidRDefault="000322EF" w:rsidP="00B05BE6">
            <w:pPr>
              <w:spacing w:line="480" w:lineRule="auto"/>
              <w:jc w:val="both"/>
              <w:rPr>
                <w:rFonts w:ascii="Arial" w:hAnsi="Arial" w:cs="Arial"/>
                <w:b/>
                <w:bCs/>
              </w:rPr>
            </w:pPr>
            <w:r w:rsidRPr="00B05BE6">
              <w:rPr>
                <w:rFonts w:ascii="Arial" w:hAnsi="Arial" w:cs="Arial"/>
              </w:rPr>
              <w:t>1.</w:t>
            </w:r>
          </w:p>
        </w:tc>
        <w:tc>
          <w:tcPr>
            <w:tcW w:w="1185" w:type="dxa"/>
          </w:tcPr>
          <w:p w14:paraId="3DA1979E"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Maternity ward </w:t>
            </w:r>
          </w:p>
        </w:tc>
        <w:tc>
          <w:tcPr>
            <w:tcW w:w="3186" w:type="dxa"/>
          </w:tcPr>
          <w:p w14:paraId="7B425F63" w14:textId="77777777" w:rsidR="000322EF" w:rsidRPr="00B05BE6" w:rsidRDefault="000322EF" w:rsidP="00B05BE6">
            <w:pPr>
              <w:spacing w:line="480" w:lineRule="auto"/>
              <w:jc w:val="both"/>
              <w:rPr>
                <w:rFonts w:ascii="Arial" w:hAnsi="Arial" w:cs="Arial"/>
              </w:rPr>
            </w:pPr>
            <w:r w:rsidRPr="00B05BE6">
              <w:rPr>
                <w:rFonts w:ascii="Arial" w:hAnsi="Arial" w:cs="Arial"/>
              </w:rPr>
              <w:t>SSI care bundle implementation</w:t>
            </w:r>
          </w:p>
        </w:tc>
        <w:tc>
          <w:tcPr>
            <w:tcW w:w="1508" w:type="dxa"/>
          </w:tcPr>
          <w:p w14:paraId="3C5254BF" w14:textId="77777777" w:rsidR="000322EF" w:rsidRPr="00B05BE6" w:rsidRDefault="000322EF" w:rsidP="00B05BE6">
            <w:pPr>
              <w:spacing w:line="480" w:lineRule="auto"/>
              <w:jc w:val="both"/>
              <w:rPr>
                <w:rFonts w:ascii="Arial" w:hAnsi="Arial" w:cs="Arial"/>
              </w:rPr>
            </w:pPr>
            <w:r w:rsidRPr="00B05BE6">
              <w:rPr>
                <w:rFonts w:ascii="Arial" w:hAnsi="Arial" w:cs="Arial"/>
              </w:rPr>
              <w:t>2.44 cases/100 surgeries to</w:t>
            </w:r>
          </w:p>
          <w:p w14:paraId="3D89FFEC" w14:textId="77777777" w:rsidR="000322EF" w:rsidRPr="00B05BE6" w:rsidRDefault="000322EF" w:rsidP="00B05BE6">
            <w:pPr>
              <w:spacing w:line="480" w:lineRule="auto"/>
              <w:jc w:val="both"/>
              <w:rPr>
                <w:rFonts w:ascii="Arial" w:hAnsi="Arial" w:cs="Arial"/>
              </w:rPr>
            </w:pPr>
            <w:r w:rsidRPr="00B05BE6">
              <w:rPr>
                <w:rFonts w:ascii="Arial" w:hAnsi="Arial" w:cs="Arial"/>
              </w:rPr>
              <w:t>1.1 cases/100 surgeries (p=0.013)</w:t>
            </w:r>
          </w:p>
        </w:tc>
        <w:tc>
          <w:tcPr>
            <w:tcW w:w="1177" w:type="dxa"/>
          </w:tcPr>
          <w:p w14:paraId="722BE715" w14:textId="77777777" w:rsidR="000322EF" w:rsidRPr="00B05BE6" w:rsidRDefault="000322EF" w:rsidP="00B05BE6">
            <w:pPr>
              <w:spacing w:line="480" w:lineRule="auto"/>
              <w:jc w:val="both"/>
              <w:rPr>
                <w:rFonts w:ascii="Arial" w:hAnsi="Arial" w:cs="Arial"/>
              </w:rPr>
            </w:pPr>
            <w:r w:rsidRPr="00B05BE6">
              <w:rPr>
                <w:rFonts w:ascii="Arial" w:hAnsi="Arial" w:cs="Arial"/>
              </w:rPr>
              <w:t>55%</w:t>
            </w:r>
          </w:p>
        </w:tc>
        <w:tc>
          <w:tcPr>
            <w:tcW w:w="1449" w:type="dxa"/>
          </w:tcPr>
          <w:p w14:paraId="194D157B" w14:textId="4FBBA37A"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{"citationID":"gOWS6lup","properties":{"formattedCitation":"[55]","plainCitation":"[55]","noteIndex":0},"citationItems":[{"id":511,"uris":["http://zotero.org/users/local/7lPBLJiX/items/7ARBXWI6"],"itemData":{"id":511,"type":"article-journal","container-title":"American Journal of Infection Control","issue":"5","language":"en","page":"555–559","title":"Impact of a surgical site infection bundle on cesarean delivery infection rates","volume":"48","author":[{"family":"Davidson","given":"C."},{"family":"Enns","given":"J."},{"family":"Dempster","given":"C."}],"issued":{"date-parts":[["2020"]]}}}],"schema":"https://github.com/citation-style-language/schema/raw/master/csl-citation.json"} </w:instrText>
            </w:r>
            <w:r w:rsidRPr="00B05BE6">
              <w:rPr>
                <w:rFonts w:ascii="Arial" w:hAnsi="Arial" w:cs="Arial"/>
              </w:rPr>
              <w:fldChar w:fldCharType="separate"/>
            </w:r>
            <w:r w:rsidRPr="00B05BE6">
              <w:rPr>
                <w:rFonts w:ascii="Arial" w:hAnsi="Arial" w:cs="Arial"/>
              </w:rPr>
              <w:t>[55]</w:t>
            </w:r>
            <w:r w:rsidRPr="00B05BE6">
              <w:rPr>
                <w:rFonts w:ascii="Arial" w:hAnsi="Arial" w:cs="Arial"/>
              </w:rPr>
              <w:fldChar w:fldCharType="end"/>
            </w:r>
          </w:p>
        </w:tc>
      </w:tr>
      <w:tr w:rsidR="000322EF" w:rsidRPr="00FE38FD" w14:paraId="69BBA89E" w14:textId="77777777" w:rsidTr="00B05BE6">
        <w:tc>
          <w:tcPr>
            <w:tcW w:w="511" w:type="dxa"/>
          </w:tcPr>
          <w:p w14:paraId="05BF8A35" w14:textId="77777777" w:rsidR="000322EF" w:rsidRPr="00B05BE6" w:rsidRDefault="000322EF" w:rsidP="00B05BE6">
            <w:pPr>
              <w:spacing w:line="480" w:lineRule="auto"/>
              <w:jc w:val="both"/>
              <w:rPr>
                <w:rFonts w:ascii="Arial" w:hAnsi="Arial" w:cs="Arial"/>
                <w:b/>
                <w:bCs/>
              </w:rPr>
            </w:pPr>
            <w:r w:rsidRPr="00B05BE6">
              <w:rPr>
                <w:rFonts w:ascii="Arial" w:hAnsi="Arial" w:cs="Arial"/>
              </w:rPr>
              <w:t>2.</w:t>
            </w:r>
          </w:p>
        </w:tc>
        <w:tc>
          <w:tcPr>
            <w:tcW w:w="1185" w:type="dxa"/>
          </w:tcPr>
          <w:p w14:paraId="2025CE3A" w14:textId="77777777" w:rsidR="000322EF" w:rsidRPr="00B05BE6" w:rsidRDefault="000322EF" w:rsidP="00B05BE6">
            <w:pPr>
              <w:spacing w:line="480" w:lineRule="auto"/>
              <w:jc w:val="both"/>
              <w:rPr>
                <w:rFonts w:ascii="Arial" w:hAnsi="Arial" w:cs="Arial"/>
              </w:rPr>
            </w:pPr>
            <w:r w:rsidRPr="00B05BE6">
              <w:rPr>
                <w:rFonts w:ascii="Arial" w:hAnsi="Arial" w:cs="Arial"/>
              </w:rPr>
              <w:t>Surgery ICU</w:t>
            </w:r>
          </w:p>
        </w:tc>
        <w:tc>
          <w:tcPr>
            <w:tcW w:w="3186" w:type="dxa"/>
          </w:tcPr>
          <w:p w14:paraId="656538AC" w14:textId="77777777" w:rsidR="000322EF" w:rsidRPr="00B05BE6" w:rsidRDefault="000322EF" w:rsidP="00B05BE6">
            <w:pPr>
              <w:spacing w:line="480" w:lineRule="auto"/>
              <w:jc w:val="both"/>
              <w:rPr>
                <w:rFonts w:ascii="Arial" w:hAnsi="Arial" w:cs="Arial"/>
              </w:rPr>
            </w:pPr>
            <w:r w:rsidRPr="00B05BE6">
              <w:rPr>
                <w:rFonts w:ascii="Arial" w:hAnsi="Arial" w:cs="Arial"/>
              </w:rPr>
              <w:t>SSI reduction bundle:</w:t>
            </w:r>
          </w:p>
          <w:p w14:paraId="773C01C3" w14:textId="77777777" w:rsidR="000322EF" w:rsidRPr="00B05BE6" w:rsidRDefault="000322EF" w:rsidP="00B05BE6">
            <w:pPr>
              <w:pStyle w:val="ListParagraph"/>
              <w:numPr>
                <w:ilvl w:val="0"/>
                <w:numId w:val="11"/>
              </w:numPr>
              <w:spacing w:line="480" w:lineRule="auto"/>
              <w:jc w:val="both"/>
              <w:rPr>
                <w:rFonts w:ascii="Arial" w:hAnsi="Arial" w:cs="Arial"/>
              </w:rPr>
            </w:pPr>
            <w:r w:rsidRPr="00B05BE6">
              <w:rPr>
                <w:rFonts w:ascii="Arial" w:hAnsi="Arial" w:cs="Arial"/>
              </w:rPr>
              <w:t>2% chlorhexidine skin prep</w:t>
            </w:r>
          </w:p>
          <w:p w14:paraId="541C8987" w14:textId="77777777" w:rsidR="000322EF" w:rsidRPr="00B05BE6" w:rsidRDefault="000322EF" w:rsidP="00B05BE6">
            <w:pPr>
              <w:pStyle w:val="ListParagraph"/>
              <w:numPr>
                <w:ilvl w:val="0"/>
                <w:numId w:val="11"/>
              </w:numPr>
              <w:spacing w:line="480" w:lineRule="auto"/>
              <w:jc w:val="both"/>
              <w:rPr>
                <w:rFonts w:ascii="Arial" w:hAnsi="Arial" w:cs="Arial"/>
              </w:rPr>
            </w:pPr>
            <w:r w:rsidRPr="00B05BE6">
              <w:rPr>
                <w:rFonts w:ascii="Arial" w:hAnsi="Arial" w:cs="Arial"/>
              </w:rPr>
              <w:t xml:space="preserve">Use of dual ring wound protector </w:t>
            </w:r>
          </w:p>
          <w:p w14:paraId="65D4EB43" w14:textId="77777777" w:rsidR="000322EF" w:rsidRPr="00B05BE6" w:rsidRDefault="000322EF" w:rsidP="00B05BE6">
            <w:pPr>
              <w:pStyle w:val="ListParagraph"/>
              <w:numPr>
                <w:ilvl w:val="0"/>
                <w:numId w:val="11"/>
              </w:numPr>
              <w:spacing w:line="480" w:lineRule="auto"/>
              <w:jc w:val="both"/>
              <w:rPr>
                <w:rFonts w:ascii="Arial" w:hAnsi="Arial" w:cs="Arial"/>
              </w:rPr>
            </w:pPr>
            <w:r w:rsidRPr="00B05BE6">
              <w:rPr>
                <w:rFonts w:ascii="Arial" w:hAnsi="Arial" w:cs="Arial"/>
              </w:rPr>
              <w:t>Repeat dose of antibiotics after 4 hours of operating time</w:t>
            </w:r>
          </w:p>
          <w:p w14:paraId="345266C5" w14:textId="77777777" w:rsidR="000322EF" w:rsidRPr="00B05BE6" w:rsidRDefault="000322EF" w:rsidP="00B05BE6">
            <w:pPr>
              <w:pStyle w:val="ListParagraph"/>
              <w:numPr>
                <w:ilvl w:val="0"/>
                <w:numId w:val="11"/>
              </w:numPr>
              <w:spacing w:line="480" w:lineRule="auto"/>
              <w:jc w:val="both"/>
              <w:rPr>
                <w:rFonts w:ascii="Arial" w:hAnsi="Arial" w:cs="Arial"/>
              </w:rPr>
            </w:pPr>
            <w:r w:rsidRPr="00B05BE6">
              <w:rPr>
                <w:rFonts w:ascii="Arial" w:hAnsi="Arial" w:cs="Arial"/>
              </w:rPr>
              <w:lastRenderedPageBreak/>
              <w:t>Triclosan-coated sutures for mass closure of the skin</w:t>
            </w:r>
          </w:p>
        </w:tc>
        <w:tc>
          <w:tcPr>
            <w:tcW w:w="1508" w:type="dxa"/>
          </w:tcPr>
          <w:p w14:paraId="583D6FF4"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Laparoscopic surgeries</w:t>
            </w:r>
          </w:p>
          <w:p w14:paraId="47FCBC0E" w14:textId="77777777" w:rsidR="000322EF" w:rsidRPr="00B05BE6" w:rsidRDefault="000322EF" w:rsidP="00B05BE6">
            <w:pPr>
              <w:spacing w:line="480" w:lineRule="auto"/>
              <w:jc w:val="both"/>
              <w:rPr>
                <w:rFonts w:ascii="Arial" w:hAnsi="Arial" w:cs="Arial"/>
              </w:rPr>
            </w:pPr>
            <w:r w:rsidRPr="00B05BE6">
              <w:rPr>
                <w:rFonts w:ascii="Arial" w:hAnsi="Arial" w:cs="Arial"/>
              </w:rPr>
              <w:t>(8.9% vs</w:t>
            </w:r>
            <w:r w:rsidRPr="00B05BE6">
              <w:rPr>
                <w:rFonts w:ascii="Arial" w:hAnsi="Arial" w:cs="Arial"/>
                <w:i/>
                <w:iCs/>
              </w:rPr>
              <w:t xml:space="preserve">. </w:t>
            </w:r>
            <w:r w:rsidRPr="00B05BE6">
              <w:rPr>
                <w:rFonts w:ascii="Arial" w:hAnsi="Arial" w:cs="Arial"/>
              </w:rPr>
              <w:t>6.3%)</w:t>
            </w:r>
          </w:p>
          <w:p w14:paraId="45C74BD0" w14:textId="77777777" w:rsidR="000322EF" w:rsidRPr="00B05BE6" w:rsidRDefault="000322EF" w:rsidP="00B05BE6">
            <w:pPr>
              <w:spacing w:line="480" w:lineRule="auto"/>
              <w:jc w:val="both"/>
              <w:rPr>
                <w:rFonts w:ascii="Arial" w:hAnsi="Arial" w:cs="Arial"/>
              </w:rPr>
            </w:pPr>
            <w:r w:rsidRPr="00B05BE6">
              <w:rPr>
                <w:rFonts w:ascii="Arial" w:hAnsi="Arial" w:cs="Arial"/>
              </w:rPr>
              <w:t>(p=0.0003)</w:t>
            </w:r>
          </w:p>
          <w:p w14:paraId="09B44587" w14:textId="77777777" w:rsidR="000322EF" w:rsidRPr="00B05BE6" w:rsidRDefault="000322EF" w:rsidP="00B05BE6">
            <w:pPr>
              <w:spacing w:line="480" w:lineRule="auto"/>
              <w:jc w:val="both"/>
              <w:rPr>
                <w:rFonts w:ascii="Arial" w:hAnsi="Arial" w:cs="Arial"/>
              </w:rPr>
            </w:pPr>
            <w:r w:rsidRPr="00B05BE6">
              <w:rPr>
                <w:rFonts w:ascii="Arial" w:hAnsi="Arial" w:cs="Arial"/>
              </w:rPr>
              <w:t>Open/converted surgeries</w:t>
            </w:r>
          </w:p>
          <w:p w14:paraId="63DC1326" w14:textId="77777777" w:rsidR="000322EF" w:rsidRPr="00B05BE6" w:rsidRDefault="000322EF" w:rsidP="00B05BE6">
            <w:pPr>
              <w:spacing w:line="480" w:lineRule="auto"/>
              <w:jc w:val="both"/>
              <w:rPr>
                <w:rFonts w:ascii="Arial" w:hAnsi="Arial" w:cs="Arial"/>
              </w:rPr>
            </w:pPr>
            <w:r w:rsidRPr="00B05BE6">
              <w:rPr>
                <w:rFonts w:ascii="Arial" w:hAnsi="Arial" w:cs="Arial"/>
              </w:rPr>
              <w:t>(10.7% vs</w:t>
            </w:r>
            <w:r w:rsidRPr="00B05BE6">
              <w:rPr>
                <w:rFonts w:ascii="Arial" w:hAnsi="Arial" w:cs="Arial"/>
                <w:i/>
                <w:iCs/>
              </w:rPr>
              <w:t xml:space="preserve">. </w:t>
            </w:r>
            <w:r w:rsidRPr="00B05BE6">
              <w:rPr>
                <w:rFonts w:ascii="Arial" w:hAnsi="Arial" w:cs="Arial"/>
              </w:rPr>
              <w:t>3.7%)</w:t>
            </w:r>
          </w:p>
          <w:p w14:paraId="0CD7811C" w14:textId="77777777" w:rsidR="000322EF" w:rsidRPr="00B05BE6" w:rsidRDefault="000322EF" w:rsidP="00B05BE6">
            <w:pPr>
              <w:spacing w:line="480" w:lineRule="auto"/>
              <w:jc w:val="both"/>
              <w:rPr>
                <w:rFonts w:ascii="Arial" w:hAnsi="Arial" w:cs="Arial"/>
              </w:rPr>
            </w:pPr>
            <w:r w:rsidRPr="00B05BE6">
              <w:rPr>
                <w:rFonts w:ascii="Arial" w:hAnsi="Arial" w:cs="Arial"/>
              </w:rPr>
              <w:t>(p=0.0004)</w:t>
            </w:r>
          </w:p>
        </w:tc>
        <w:tc>
          <w:tcPr>
            <w:tcW w:w="1177" w:type="dxa"/>
          </w:tcPr>
          <w:p w14:paraId="4280BCA7" w14:textId="77777777" w:rsidR="000322EF" w:rsidRPr="00B05BE6" w:rsidRDefault="000322EF" w:rsidP="00B05BE6">
            <w:pPr>
              <w:spacing w:line="480" w:lineRule="auto"/>
              <w:jc w:val="both"/>
              <w:rPr>
                <w:rFonts w:ascii="Arial" w:hAnsi="Arial" w:cs="Arial"/>
              </w:rPr>
            </w:pPr>
            <w:r w:rsidRPr="00B05BE6">
              <w:rPr>
                <w:rFonts w:ascii="Arial" w:hAnsi="Arial" w:cs="Arial"/>
              </w:rPr>
              <w:t>Overall reduction in SSI from 20% to 10%</w:t>
            </w:r>
          </w:p>
          <w:p w14:paraId="5FD23652" w14:textId="77777777" w:rsidR="000322EF" w:rsidRPr="00B05BE6" w:rsidRDefault="000322EF" w:rsidP="00B05BE6">
            <w:pPr>
              <w:spacing w:line="480" w:lineRule="auto"/>
              <w:jc w:val="both"/>
              <w:rPr>
                <w:rFonts w:ascii="Arial" w:hAnsi="Arial" w:cs="Arial"/>
              </w:rPr>
            </w:pPr>
            <w:r w:rsidRPr="00B05BE6">
              <w:rPr>
                <w:rFonts w:ascii="Arial" w:hAnsi="Arial" w:cs="Arial"/>
              </w:rPr>
              <w:t>(p&lt;0.0001)</w:t>
            </w:r>
          </w:p>
        </w:tc>
        <w:tc>
          <w:tcPr>
            <w:tcW w:w="1449" w:type="dxa"/>
          </w:tcPr>
          <w:p w14:paraId="1E7AD7F6" w14:textId="6BEB9C70"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{"citationID":"9xUnbhxM","properties":{"formattedCitation":"[56]","plainCitation":"[56]","noteIndex":0},"citationItems":[{"id":512,"uris":["http://zotero.org/users/local/7lPBLJiX/items/6IGF46PE"],"itemData":{"id":512,"type":"article-journal","container-title":"Journal of Hospital Infection","issue":"2","language":"en","page":"156–161","title":"Introduction of a care bundle effectively and sustainably reduces patient-reported surgical site infection in patients undergoing colorectal surgery","volume":"105","author":[{"family":"Dean","given":"H.F."},{"family":"King","given":"E."},{"family":"Gane","given":"D."}],"issued":{"date-parts":[["2020"]]}}}],"schema":"https://github.com/citation-style-language/schema/raw/master/csl-citation.json"} </w:instrText>
            </w:r>
            <w:r w:rsidRPr="00B05BE6">
              <w:rPr>
                <w:rFonts w:ascii="Arial" w:hAnsi="Arial" w:cs="Arial"/>
              </w:rPr>
              <w:fldChar w:fldCharType="separate"/>
            </w:r>
            <w:r w:rsidRPr="00B05BE6">
              <w:rPr>
                <w:rFonts w:ascii="Arial" w:hAnsi="Arial" w:cs="Arial"/>
              </w:rPr>
              <w:t>[56]</w:t>
            </w:r>
            <w:r w:rsidRPr="00B05BE6">
              <w:rPr>
                <w:rFonts w:ascii="Arial" w:hAnsi="Arial" w:cs="Arial"/>
              </w:rPr>
              <w:fldChar w:fldCharType="end"/>
            </w:r>
          </w:p>
        </w:tc>
      </w:tr>
      <w:tr w:rsidR="000322EF" w:rsidRPr="00FE38FD" w14:paraId="4B2E4941" w14:textId="77777777" w:rsidTr="00B05BE6">
        <w:trPr>
          <w:trHeight w:val="1203"/>
        </w:trPr>
        <w:tc>
          <w:tcPr>
            <w:tcW w:w="511" w:type="dxa"/>
          </w:tcPr>
          <w:p w14:paraId="5F40B4B3" w14:textId="77777777" w:rsidR="000322EF" w:rsidRPr="00B05BE6" w:rsidRDefault="000322EF" w:rsidP="00B05BE6">
            <w:pPr>
              <w:spacing w:line="480" w:lineRule="auto"/>
              <w:jc w:val="both"/>
              <w:rPr>
                <w:rFonts w:ascii="Arial" w:hAnsi="Arial" w:cs="Arial"/>
                <w:b/>
                <w:bCs/>
              </w:rPr>
            </w:pPr>
            <w:r w:rsidRPr="00B05BE6">
              <w:rPr>
                <w:rFonts w:ascii="Arial" w:hAnsi="Arial" w:cs="Arial"/>
              </w:rPr>
              <w:t xml:space="preserve">3. </w:t>
            </w:r>
          </w:p>
        </w:tc>
        <w:tc>
          <w:tcPr>
            <w:tcW w:w="1185" w:type="dxa"/>
          </w:tcPr>
          <w:p w14:paraId="5061282B" w14:textId="77777777" w:rsidR="000322EF" w:rsidRPr="00B05BE6" w:rsidRDefault="000322EF" w:rsidP="00B05BE6">
            <w:pPr>
              <w:spacing w:line="480" w:lineRule="auto"/>
              <w:jc w:val="both"/>
              <w:rPr>
                <w:rFonts w:ascii="Arial" w:hAnsi="Arial" w:cs="Arial"/>
              </w:rPr>
            </w:pPr>
            <w:r w:rsidRPr="00B05BE6">
              <w:rPr>
                <w:rFonts w:ascii="Arial" w:hAnsi="Arial" w:cs="Arial"/>
              </w:rPr>
              <w:t>All units</w:t>
            </w:r>
          </w:p>
        </w:tc>
        <w:tc>
          <w:tcPr>
            <w:tcW w:w="3186" w:type="dxa"/>
          </w:tcPr>
          <w:p w14:paraId="3A4EDE1A" w14:textId="77777777" w:rsidR="000322EF" w:rsidRPr="00B05BE6" w:rsidRDefault="000322EF" w:rsidP="00B05BE6">
            <w:pPr>
              <w:spacing w:line="480" w:lineRule="auto"/>
              <w:jc w:val="both"/>
              <w:rPr>
                <w:rFonts w:ascii="Arial" w:hAnsi="Arial" w:cs="Arial"/>
              </w:rPr>
            </w:pPr>
            <w:r w:rsidRPr="00B05BE6">
              <w:rPr>
                <w:rFonts w:ascii="Arial" w:hAnsi="Arial" w:cs="Arial"/>
              </w:rPr>
              <w:t>Implementation of “7” S Bundle,</w:t>
            </w:r>
            <w:r w:rsidRPr="00B05BE6">
              <w:rPr>
                <w:rFonts w:ascii="Arial" w:hAnsi="Arial" w:cs="Arial"/>
                <w:b/>
                <w:bCs/>
              </w:rPr>
              <w:t xml:space="preserve"> </w:t>
            </w:r>
            <w:r w:rsidRPr="00B05BE6">
              <w:rPr>
                <w:rFonts w:ascii="Arial" w:hAnsi="Arial" w:cs="Arial"/>
              </w:rPr>
              <w:t>which includes: Safety, Screen, Showers, Skin Prep, Solutions, Sutures, and Skin Closures</w:t>
            </w:r>
          </w:p>
          <w:p w14:paraId="7EAB552C" w14:textId="77777777" w:rsidR="000322EF" w:rsidRPr="00B05BE6" w:rsidRDefault="000322EF" w:rsidP="00B05BE6">
            <w:pPr>
              <w:spacing w:line="480" w:lineRule="auto"/>
              <w:jc w:val="both"/>
              <w:rPr>
                <w:rFonts w:ascii="Arial" w:hAnsi="Arial" w:cs="Arial"/>
              </w:rPr>
            </w:pPr>
          </w:p>
        </w:tc>
        <w:tc>
          <w:tcPr>
            <w:tcW w:w="1508" w:type="dxa"/>
          </w:tcPr>
          <w:p w14:paraId="0DEF6F00" w14:textId="77777777" w:rsidR="000322EF" w:rsidRPr="00B05BE6" w:rsidRDefault="000322EF" w:rsidP="00B05BE6">
            <w:pPr>
              <w:spacing w:line="480" w:lineRule="auto"/>
              <w:jc w:val="both"/>
              <w:rPr>
                <w:rFonts w:ascii="Arial" w:hAnsi="Arial" w:cs="Arial"/>
              </w:rPr>
            </w:pPr>
            <w:r w:rsidRPr="00B05BE6">
              <w:rPr>
                <w:rFonts w:ascii="Arial" w:hAnsi="Arial" w:cs="Arial"/>
              </w:rPr>
              <w:t>0.03 cases/100</w:t>
            </w:r>
          </w:p>
          <w:p w14:paraId="358209C6" w14:textId="77777777" w:rsidR="000322EF" w:rsidRPr="00B05BE6" w:rsidRDefault="000322EF" w:rsidP="00B05BE6">
            <w:pPr>
              <w:spacing w:line="480" w:lineRule="auto"/>
              <w:jc w:val="both"/>
              <w:rPr>
                <w:rFonts w:ascii="Arial" w:hAnsi="Arial" w:cs="Arial"/>
              </w:rPr>
            </w:pPr>
            <w:r w:rsidRPr="00B05BE6">
              <w:rPr>
                <w:rFonts w:ascii="Arial" w:hAnsi="Arial" w:cs="Arial"/>
              </w:rPr>
              <w:t>surgeries</w:t>
            </w:r>
          </w:p>
          <w:p w14:paraId="58BDC24D" w14:textId="77777777" w:rsidR="000322EF" w:rsidRPr="00B05BE6" w:rsidRDefault="000322EF" w:rsidP="00B05BE6">
            <w:pPr>
              <w:spacing w:line="480" w:lineRule="auto"/>
              <w:jc w:val="both"/>
              <w:rPr>
                <w:rFonts w:ascii="Arial" w:hAnsi="Arial" w:cs="Arial"/>
              </w:rPr>
            </w:pPr>
            <w:r w:rsidRPr="00B05BE6">
              <w:rPr>
                <w:rFonts w:ascii="Arial" w:hAnsi="Arial" w:cs="Arial"/>
              </w:rPr>
              <w:t>to</w:t>
            </w:r>
          </w:p>
          <w:p w14:paraId="02D3E7DB" w14:textId="77777777" w:rsidR="000322EF" w:rsidRPr="00B05BE6" w:rsidRDefault="000322EF" w:rsidP="00B05BE6">
            <w:pPr>
              <w:spacing w:line="480" w:lineRule="auto"/>
              <w:jc w:val="both"/>
              <w:rPr>
                <w:rFonts w:ascii="Arial" w:hAnsi="Arial" w:cs="Arial"/>
              </w:rPr>
            </w:pPr>
            <w:r w:rsidRPr="00B05BE6">
              <w:rPr>
                <w:rFonts w:ascii="Arial" w:hAnsi="Arial" w:cs="Arial"/>
              </w:rPr>
              <w:t>0.13 cases/100</w:t>
            </w:r>
          </w:p>
          <w:p w14:paraId="167274E8" w14:textId="77777777" w:rsidR="000322EF" w:rsidRPr="00B05BE6" w:rsidRDefault="000322EF" w:rsidP="00B05BE6">
            <w:pPr>
              <w:spacing w:line="480" w:lineRule="auto"/>
              <w:jc w:val="both"/>
              <w:rPr>
                <w:rFonts w:ascii="Arial" w:hAnsi="Arial" w:cs="Arial"/>
              </w:rPr>
            </w:pPr>
            <w:r w:rsidRPr="00B05BE6">
              <w:rPr>
                <w:rFonts w:ascii="Arial" w:hAnsi="Arial" w:cs="Arial"/>
              </w:rPr>
              <w:t>surgeries</w:t>
            </w:r>
          </w:p>
        </w:tc>
        <w:tc>
          <w:tcPr>
            <w:tcW w:w="1177" w:type="dxa"/>
          </w:tcPr>
          <w:p w14:paraId="3FFBB28A" w14:textId="77777777" w:rsidR="000322EF" w:rsidRPr="00B05BE6" w:rsidRDefault="000322EF" w:rsidP="00B05BE6">
            <w:pPr>
              <w:spacing w:line="480" w:lineRule="auto"/>
              <w:jc w:val="both"/>
              <w:rPr>
                <w:rFonts w:ascii="Arial" w:hAnsi="Arial" w:cs="Arial"/>
              </w:rPr>
            </w:pPr>
            <w:r w:rsidRPr="00B05BE6">
              <w:rPr>
                <w:rFonts w:ascii="Arial" w:hAnsi="Arial" w:cs="Arial"/>
              </w:rPr>
              <w:t>297%</w:t>
            </w:r>
          </w:p>
        </w:tc>
        <w:tc>
          <w:tcPr>
            <w:tcW w:w="1449" w:type="dxa"/>
          </w:tcPr>
          <w:p w14:paraId="35FD22D6" w14:textId="77777777" w:rsidR="000322EF" w:rsidRPr="00B05BE6" w:rsidRDefault="000322EF" w:rsidP="00B05BE6">
            <w:pPr>
              <w:spacing w:line="480" w:lineRule="auto"/>
              <w:jc w:val="both"/>
              <w:rPr>
                <w:rFonts w:ascii="Arial" w:hAnsi="Arial" w:cs="Arial"/>
              </w:rPr>
            </w:pPr>
            <w:r w:rsidRPr="00B05BE6">
              <w:rPr>
                <w:rFonts w:ascii="Arial" w:hAnsi="Arial" w:cs="Arial"/>
              </w:rPr>
              <w:t>Present study</w:t>
            </w:r>
          </w:p>
        </w:tc>
      </w:tr>
    </w:tbl>
    <w:p w14:paraId="49BD1077" w14:textId="77777777" w:rsidR="000322EF" w:rsidRPr="00B05BE6" w:rsidRDefault="000322EF" w:rsidP="00B05BE6">
      <w:pPr>
        <w:spacing w:line="480" w:lineRule="auto"/>
        <w:jc w:val="both"/>
        <w:rPr>
          <w:rFonts w:ascii="Arial" w:hAnsi="Arial" w:cs="Arial"/>
          <w:i/>
          <w:iCs/>
        </w:rPr>
      </w:pPr>
      <w:r w:rsidRPr="00B05BE6">
        <w:rPr>
          <w:rFonts w:ascii="Arial" w:hAnsi="Arial" w:cs="Arial"/>
          <w:i/>
          <w:iCs/>
        </w:rPr>
        <w:t>ICU: Intensive care unit; IPC: Infection prevention and control; SSI: Surgical site infection.</w:t>
      </w:r>
    </w:p>
    <w:p w14:paraId="752D7480" w14:textId="77777777" w:rsidR="000322EF" w:rsidRPr="00B05BE6" w:rsidRDefault="000322EF" w:rsidP="00FE38FD">
      <w:pPr>
        <w:spacing w:line="480" w:lineRule="auto"/>
        <w:jc w:val="both"/>
        <w:rPr>
          <w:rFonts w:ascii="Arial" w:hAnsi="Arial" w:cs="Arial"/>
          <w:b/>
          <w:bCs/>
        </w:rPr>
      </w:pPr>
    </w:p>
    <w:p w14:paraId="24CEEBC7" w14:textId="77777777" w:rsidR="00C475EB" w:rsidRPr="00B05BE6" w:rsidRDefault="00C475EB" w:rsidP="00FE38FD">
      <w:pPr>
        <w:spacing w:line="480" w:lineRule="auto"/>
        <w:jc w:val="both"/>
        <w:rPr>
          <w:rFonts w:ascii="Arial" w:hAnsi="Arial" w:cs="Arial"/>
          <w:b/>
          <w:bCs/>
        </w:rPr>
      </w:pPr>
    </w:p>
    <w:p w14:paraId="4FADA7CC" w14:textId="77777777" w:rsidR="00C475EB" w:rsidRPr="00B05BE6" w:rsidRDefault="00C475EB" w:rsidP="00FE38FD">
      <w:pPr>
        <w:spacing w:line="480" w:lineRule="auto"/>
        <w:jc w:val="both"/>
        <w:rPr>
          <w:rFonts w:ascii="Arial" w:hAnsi="Arial" w:cs="Arial"/>
          <w:b/>
          <w:bCs/>
        </w:rPr>
      </w:pPr>
    </w:p>
    <w:p w14:paraId="2B7AE27D" w14:textId="77777777" w:rsidR="00C475EB" w:rsidRPr="00B05BE6" w:rsidRDefault="00C475EB" w:rsidP="00B05BE6">
      <w:pPr>
        <w:spacing w:line="480" w:lineRule="auto"/>
        <w:jc w:val="both"/>
        <w:rPr>
          <w:rFonts w:ascii="Arial" w:hAnsi="Arial" w:cs="Arial"/>
          <w:b/>
          <w:bCs/>
        </w:rPr>
      </w:pPr>
    </w:p>
    <w:p w14:paraId="6BDB5972" w14:textId="48DD59FE" w:rsidR="000322EF" w:rsidRPr="00B05BE6" w:rsidRDefault="000322EF" w:rsidP="00B05BE6">
      <w:pPr>
        <w:spacing w:line="480" w:lineRule="auto"/>
        <w:jc w:val="both"/>
        <w:rPr>
          <w:rFonts w:ascii="Arial" w:hAnsi="Arial" w:cs="Arial"/>
          <w:b/>
          <w:bCs/>
        </w:rPr>
      </w:pPr>
      <w:r w:rsidRPr="00B05BE6">
        <w:rPr>
          <w:rFonts w:ascii="Arial" w:hAnsi="Arial" w:cs="Arial"/>
          <w:b/>
          <w:bCs/>
        </w:rPr>
        <w:lastRenderedPageBreak/>
        <w:t xml:space="preserve">Supplementary Table 7: </w:t>
      </w:r>
      <w:r w:rsidRPr="00B05BE6">
        <w:rPr>
          <w:rFonts w:ascii="Arial" w:hAnsi="Arial" w:cs="Arial"/>
        </w:rPr>
        <w:t>Decrease in VAP incidence following the adoption of VAP care bundles as reported in various studies</w:t>
      </w:r>
      <w:r w:rsidRPr="00B05BE6">
        <w:rPr>
          <w:rFonts w:ascii="Arial" w:hAnsi="Arial" w:cs="Arial"/>
          <w:b/>
          <w:bCs/>
        </w:rPr>
        <w:t xml:space="preserve"> </w:t>
      </w:r>
    </w:p>
    <w:tbl>
      <w:tblPr>
        <w:tblStyle w:val="TableGridLight"/>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988"/>
        <w:gridCol w:w="1097"/>
        <w:gridCol w:w="2693"/>
        <w:gridCol w:w="1528"/>
        <w:gridCol w:w="1403"/>
        <w:gridCol w:w="1417"/>
      </w:tblGrid>
      <w:tr w:rsidR="000322EF" w:rsidRPr="00FE38FD" w14:paraId="6E277A4E" w14:textId="77777777" w:rsidTr="00B05BE6">
        <w:trPr>
          <w:tblHeader/>
        </w:trPr>
        <w:tc>
          <w:tcPr>
            <w:tcW w:w="8830" w:type="dxa"/>
            <w:gridSpan w:val="6"/>
            <w:shd w:val="clear" w:color="auto" w:fill="F2F2F2" w:themeFill="background1" w:themeFillShade="F2"/>
          </w:tcPr>
          <w:p w14:paraId="5903497F"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Reduction in VAPs</w:t>
            </w:r>
          </w:p>
        </w:tc>
      </w:tr>
      <w:tr w:rsidR="000322EF" w:rsidRPr="00FE38FD" w14:paraId="3F5FE372" w14:textId="77777777" w:rsidTr="00B05BE6">
        <w:trPr>
          <w:tblHeader/>
        </w:trPr>
        <w:tc>
          <w:tcPr>
            <w:tcW w:w="988" w:type="dxa"/>
            <w:shd w:val="clear" w:color="auto" w:fill="F2F2F2" w:themeFill="background1" w:themeFillShade="F2"/>
          </w:tcPr>
          <w:p w14:paraId="7B8BF51F" w14:textId="77777777" w:rsidR="000322EF" w:rsidRPr="00B05BE6" w:rsidRDefault="000322EF" w:rsidP="00B05BE6">
            <w:pPr>
              <w:spacing w:line="480" w:lineRule="auto"/>
              <w:jc w:val="both"/>
              <w:rPr>
                <w:rFonts w:ascii="Arial" w:hAnsi="Arial" w:cs="Arial"/>
              </w:rPr>
            </w:pPr>
            <w:r w:rsidRPr="00B05BE6">
              <w:rPr>
                <w:rFonts w:ascii="Arial" w:hAnsi="Arial" w:cs="Arial"/>
                <w:b/>
                <w:bCs/>
              </w:rPr>
              <w:t>Sl. No</w:t>
            </w:r>
            <w:r w:rsidRPr="00B05BE6">
              <w:rPr>
                <w:rFonts w:ascii="Arial" w:hAnsi="Arial" w:cs="Arial"/>
              </w:rPr>
              <w:t>.</w:t>
            </w:r>
          </w:p>
        </w:tc>
        <w:tc>
          <w:tcPr>
            <w:tcW w:w="1023" w:type="dxa"/>
            <w:shd w:val="clear" w:color="auto" w:fill="F2F2F2" w:themeFill="background1" w:themeFillShade="F2"/>
          </w:tcPr>
          <w:p w14:paraId="4347B0F4"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Type of ward</w:t>
            </w:r>
          </w:p>
        </w:tc>
        <w:tc>
          <w:tcPr>
            <w:tcW w:w="2693" w:type="dxa"/>
            <w:shd w:val="clear" w:color="auto" w:fill="F2F2F2" w:themeFill="background1" w:themeFillShade="F2"/>
          </w:tcPr>
          <w:p w14:paraId="305C62DF"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IPC practices implemented</w:t>
            </w:r>
          </w:p>
        </w:tc>
        <w:tc>
          <w:tcPr>
            <w:tcW w:w="1528" w:type="dxa"/>
            <w:shd w:val="clear" w:color="auto" w:fill="F2F2F2" w:themeFill="background1" w:themeFillShade="F2"/>
          </w:tcPr>
          <w:p w14:paraId="6349E3DE"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Reduction rates</w:t>
            </w:r>
          </w:p>
        </w:tc>
        <w:tc>
          <w:tcPr>
            <w:tcW w:w="1181" w:type="dxa"/>
            <w:shd w:val="clear" w:color="auto" w:fill="F2F2F2" w:themeFill="background1" w:themeFillShade="F2"/>
          </w:tcPr>
          <w:p w14:paraId="24B7BA34"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Percentage reduction</w:t>
            </w:r>
          </w:p>
        </w:tc>
        <w:tc>
          <w:tcPr>
            <w:tcW w:w="1417" w:type="dxa"/>
            <w:shd w:val="clear" w:color="auto" w:fill="F2F2F2" w:themeFill="background1" w:themeFillShade="F2"/>
          </w:tcPr>
          <w:p w14:paraId="376F2EB7" w14:textId="77777777" w:rsidR="000322EF" w:rsidRPr="00B05BE6" w:rsidRDefault="000322EF" w:rsidP="00B05BE6">
            <w:pPr>
              <w:spacing w:line="480" w:lineRule="auto"/>
              <w:jc w:val="both"/>
              <w:rPr>
                <w:rFonts w:ascii="Arial" w:hAnsi="Arial" w:cs="Arial"/>
                <w:b/>
                <w:bCs/>
              </w:rPr>
            </w:pPr>
            <w:r w:rsidRPr="00B05BE6">
              <w:rPr>
                <w:rFonts w:ascii="Arial" w:hAnsi="Arial" w:cs="Arial"/>
                <w:b/>
                <w:bCs/>
              </w:rPr>
              <w:t>Reference</w:t>
            </w:r>
          </w:p>
        </w:tc>
      </w:tr>
      <w:tr w:rsidR="000322EF" w:rsidRPr="00FE38FD" w14:paraId="2D985EFD" w14:textId="77777777" w:rsidTr="00B05BE6">
        <w:trPr>
          <w:trHeight w:val="2542"/>
        </w:trPr>
        <w:tc>
          <w:tcPr>
            <w:tcW w:w="988" w:type="dxa"/>
          </w:tcPr>
          <w:p w14:paraId="5CA55265" w14:textId="77777777" w:rsidR="000322EF" w:rsidRPr="00B05BE6" w:rsidRDefault="000322EF" w:rsidP="00B05BE6">
            <w:pPr>
              <w:spacing w:line="480" w:lineRule="auto"/>
              <w:jc w:val="both"/>
              <w:rPr>
                <w:rFonts w:ascii="Arial" w:hAnsi="Arial" w:cs="Arial"/>
                <w:b/>
                <w:bCs/>
              </w:rPr>
            </w:pPr>
            <w:r w:rsidRPr="00B05BE6">
              <w:rPr>
                <w:rFonts w:ascii="Arial" w:hAnsi="Arial" w:cs="Arial"/>
              </w:rPr>
              <w:t>1.</w:t>
            </w:r>
          </w:p>
        </w:tc>
        <w:tc>
          <w:tcPr>
            <w:tcW w:w="1023" w:type="dxa"/>
          </w:tcPr>
          <w:p w14:paraId="4D56DF8E"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Adult intensive care unit </w:t>
            </w:r>
          </w:p>
        </w:tc>
        <w:tc>
          <w:tcPr>
            <w:tcW w:w="2693" w:type="dxa"/>
          </w:tcPr>
          <w:p w14:paraId="18CB35E3" w14:textId="77777777" w:rsidR="000322EF" w:rsidRPr="00B05BE6" w:rsidRDefault="000322EF" w:rsidP="00B05BE6">
            <w:pPr>
              <w:spacing w:line="480" w:lineRule="auto"/>
              <w:jc w:val="both"/>
              <w:rPr>
                <w:rFonts w:ascii="Arial" w:hAnsi="Arial" w:cs="Arial"/>
              </w:rPr>
            </w:pPr>
            <w:r w:rsidRPr="00B05BE6">
              <w:rPr>
                <w:rFonts w:ascii="Arial" w:hAnsi="Arial" w:cs="Arial"/>
              </w:rPr>
              <w:t>IHI VAP bundle included:</w:t>
            </w:r>
          </w:p>
          <w:p w14:paraId="46DEFD23" w14:textId="77777777" w:rsidR="000322EF" w:rsidRPr="00B05BE6" w:rsidRDefault="000322EF" w:rsidP="00B05BE6">
            <w:pPr>
              <w:pStyle w:val="ListParagraph"/>
              <w:numPr>
                <w:ilvl w:val="0"/>
                <w:numId w:val="8"/>
              </w:numPr>
              <w:spacing w:line="480" w:lineRule="auto"/>
              <w:jc w:val="both"/>
              <w:rPr>
                <w:rFonts w:ascii="Arial" w:hAnsi="Arial" w:cs="Arial"/>
              </w:rPr>
            </w:pPr>
            <w:r w:rsidRPr="00B05BE6">
              <w:rPr>
                <w:rFonts w:ascii="Arial" w:hAnsi="Arial" w:cs="Arial"/>
              </w:rPr>
              <w:t>Head-of-bed elevation</w:t>
            </w:r>
          </w:p>
          <w:p w14:paraId="73A1FFFA" w14:textId="77777777" w:rsidR="000322EF" w:rsidRPr="00B05BE6" w:rsidRDefault="000322EF" w:rsidP="00B05BE6">
            <w:pPr>
              <w:pStyle w:val="ListParagraph"/>
              <w:numPr>
                <w:ilvl w:val="0"/>
                <w:numId w:val="8"/>
              </w:numPr>
              <w:spacing w:line="480" w:lineRule="auto"/>
              <w:jc w:val="both"/>
              <w:rPr>
                <w:rFonts w:ascii="Arial" w:hAnsi="Arial" w:cs="Arial"/>
              </w:rPr>
            </w:pPr>
            <w:r w:rsidRPr="00B05BE6">
              <w:rPr>
                <w:rFonts w:ascii="Arial" w:hAnsi="Arial" w:cs="Arial"/>
              </w:rPr>
              <w:t>A daily “sedation vacation”</w:t>
            </w:r>
          </w:p>
          <w:p w14:paraId="28E618FA" w14:textId="77777777" w:rsidR="000322EF" w:rsidRPr="00B05BE6" w:rsidRDefault="000322EF" w:rsidP="00B05BE6">
            <w:pPr>
              <w:pStyle w:val="ListParagraph"/>
              <w:numPr>
                <w:ilvl w:val="0"/>
                <w:numId w:val="8"/>
              </w:numPr>
              <w:spacing w:line="480" w:lineRule="auto"/>
              <w:jc w:val="both"/>
              <w:rPr>
                <w:rFonts w:ascii="Arial" w:hAnsi="Arial" w:cs="Arial"/>
              </w:rPr>
            </w:pPr>
            <w:r w:rsidRPr="00B05BE6">
              <w:rPr>
                <w:rFonts w:ascii="Arial" w:hAnsi="Arial" w:cs="Arial"/>
              </w:rPr>
              <w:t>A readiness to mean assessment</w:t>
            </w:r>
          </w:p>
          <w:p w14:paraId="1E58EBBD" w14:textId="77777777" w:rsidR="000322EF" w:rsidRPr="00B05BE6" w:rsidRDefault="000322EF" w:rsidP="00B05BE6">
            <w:pPr>
              <w:pStyle w:val="ListParagraph"/>
              <w:numPr>
                <w:ilvl w:val="0"/>
                <w:numId w:val="8"/>
              </w:numPr>
              <w:spacing w:line="480" w:lineRule="auto"/>
              <w:jc w:val="both"/>
              <w:rPr>
                <w:rFonts w:ascii="Arial" w:hAnsi="Arial" w:cs="Arial"/>
              </w:rPr>
            </w:pPr>
            <w:r w:rsidRPr="00B05BE6">
              <w:rPr>
                <w:rFonts w:ascii="Arial" w:hAnsi="Arial" w:cs="Arial"/>
              </w:rPr>
              <w:t>Peptic ulcer disease prophylaxis</w:t>
            </w:r>
          </w:p>
          <w:p w14:paraId="54587EFC" w14:textId="77777777" w:rsidR="000322EF" w:rsidRPr="00B05BE6" w:rsidRDefault="000322EF" w:rsidP="00B05BE6">
            <w:pPr>
              <w:pStyle w:val="ListParagraph"/>
              <w:numPr>
                <w:ilvl w:val="0"/>
                <w:numId w:val="8"/>
              </w:numPr>
              <w:spacing w:line="480" w:lineRule="auto"/>
              <w:jc w:val="both"/>
              <w:rPr>
                <w:rFonts w:ascii="Arial" w:hAnsi="Arial" w:cs="Arial"/>
              </w:rPr>
            </w:pPr>
            <w:r w:rsidRPr="00B05BE6">
              <w:rPr>
                <w:rFonts w:ascii="Arial" w:hAnsi="Arial" w:cs="Arial"/>
              </w:rPr>
              <w:t xml:space="preserve">Deep vein thrombosis prophylaxis </w:t>
            </w:r>
          </w:p>
        </w:tc>
        <w:tc>
          <w:tcPr>
            <w:tcW w:w="1528" w:type="dxa"/>
          </w:tcPr>
          <w:p w14:paraId="620C74C4" w14:textId="77777777" w:rsidR="000322EF" w:rsidRPr="00B05BE6" w:rsidRDefault="000322EF" w:rsidP="00B05BE6">
            <w:pPr>
              <w:spacing w:line="480" w:lineRule="auto"/>
              <w:jc w:val="both"/>
              <w:rPr>
                <w:rFonts w:ascii="Arial" w:hAnsi="Arial" w:cs="Arial"/>
              </w:rPr>
            </w:pPr>
            <w:r w:rsidRPr="00B05BE6">
              <w:rPr>
                <w:rFonts w:ascii="Arial" w:hAnsi="Arial" w:cs="Arial"/>
              </w:rPr>
              <w:t>9.3 cases/1000</w:t>
            </w:r>
          </w:p>
          <w:p w14:paraId="12E880A3" w14:textId="77777777" w:rsidR="000322EF" w:rsidRPr="00B05BE6" w:rsidRDefault="000322EF" w:rsidP="00B05BE6">
            <w:pPr>
              <w:spacing w:line="480" w:lineRule="auto"/>
              <w:jc w:val="both"/>
              <w:rPr>
                <w:rFonts w:ascii="Arial" w:hAnsi="Arial" w:cs="Arial"/>
              </w:rPr>
            </w:pPr>
            <w:r w:rsidRPr="00B05BE6">
              <w:rPr>
                <w:rFonts w:ascii="Arial" w:hAnsi="Arial" w:cs="Arial"/>
              </w:rPr>
              <w:t>ventilator days</w:t>
            </w:r>
          </w:p>
          <w:p w14:paraId="7C9BA33C" w14:textId="77777777" w:rsidR="000322EF" w:rsidRPr="00B05BE6" w:rsidRDefault="000322EF" w:rsidP="00B05BE6">
            <w:pPr>
              <w:spacing w:line="480" w:lineRule="auto"/>
              <w:jc w:val="both"/>
              <w:rPr>
                <w:rFonts w:ascii="Arial" w:hAnsi="Arial" w:cs="Arial"/>
              </w:rPr>
            </w:pPr>
            <w:r w:rsidRPr="00B05BE6">
              <w:rPr>
                <w:rFonts w:ascii="Arial" w:hAnsi="Arial" w:cs="Arial"/>
              </w:rPr>
              <w:t>to</w:t>
            </w:r>
          </w:p>
          <w:p w14:paraId="79D23393" w14:textId="77777777" w:rsidR="000322EF" w:rsidRPr="00B05BE6" w:rsidRDefault="000322EF" w:rsidP="00B05BE6">
            <w:pPr>
              <w:spacing w:line="480" w:lineRule="auto"/>
              <w:jc w:val="both"/>
              <w:rPr>
                <w:rFonts w:ascii="Arial" w:hAnsi="Arial" w:cs="Arial"/>
              </w:rPr>
            </w:pPr>
            <w:r w:rsidRPr="00B05BE6">
              <w:rPr>
                <w:rFonts w:ascii="Arial" w:hAnsi="Arial" w:cs="Arial"/>
              </w:rPr>
              <w:t>2.2 cases/1000</w:t>
            </w:r>
          </w:p>
          <w:p w14:paraId="10117522" w14:textId="77777777" w:rsidR="000322EF" w:rsidRPr="00B05BE6" w:rsidRDefault="000322EF" w:rsidP="00B05BE6">
            <w:pPr>
              <w:spacing w:line="480" w:lineRule="auto"/>
              <w:jc w:val="both"/>
              <w:rPr>
                <w:rFonts w:ascii="Arial" w:hAnsi="Arial" w:cs="Arial"/>
              </w:rPr>
            </w:pPr>
            <w:r w:rsidRPr="00B05BE6">
              <w:rPr>
                <w:rFonts w:ascii="Arial" w:hAnsi="Arial" w:cs="Arial"/>
              </w:rPr>
              <w:t>ventilator days</w:t>
            </w:r>
          </w:p>
          <w:p w14:paraId="08C74E08" w14:textId="77777777" w:rsidR="000322EF" w:rsidRPr="00B05BE6" w:rsidRDefault="000322EF" w:rsidP="00B05BE6">
            <w:pPr>
              <w:spacing w:line="480" w:lineRule="auto"/>
              <w:jc w:val="both"/>
              <w:rPr>
                <w:rFonts w:ascii="Arial" w:hAnsi="Arial" w:cs="Arial"/>
              </w:rPr>
            </w:pPr>
            <w:r w:rsidRPr="00B05BE6">
              <w:rPr>
                <w:rFonts w:ascii="Arial" w:hAnsi="Arial" w:cs="Arial"/>
              </w:rPr>
              <w:t>(p&lt;0.001)</w:t>
            </w:r>
          </w:p>
        </w:tc>
        <w:tc>
          <w:tcPr>
            <w:tcW w:w="1181" w:type="dxa"/>
          </w:tcPr>
          <w:p w14:paraId="6109309E" w14:textId="77777777" w:rsidR="000322EF" w:rsidRPr="00B05BE6" w:rsidRDefault="000322EF" w:rsidP="00B05BE6">
            <w:pPr>
              <w:spacing w:line="480" w:lineRule="auto"/>
              <w:jc w:val="both"/>
              <w:rPr>
                <w:rFonts w:ascii="Arial" w:hAnsi="Arial" w:cs="Arial"/>
              </w:rPr>
            </w:pPr>
            <w:r w:rsidRPr="00B05BE6">
              <w:rPr>
                <w:rFonts w:ascii="Arial" w:hAnsi="Arial" w:cs="Arial"/>
              </w:rPr>
              <w:t>80%</w:t>
            </w:r>
          </w:p>
        </w:tc>
        <w:tc>
          <w:tcPr>
            <w:tcW w:w="1417" w:type="dxa"/>
          </w:tcPr>
          <w:p w14:paraId="389B0194" w14:textId="2DBA2B69"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{"citationID":"xjoh0PE3","properties":{"formattedCitation":"[57]","plainCitation":"[57]","noteIndex":0},"citationItems":[{"id":501,"uris":["http://zotero.org/users/local/7lPBLJiX/items/45K58RDP"],"itemData":{"id":501,"type":"article-journal","container-title":"Am J Infect Control","language":"en","title":"Decreasing ventilator-associated pneumonia in adult intensive care units using the institute for healthcare improvement bundle","volume":"Sep;38(7):552-6","author":[{"family":"Al-Tawfiq","given":"J.A."},{"family":"Abed","given":"M.S."}],"issued":{"date-parts":[["2010"]]}}}],"schema":"https://github.com/citation-style-language/schema/raw/master/csl-citation.json"} </w:instrText>
            </w:r>
            <w:r w:rsidRPr="00B05BE6">
              <w:rPr>
                <w:rFonts w:ascii="Arial" w:hAnsi="Arial" w:cs="Arial"/>
              </w:rPr>
              <w:fldChar w:fldCharType="separate"/>
            </w:r>
            <w:r w:rsidRPr="00B05BE6">
              <w:rPr>
                <w:rFonts w:ascii="Arial" w:hAnsi="Arial" w:cs="Arial"/>
              </w:rPr>
              <w:t>[57]</w:t>
            </w:r>
            <w:r w:rsidRPr="00B05BE6">
              <w:rPr>
                <w:rFonts w:ascii="Arial" w:hAnsi="Arial" w:cs="Arial"/>
              </w:rPr>
              <w:fldChar w:fldCharType="end"/>
            </w:r>
          </w:p>
        </w:tc>
      </w:tr>
      <w:tr w:rsidR="000322EF" w:rsidRPr="00FE38FD" w14:paraId="4C0F9BF7" w14:textId="77777777" w:rsidTr="00B05BE6">
        <w:tc>
          <w:tcPr>
            <w:tcW w:w="988" w:type="dxa"/>
          </w:tcPr>
          <w:p w14:paraId="4980C9AE" w14:textId="77777777" w:rsidR="000322EF" w:rsidRPr="00B05BE6" w:rsidRDefault="000322EF" w:rsidP="00B05BE6">
            <w:pPr>
              <w:spacing w:line="480" w:lineRule="auto"/>
              <w:jc w:val="both"/>
              <w:rPr>
                <w:rFonts w:ascii="Arial" w:hAnsi="Arial" w:cs="Arial"/>
                <w:b/>
                <w:bCs/>
              </w:rPr>
            </w:pPr>
            <w:r w:rsidRPr="00B05BE6">
              <w:rPr>
                <w:rFonts w:ascii="Arial" w:hAnsi="Arial" w:cs="Arial"/>
              </w:rPr>
              <w:lastRenderedPageBreak/>
              <w:t>2.</w:t>
            </w:r>
          </w:p>
        </w:tc>
        <w:tc>
          <w:tcPr>
            <w:tcW w:w="1023" w:type="dxa"/>
          </w:tcPr>
          <w:p w14:paraId="6CC5F3C5"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Trauma Intensive care unit </w:t>
            </w:r>
          </w:p>
        </w:tc>
        <w:tc>
          <w:tcPr>
            <w:tcW w:w="2693" w:type="dxa"/>
          </w:tcPr>
          <w:p w14:paraId="0125CB6D"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Interventions in the form of implementation of infection control practices, training of HCWs, and auditing of practices </w:t>
            </w:r>
          </w:p>
        </w:tc>
        <w:tc>
          <w:tcPr>
            <w:tcW w:w="1528" w:type="dxa"/>
          </w:tcPr>
          <w:p w14:paraId="21F9B5A5" w14:textId="77777777" w:rsidR="000322EF" w:rsidRPr="00B05BE6" w:rsidRDefault="000322EF" w:rsidP="00B05BE6">
            <w:pPr>
              <w:spacing w:line="480" w:lineRule="auto"/>
              <w:jc w:val="both"/>
              <w:rPr>
                <w:rFonts w:ascii="Arial" w:hAnsi="Arial" w:cs="Arial"/>
              </w:rPr>
            </w:pPr>
            <w:r w:rsidRPr="00B05BE6">
              <w:rPr>
                <w:rFonts w:ascii="Arial" w:hAnsi="Arial" w:cs="Arial"/>
              </w:rPr>
              <w:t>24 cases/1000</w:t>
            </w:r>
          </w:p>
          <w:p w14:paraId="03BA3265" w14:textId="77777777" w:rsidR="000322EF" w:rsidRPr="00B05BE6" w:rsidRDefault="000322EF" w:rsidP="00B05BE6">
            <w:pPr>
              <w:spacing w:line="480" w:lineRule="auto"/>
              <w:jc w:val="both"/>
              <w:rPr>
                <w:rFonts w:ascii="Arial" w:hAnsi="Arial" w:cs="Arial"/>
              </w:rPr>
            </w:pPr>
            <w:r w:rsidRPr="00B05BE6">
              <w:rPr>
                <w:rFonts w:ascii="Arial" w:hAnsi="Arial" w:cs="Arial"/>
              </w:rPr>
              <w:t>ventilator days to</w:t>
            </w:r>
          </w:p>
          <w:p w14:paraId="192BF531" w14:textId="77777777" w:rsidR="000322EF" w:rsidRPr="00B05BE6" w:rsidRDefault="000322EF" w:rsidP="00B05BE6">
            <w:pPr>
              <w:spacing w:line="480" w:lineRule="auto"/>
              <w:jc w:val="both"/>
              <w:rPr>
                <w:rFonts w:ascii="Arial" w:hAnsi="Arial" w:cs="Arial"/>
              </w:rPr>
            </w:pPr>
            <w:r w:rsidRPr="00B05BE6">
              <w:rPr>
                <w:rFonts w:ascii="Arial" w:hAnsi="Arial" w:cs="Arial"/>
              </w:rPr>
              <w:t>8 cases/1000</w:t>
            </w:r>
          </w:p>
          <w:p w14:paraId="466A263D" w14:textId="77777777" w:rsidR="000322EF" w:rsidRPr="00B05BE6" w:rsidRDefault="000322EF" w:rsidP="00B05BE6">
            <w:pPr>
              <w:spacing w:line="480" w:lineRule="auto"/>
              <w:jc w:val="both"/>
              <w:rPr>
                <w:rFonts w:ascii="Arial" w:hAnsi="Arial" w:cs="Arial"/>
              </w:rPr>
            </w:pPr>
            <w:r w:rsidRPr="00B05BE6">
              <w:rPr>
                <w:rFonts w:ascii="Arial" w:hAnsi="Arial" w:cs="Arial"/>
              </w:rPr>
              <w:t>ventilator days</w:t>
            </w:r>
          </w:p>
          <w:p w14:paraId="7149D4A7" w14:textId="77777777" w:rsidR="000322EF" w:rsidRPr="00B05BE6" w:rsidRDefault="000322EF" w:rsidP="00B05BE6">
            <w:pPr>
              <w:spacing w:line="480" w:lineRule="auto"/>
              <w:jc w:val="both"/>
              <w:rPr>
                <w:rFonts w:ascii="Arial" w:hAnsi="Arial" w:cs="Arial"/>
              </w:rPr>
            </w:pPr>
            <w:r w:rsidRPr="00B05BE6">
              <w:rPr>
                <w:rFonts w:ascii="Arial" w:hAnsi="Arial" w:cs="Arial"/>
              </w:rPr>
              <w:t>(p&lt;0.05)</w:t>
            </w:r>
          </w:p>
        </w:tc>
        <w:tc>
          <w:tcPr>
            <w:tcW w:w="1181" w:type="dxa"/>
          </w:tcPr>
          <w:p w14:paraId="386FEEC6"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    67% </w:t>
            </w:r>
          </w:p>
        </w:tc>
        <w:tc>
          <w:tcPr>
            <w:tcW w:w="1417" w:type="dxa"/>
          </w:tcPr>
          <w:p w14:paraId="3927EF2E" w14:textId="0F5FDB78"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{"citationID":"BM2xwcWb","properties":{"formattedCitation":"[58]","plainCitation":"[58]","noteIndex":0},"citationItems":[{"id":533,"uris":["http://zotero.org/users/local/7lPBLJiX/items/MFLWUYGK"],"itemData":{"id":533,"type":"article-journal","container-title":"MGM J Med Sci","language":"en","page":"434–40","title":"Role of basic infection control practices to curtail the outbreak of ventilator-associated pneumonia caused by Klebsiella pneumoniae in a tertiary care hospital’s trauma intensive care unit","volume":"10","author":[{"family":"Mudshingkar","given":"S."},{"family":"Dedwal","given":"A."},{"family":"Karyakarte","given":"R."}],"issued":{"date-parts":[["2023"]]}}}],"schema":"https://github.com/citation-style-language/schema/raw/master/csl-citation.json"} </w:instrText>
            </w:r>
            <w:r w:rsidRPr="00B05BE6">
              <w:rPr>
                <w:rFonts w:ascii="Arial" w:hAnsi="Arial" w:cs="Arial"/>
              </w:rPr>
              <w:fldChar w:fldCharType="separate"/>
            </w:r>
            <w:r w:rsidRPr="00B05BE6">
              <w:rPr>
                <w:rFonts w:ascii="Arial" w:hAnsi="Arial" w:cs="Arial"/>
              </w:rPr>
              <w:t>[58]</w:t>
            </w:r>
            <w:r w:rsidRPr="00B05BE6">
              <w:rPr>
                <w:rFonts w:ascii="Arial" w:hAnsi="Arial" w:cs="Arial"/>
              </w:rPr>
              <w:fldChar w:fldCharType="end"/>
            </w:r>
          </w:p>
        </w:tc>
      </w:tr>
      <w:tr w:rsidR="000322EF" w:rsidRPr="00FE38FD" w14:paraId="7E39E320" w14:textId="77777777" w:rsidTr="00B05BE6">
        <w:tc>
          <w:tcPr>
            <w:tcW w:w="988" w:type="dxa"/>
          </w:tcPr>
          <w:p w14:paraId="0DDF2DEC" w14:textId="77777777" w:rsidR="000322EF" w:rsidRPr="00B05BE6" w:rsidRDefault="000322EF" w:rsidP="00B05BE6">
            <w:pPr>
              <w:spacing w:line="480" w:lineRule="auto"/>
              <w:jc w:val="both"/>
              <w:rPr>
                <w:rFonts w:ascii="Arial" w:hAnsi="Arial" w:cs="Arial"/>
                <w:b/>
                <w:bCs/>
              </w:rPr>
            </w:pPr>
            <w:r w:rsidRPr="00B05BE6">
              <w:rPr>
                <w:rFonts w:ascii="Arial" w:hAnsi="Arial" w:cs="Arial"/>
              </w:rPr>
              <w:t>3.</w:t>
            </w:r>
          </w:p>
        </w:tc>
        <w:tc>
          <w:tcPr>
            <w:tcW w:w="1023" w:type="dxa"/>
          </w:tcPr>
          <w:p w14:paraId="45F16C62"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Neonatal intensive care unit </w:t>
            </w:r>
          </w:p>
        </w:tc>
        <w:tc>
          <w:tcPr>
            <w:tcW w:w="2693" w:type="dxa"/>
          </w:tcPr>
          <w:p w14:paraId="59D7C78A"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VAP care bundle implementation </w:t>
            </w:r>
          </w:p>
        </w:tc>
        <w:tc>
          <w:tcPr>
            <w:tcW w:w="1528" w:type="dxa"/>
          </w:tcPr>
          <w:p w14:paraId="460ECE1A" w14:textId="77777777" w:rsidR="000322EF" w:rsidRPr="00B05BE6" w:rsidRDefault="000322EF" w:rsidP="00B05BE6">
            <w:pPr>
              <w:spacing w:line="480" w:lineRule="auto"/>
              <w:jc w:val="both"/>
              <w:rPr>
                <w:rFonts w:ascii="Arial" w:hAnsi="Arial" w:cs="Arial"/>
              </w:rPr>
            </w:pPr>
            <w:r w:rsidRPr="00B05BE6">
              <w:rPr>
                <w:rFonts w:ascii="Arial" w:hAnsi="Arial" w:cs="Arial"/>
              </w:rPr>
              <w:t>36.4 cases/1000</w:t>
            </w:r>
          </w:p>
          <w:p w14:paraId="41059489" w14:textId="77777777" w:rsidR="000322EF" w:rsidRPr="00B05BE6" w:rsidRDefault="000322EF" w:rsidP="00B05BE6">
            <w:pPr>
              <w:spacing w:line="480" w:lineRule="auto"/>
              <w:jc w:val="both"/>
              <w:rPr>
                <w:rFonts w:ascii="Arial" w:hAnsi="Arial" w:cs="Arial"/>
              </w:rPr>
            </w:pPr>
            <w:r w:rsidRPr="00B05BE6">
              <w:rPr>
                <w:rFonts w:ascii="Arial" w:hAnsi="Arial" w:cs="Arial"/>
              </w:rPr>
              <w:t>ventilator days</w:t>
            </w:r>
          </w:p>
          <w:p w14:paraId="0E20247D" w14:textId="77777777" w:rsidR="000322EF" w:rsidRPr="00B05BE6" w:rsidRDefault="000322EF" w:rsidP="00B05BE6">
            <w:pPr>
              <w:spacing w:line="480" w:lineRule="auto"/>
              <w:jc w:val="both"/>
              <w:rPr>
                <w:rFonts w:ascii="Arial" w:hAnsi="Arial" w:cs="Arial"/>
              </w:rPr>
            </w:pPr>
            <w:r w:rsidRPr="00B05BE6">
              <w:rPr>
                <w:rFonts w:ascii="Arial" w:hAnsi="Arial" w:cs="Arial"/>
              </w:rPr>
              <w:t>to</w:t>
            </w:r>
          </w:p>
          <w:p w14:paraId="0224854A"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23 cases/1000</w:t>
            </w:r>
          </w:p>
          <w:p w14:paraId="4E1A0BFF" w14:textId="77777777" w:rsidR="000322EF" w:rsidRPr="00B05BE6" w:rsidRDefault="000322EF" w:rsidP="00B05BE6">
            <w:pPr>
              <w:spacing w:line="480" w:lineRule="auto"/>
              <w:jc w:val="both"/>
              <w:rPr>
                <w:rFonts w:ascii="Arial" w:hAnsi="Arial" w:cs="Arial"/>
              </w:rPr>
            </w:pPr>
            <w:r w:rsidRPr="00B05BE6">
              <w:rPr>
                <w:rFonts w:ascii="Arial" w:hAnsi="Arial" w:cs="Arial"/>
              </w:rPr>
              <w:t>ventilator days</w:t>
            </w:r>
          </w:p>
        </w:tc>
        <w:tc>
          <w:tcPr>
            <w:tcW w:w="1181" w:type="dxa"/>
          </w:tcPr>
          <w:p w14:paraId="584B249B"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37%</w:t>
            </w:r>
          </w:p>
        </w:tc>
        <w:tc>
          <w:tcPr>
            <w:tcW w:w="1417" w:type="dxa"/>
          </w:tcPr>
          <w:p w14:paraId="55C83F86" w14:textId="616189CA"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{"citationID":"FnfB6zfO","properties":{"formattedCitation":"[59]","plainCitation":"[59]","noteIndex":0},"citationItems":[{"id":503,"uris":["http://zotero.org/users/local/7lPBLJiX/items/UQXGLW4Z"],"itemData":{"id":503,"type":"article-journal","container-title":"BMC Infectious Diseases","language":"fr","page":"1–7","title":"Reducing ventilator-associated pneumonia in neonatal intensive care unit using “VAP prevention Bundle”: A cohort study","volume":"15","author":[{"family":"Azab","given":"S.F."},{"family":"Sherbiny","given":"H.S."},{"family":"Saleh","given":"S.H."}],"issued":{"date-parts":[["2015"]]}}}],"schema":"https://github.com/citation-style-language/schema/raw/master/csl-citation.json"} </w:instrText>
            </w:r>
            <w:r w:rsidRPr="00B05BE6">
              <w:rPr>
                <w:rFonts w:ascii="Arial" w:hAnsi="Arial" w:cs="Arial"/>
              </w:rPr>
              <w:fldChar w:fldCharType="separate"/>
            </w:r>
            <w:r w:rsidRPr="00B05BE6">
              <w:rPr>
                <w:rFonts w:ascii="Arial" w:hAnsi="Arial" w:cs="Arial"/>
              </w:rPr>
              <w:t>[59]</w:t>
            </w:r>
            <w:r w:rsidRPr="00B05BE6">
              <w:rPr>
                <w:rFonts w:ascii="Arial" w:hAnsi="Arial" w:cs="Arial"/>
              </w:rPr>
              <w:fldChar w:fldCharType="end"/>
            </w:r>
          </w:p>
        </w:tc>
      </w:tr>
      <w:tr w:rsidR="000322EF" w:rsidRPr="00FE38FD" w14:paraId="22ACD2A2" w14:textId="77777777" w:rsidTr="00B05BE6">
        <w:tc>
          <w:tcPr>
            <w:tcW w:w="988" w:type="dxa"/>
          </w:tcPr>
          <w:p w14:paraId="0DCB2E9A" w14:textId="77777777" w:rsidR="000322EF" w:rsidRPr="00B05BE6" w:rsidRDefault="000322EF" w:rsidP="00B05BE6">
            <w:pPr>
              <w:spacing w:line="480" w:lineRule="auto"/>
              <w:jc w:val="both"/>
              <w:rPr>
                <w:rFonts w:ascii="Arial" w:hAnsi="Arial" w:cs="Arial"/>
                <w:b/>
                <w:bCs/>
              </w:rPr>
            </w:pPr>
            <w:r w:rsidRPr="00B05BE6">
              <w:rPr>
                <w:rFonts w:ascii="Arial" w:hAnsi="Arial" w:cs="Arial"/>
              </w:rPr>
              <w:t xml:space="preserve">4. </w:t>
            </w:r>
          </w:p>
        </w:tc>
        <w:tc>
          <w:tcPr>
            <w:tcW w:w="1023" w:type="dxa"/>
          </w:tcPr>
          <w:p w14:paraId="46C773AE"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Intensive care units </w:t>
            </w:r>
          </w:p>
        </w:tc>
        <w:tc>
          <w:tcPr>
            <w:tcW w:w="2693" w:type="dxa"/>
          </w:tcPr>
          <w:p w14:paraId="6CADBAB7" w14:textId="77777777" w:rsidR="000322EF" w:rsidRPr="00B05BE6" w:rsidRDefault="000322EF" w:rsidP="00B05BE6">
            <w:pPr>
              <w:spacing w:line="480" w:lineRule="auto"/>
              <w:jc w:val="both"/>
              <w:rPr>
                <w:rFonts w:ascii="Arial" w:hAnsi="Arial" w:cs="Arial"/>
              </w:rPr>
            </w:pPr>
            <w:r w:rsidRPr="00B05BE6">
              <w:rPr>
                <w:rFonts w:ascii="Arial" w:hAnsi="Arial" w:cs="Arial"/>
              </w:rPr>
              <w:t>VAP bundle care inclusive of peptic ulcer prophylaxis, deep vein thrombosis, the elevation of the head of the bed, and sedation vacation</w:t>
            </w:r>
          </w:p>
        </w:tc>
        <w:tc>
          <w:tcPr>
            <w:tcW w:w="1528" w:type="dxa"/>
          </w:tcPr>
          <w:p w14:paraId="5FE0FCE2"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6.6/1000 ventilator days to </w:t>
            </w:r>
          </w:p>
          <w:p w14:paraId="5552546D"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2.7/1000 </w:t>
            </w:r>
          </w:p>
          <w:p w14:paraId="527DA9C5" w14:textId="77777777" w:rsidR="000322EF" w:rsidRPr="00B05BE6" w:rsidRDefault="000322EF" w:rsidP="00B05BE6">
            <w:pPr>
              <w:spacing w:line="480" w:lineRule="auto"/>
              <w:jc w:val="both"/>
              <w:rPr>
                <w:rFonts w:ascii="Arial" w:hAnsi="Arial" w:cs="Arial"/>
              </w:rPr>
            </w:pPr>
            <w:r w:rsidRPr="00B05BE6">
              <w:rPr>
                <w:rFonts w:ascii="Arial" w:hAnsi="Arial" w:cs="Arial"/>
              </w:rPr>
              <w:t>ventilator days</w:t>
            </w:r>
          </w:p>
        </w:tc>
        <w:tc>
          <w:tcPr>
            <w:tcW w:w="1181" w:type="dxa"/>
          </w:tcPr>
          <w:p w14:paraId="39E6D20B" w14:textId="77777777" w:rsidR="000322EF" w:rsidRPr="00B05BE6" w:rsidRDefault="000322EF" w:rsidP="00B05BE6">
            <w:pPr>
              <w:spacing w:line="480" w:lineRule="auto"/>
              <w:jc w:val="both"/>
              <w:rPr>
                <w:rFonts w:ascii="Arial" w:hAnsi="Arial" w:cs="Arial"/>
              </w:rPr>
            </w:pPr>
            <w:r w:rsidRPr="00B05BE6">
              <w:rPr>
                <w:rFonts w:ascii="Arial" w:hAnsi="Arial" w:cs="Arial"/>
              </w:rPr>
              <w:t>59%</w:t>
            </w:r>
          </w:p>
        </w:tc>
        <w:tc>
          <w:tcPr>
            <w:tcW w:w="1417" w:type="dxa"/>
          </w:tcPr>
          <w:p w14:paraId="6714C3EA" w14:textId="5E22E671" w:rsidR="000322EF" w:rsidRPr="00B05BE6" w:rsidRDefault="005D625C" w:rsidP="00B05BE6">
            <w:pPr>
              <w:spacing w:line="480" w:lineRule="auto"/>
              <w:jc w:val="both"/>
              <w:rPr>
                <w:rFonts w:ascii="Arial" w:hAnsi="Arial" w:cs="Arial"/>
              </w:rPr>
            </w:pPr>
            <w:r w:rsidRPr="00B05BE6">
              <w:rPr>
                <w:rFonts w:ascii="Arial" w:hAnsi="Arial" w:cs="Arial"/>
              </w:rPr>
              <w:fldChar w:fldCharType="begin"/>
            </w:r>
            <w:r w:rsidRPr="00B05BE6">
              <w:rPr>
                <w:rFonts w:ascii="Arial" w:hAnsi="Arial" w:cs="Arial"/>
              </w:rPr>
              <w:instrText xml:space="preserve"> ADDIN ZOTERO_ITEM CSL_CITATION {"citationID":"GLwH3TcR","properties":{"formattedCitation":"[60]","plainCitation":"[60]","noteIndex":0},"citationItems":[{"id":1020,"uris":["http://zotero.org/users/local/7lPBLJiX/items/GNMPM3PI"],"itemData":{"id":1020,"type":"article-journal","container-title":"The Joint Commission Journal on Quality and Patient Safety","DOI":"10.1016/S1553-7250(05)31031-2","ISSN":"15537250","issue":"5","journalAbbreviation":"The Joint Commission Journal on Quality and Patient Safety","language":"en","page":"243-248","source":"DOI.org (Crossref)","title":"Using a Bundle Approach to Improve Ventilator Care Processes and Reduce Ventilator-Associated Pneumonia","URL":"https://linkinghub.elsevier.com/retrieve/pii/S1553725005310312","volume":"31","author":[{"family":"Resar","given":"Roger"},{"family":"Pronovost","given":"Peter"},{"family":"Haraden","given":"Carol"},{"family":"Simmonds","given":"Terri"},{"family":"Rainey","given":"Thomas"},{"family":"Nolan","given":"Thomas"}],"accessed":{"date-parts":[["2026",2,19]]},"issued":{"date-parts":[["2005",5]]}}}],"schema":"https://github.com/citation-style-language/schema/raw/master/csl-citation.json"} </w:instrText>
            </w:r>
            <w:r w:rsidRPr="00B05BE6">
              <w:rPr>
                <w:rFonts w:ascii="Arial" w:hAnsi="Arial" w:cs="Arial"/>
              </w:rPr>
              <w:fldChar w:fldCharType="separate"/>
            </w:r>
            <w:r w:rsidRPr="00B05BE6">
              <w:rPr>
                <w:rFonts w:ascii="Arial" w:hAnsi="Arial" w:cs="Arial"/>
              </w:rPr>
              <w:t>[60]</w:t>
            </w:r>
            <w:r w:rsidRPr="00B05BE6">
              <w:rPr>
                <w:rFonts w:ascii="Arial" w:hAnsi="Arial" w:cs="Arial"/>
              </w:rPr>
              <w:fldChar w:fldCharType="end"/>
            </w:r>
          </w:p>
        </w:tc>
      </w:tr>
      <w:tr w:rsidR="000322EF" w:rsidRPr="00FE38FD" w14:paraId="704D9393" w14:textId="77777777" w:rsidTr="00B05BE6">
        <w:tc>
          <w:tcPr>
            <w:tcW w:w="988" w:type="dxa"/>
          </w:tcPr>
          <w:p w14:paraId="5B195689" w14:textId="77777777" w:rsidR="000322EF" w:rsidRPr="00B05BE6" w:rsidRDefault="000322EF" w:rsidP="00B05BE6">
            <w:pPr>
              <w:spacing w:line="480" w:lineRule="auto"/>
              <w:jc w:val="both"/>
              <w:rPr>
                <w:rFonts w:ascii="Arial" w:hAnsi="Arial" w:cs="Arial"/>
                <w:b/>
                <w:bCs/>
              </w:rPr>
            </w:pPr>
            <w:r w:rsidRPr="00B05BE6">
              <w:rPr>
                <w:rFonts w:ascii="Arial" w:hAnsi="Arial" w:cs="Arial"/>
              </w:rPr>
              <w:t xml:space="preserve">5. </w:t>
            </w:r>
          </w:p>
        </w:tc>
        <w:tc>
          <w:tcPr>
            <w:tcW w:w="1023" w:type="dxa"/>
          </w:tcPr>
          <w:p w14:paraId="76199CC2" w14:textId="77777777" w:rsidR="000322EF" w:rsidRPr="00B05BE6" w:rsidRDefault="000322EF" w:rsidP="00B05BE6">
            <w:pPr>
              <w:spacing w:line="480" w:lineRule="auto"/>
              <w:jc w:val="both"/>
              <w:rPr>
                <w:rFonts w:ascii="Arial" w:hAnsi="Arial" w:cs="Arial"/>
              </w:rPr>
            </w:pPr>
            <w:r w:rsidRPr="00B05BE6">
              <w:rPr>
                <w:rFonts w:ascii="Arial" w:hAnsi="Arial" w:cs="Arial"/>
              </w:rPr>
              <w:t xml:space="preserve">All units   </w:t>
            </w:r>
          </w:p>
        </w:tc>
        <w:tc>
          <w:tcPr>
            <w:tcW w:w="2693" w:type="dxa"/>
          </w:tcPr>
          <w:p w14:paraId="4F9FBA42" w14:textId="77777777" w:rsidR="000322EF" w:rsidRPr="00B05BE6" w:rsidRDefault="000322EF" w:rsidP="00B05BE6">
            <w:pPr>
              <w:spacing w:line="480" w:lineRule="auto"/>
              <w:jc w:val="both"/>
              <w:rPr>
                <w:rFonts w:ascii="Arial" w:hAnsi="Arial" w:cs="Arial"/>
              </w:rPr>
            </w:pPr>
            <w:r w:rsidRPr="00B05BE6">
              <w:rPr>
                <w:rFonts w:ascii="Arial" w:hAnsi="Arial" w:cs="Arial"/>
              </w:rPr>
              <w:t>VAP prevention care bundle including the following:</w:t>
            </w:r>
          </w:p>
          <w:p w14:paraId="3DB95283"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lastRenderedPageBreak/>
              <w:t>Hand hygiene before and after patient contact, preferably using alcohol-based hand rubbing</w:t>
            </w:r>
          </w:p>
          <w:p w14:paraId="099F51F2"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t>Avoid endotracheal intubation if possible</w:t>
            </w:r>
          </w:p>
          <w:p w14:paraId="40176909"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t xml:space="preserve">Use of oral, rather than nasal, endotracheal tubes </w:t>
            </w:r>
          </w:p>
          <w:p w14:paraId="5D2559FB"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t xml:space="preserve">Minimize the duration of mechanical ventilation </w:t>
            </w:r>
          </w:p>
          <w:p w14:paraId="7CF9D89B" w14:textId="77777777" w:rsidR="000322EF" w:rsidRPr="00B05BE6" w:rsidRDefault="000322EF" w:rsidP="00B05BE6">
            <w:pPr>
              <w:pStyle w:val="ListParagraph"/>
              <w:numPr>
                <w:ilvl w:val="0"/>
                <w:numId w:val="9"/>
              </w:numPr>
              <w:spacing w:line="480" w:lineRule="auto"/>
              <w:jc w:val="both"/>
              <w:rPr>
                <w:rFonts w:ascii="Arial" w:hAnsi="Arial" w:cs="Arial"/>
              </w:rPr>
            </w:pPr>
            <w:r w:rsidRPr="00B05BE6">
              <w:rPr>
                <w:rFonts w:ascii="Arial" w:hAnsi="Arial" w:cs="Arial"/>
              </w:rPr>
              <w:lastRenderedPageBreak/>
              <w:t>Promote tracheostomy when ventilation is needed for a longer term, etc.</w:t>
            </w:r>
          </w:p>
        </w:tc>
        <w:tc>
          <w:tcPr>
            <w:tcW w:w="1528" w:type="dxa"/>
          </w:tcPr>
          <w:p w14:paraId="17F7BE21" w14:textId="77777777" w:rsidR="000322EF" w:rsidRPr="00B05BE6" w:rsidRDefault="000322EF" w:rsidP="00B05BE6">
            <w:pPr>
              <w:spacing w:line="480" w:lineRule="auto"/>
              <w:jc w:val="both"/>
              <w:rPr>
                <w:rFonts w:ascii="Arial" w:hAnsi="Arial" w:cs="Arial"/>
              </w:rPr>
            </w:pPr>
          </w:p>
          <w:p w14:paraId="1645A95E" w14:textId="77777777" w:rsidR="000322EF" w:rsidRPr="00B05BE6" w:rsidRDefault="000322EF" w:rsidP="00B05BE6">
            <w:pPr>
              <w:spacing w:line="480" w:lineRule="auto"/>
              <w:jc w:val="both"/>
              <w:rPr>
                <w:rFonts w:ascii="Arial" w:hAnsi="Arial" w:cs="Arial"/>
              </w:rPr>
            </w:pPr>
            <w:r w:rsidRPr="00B05BE6">
              <w:rPr>
                <w:rFonts w:ascii="Arial" w:hAnsi="Arial" w:cs="Arial"/>
              </w:rPr>
              <w:t>7.36 cases/1000</w:t>
            </w:r>
          </w:p>
          <w:p w14:paraId="097F4987"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ventilator days</w:t>
            </w:r>
          </w:p>
          <w:p w14:paraId="7334735E" w14:textId="77777777" w:rsidR="000322EF" w:rsidRPr="00B05BE6" w:rsidRDefault="000322EF" w:rsidP="00B05BE6">
            <w:pPr>
              <w:spacing w:line="480" w:lineRule="auto"/>
              <w:jc w:val="both"/>
              <w:rPr>
                <w:rFonts w:ascii="Arial" w:hAnsi="Arial" w:cs="Arial"/>
              </w:rPr>
            </w:pPr>
            <w:r w:rsidRPr="00B05BE6">
              <w:rPr>
                <w:rFonts w:ascii="Arial" w:hAnsi="Arial" w:cs="Arial"/>
              </w:rPr>
              <w:t>to</w:t>
            </w:r>
          </w:p>
          <w:p w14:paraId="3E3AC73F" w14:textId="77777777" w:rsidR="000322EF" w:rsidRPr="00B05BE6" w:rsidRDefault="000322EF" w:rsidP="00B05BE6">
            <w:pPr>
              <w:spacing w:line="480" w:lineRule="auto"/>
              <w:jc w:val="both"/>
              <w:rPr>
                <w:rFonts w:ascii="Arial" w:hAnsi="Arial" w:cs="Arial"/>
              </w:rPr>
            </w:pPr>
            <w:r w:rsidRPr="00B05BE6">
              <w:rPr>
                <w:rFonts w:ascii="Arial" w:hAnsi="Arial" w:cs="Arial"/>
              </w:rPr>
              <w:t>1.69 cases/1000</w:t>
            </w:r>
          </w:p>
          <w:p w14:paraId="6FFA9D84" w14:textId="77777777" w:rsidR="000322EF" w:rsidRPr="00B05BE6" w:rsidRDefault="000322EF" w:rsidP="00B05BE6">
            <w:pPr>
              <w:spacing w:line="480" w:lineRule="auto"/>
              <w:jc w:val="both"/>
              <w:rPr>
                <w:rFonts w:ascii="Arial" w:hAnsi="Arial" w:cs="Arial"/>
              </w:rPr>
            </w:pPr>
            <w:r w:rsidRPr="00B05BE6">
              <w:rPr>
                <w:rFonts w:ascii="Arial" w:hAnsi="Arial" w:cs="Arial"/>
              </w:rPr>
              <w:t>ventilator days</w:t>
            </w:r>
          </w:p>
          <w:p w14:paraId="7C79C4CA" w14:textId="77777777" w:rsidR="000322EF" w:rsidRPr="00B05BE6" w:rsidRDefault="000322EF" w:rsidP="00B05BE6">
            <w:pPr>
              <w:spacing w:line="480" w:lineRule="auto"/>
              <w:jc w:val="both"/>
              <w:rPr>
                <w:rFonts w:ascii="Arial" w:hAnsi="Arial" w:cs="Arial"/>
              </w:rPr>
            </w:pPr>
          </w:p>
        </w:tc>
        <w:tc>
          <w:tcPr>
            <w:tcW w:w="1181" w:type="dxa"/>
          </w:tcPr>
          <w:p w14:paraId="667F72B1" w14:textId="77777777" w:rsidR="000322EF" w:rsidRPr="00B05BE6" w:rsidRDefault="000322EF" w:rsidP="00B05BE6">
            <w:pPr>
              <w:spacing w:line="480" w:lineRule="auto"/>
              <w:jc w:val="both"/>
              <w:rPr>
                <w:rFonts w:ascii="Arial" w:hAnsi="Arial" w:cs="Arial"/>
              </w:rPr>
            </w:pPr>
            <w:r w:rsidRPr="00B05BE6">
              <w:rPr>
                <w:rFonts w:ascii="Arial" w:hAnsi="Arial" w:cs="Arial"/>
              </w:rPr>
              <w:lastRenderedPageBreak/>
              <w:t xml:space="preserve">      77%</w:t>
            </w:r>
          </w:p>
        </w:tc>
        <w:tc>
          <w:tcPr>
            <w:tcW w:w="1417" w:type="dxa"/>
          </w:tcPr>
          <w:p w14:paraId="425FCD23" w14:textId="77777777" w:rsidR="000322EF" w:rsidRPr="00B05BE6" w:rsidRDefault="000322EF" w:rsidP="00B05BE6">
            <w:pPr>
              <w:spacing w:line="480" w:lineRule="auto"/>
              <w:jc w:val="both"/>
              <w:rPr>
                <w:rFonts w:ascii="Arial" w:hAnsi="Arial" w:cs="Arial"/>
              </w:rPr>
            </w:pPr>
            <w:r w:rsidRPr="00B05BE6">
              <w:rPr>
                <w:rFonts w:ascii="Arial" w:hAnsi="Arial" w:cs="Arial"/>
              </w:rPr>
              <w:t>Present study</w:t>
            </w:r>
          </w:p>
        </w:tc>
      </w:tr>
    </w:tbl>
    <w:p w14:paraId="6B2362C4" w14:textId="77777777" w:rsidR="000322EF" w:rsidRPr="00B05BE6" w:rsidRDefault="000322EF" w:rsidP="00B05BE6">
      <w:pPr>
        <w:spacing w:line="480" w:lineRule="auto"/>
        <w:jc w:val="both"/>
        <w:rPr>
          <w:rFonts w:ascii="Arial" w:hAnsi="Arial" w:cs="Arial"/>
          <w:i/>
          <w:iCs/>
        </w:rPr>
      </w:pPr>
      <w:r w:rsidRPr="00B05BE6">
        <w:rPr>
          <w:rFonts w:ascii="Arial" w:hAnsi="Arial" w:cs="Arial"/>
          <w:i/>
          <w:iCs/>
        </w:rPr>
        <w:lastRenderedPageBreak/>
        <w:t>HCW: Healthcare worker; IHI: Institute for Healthcare Improvement; ; IPC: Infection prevention and control; VAP: Ventilator-associated pneumonia.</w:t>
      </w:r>
    </w:p>
    <w:p w14:paraId="4790D67D" w14:textId="77777777" w:rsidR="000322EF" w:rsidRPr="00B05BE6" w:rsidRDefault="000322EF" w:rsidP="00B05BE6">
      <w:pPr>
        <w:spacing w:line="480" w:lineRule="auto"/>
        <w:jc w:val="both"/>
        <w:rPr>
          <w:rFonts w:ascii="Arial" w:hAnsi="Arial" w:cs="Arial"/>
          <w:color w:val="000000" w:themeColor="text1"/>
        </w:rPr>
      </w:pPr>
    </w:p>
    <w:p w14:paraId="1A8158CC" w14:textId="77777777" w:rsidR="000322EF" w:rsidRPr="00B05BE6" w:rsidRDefault="000322EF" w:rsidP="00B05BE6">
      <w:pPr>
        <w:spacing w:line="480" w:lineRule="auto"/>
        <w:jc w:val="both"/>
        <w:rPr>
          <w:rFonts w:ascii="Arial" w:hAnsi="Arial" w:cs="Arial"/>
        </w:rPr>
      </w:pPr>
    </w:p>
    <w:p w14:paraId="5C2321A1" w14:textId="77777777" w:rsidR="002A6AED" w:rsidRPr="00FE38FD" w:rsidRDefault="002A6AED" w:rsidP="00FE38FD">
      <w:pPr>
        <w:spacing w:line="480" w:lineRule="auto"/>
        <w:jc w:val="both"/>
        <w:rPr>
          <w:rFonts w:ascii="Arial" w:hAnsi="Arial" w:cs="Arial"/>
        </w:rPr>
      </w:pPr>
    </w:p>
    <w:p w14:paraId="20B5118F" w14:textId="5D893CDE" w:rsidR="00F068BB" w:rsidRPr="00FE38FD" w:rsidRDefault="00F068BB" w:rsidP="00FE38FD">
      <w:pPr>
        <w:spacing w:line="480" w:lineRule="auto"/>
        <w:jc w:val="both"/>
        <w:rPr>
          <w:rFonts w:ascii="Arial" w:hAnsi="Arial" w:cs="Arial"/>
        </w:rPr>
      </w:pPr>
    </w:p>
    <w:p w14:paraId="42B3E15E" w14:textId="77777777" w:rsidR="00D0782B" w:rsidRPr="00FE38FD" w:rsidRDefault="00D0782B" w:rsidP="00FE38FD">
      <w:pPr>
        <w:spacing w:line="480" w:lineRule="auto"/>
        <w:jc w:val="both"/>
        <w:rPr>
          <w:rFonts w:ascii="Arial" w:hAnsi="Arial" w:cs="Arial"/>
        </w:rPr>
      </w:pPr>
    </w:p>
    <w:sectPr w:rsidR="00D0782B" w:rsidRPr="00FE38FD" w:rsidSect="000322EF">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01305" w14:textId="77777777" w:rsidR="000547B7" w:rsidRDefault="000547B7" w:rsidP="00121080">
      <w:pPr>
        <w:spacing w:after="0" w:line="240" w:lineRule="auto"/>
      </w:pPr>
      <w:r>
        <w:separator/>
      </w:r>
    </w:p>
  </w:endnote>
  <w:endnote w:type="continuationSeparator" w:id="0">
    <w:p w14:paraId="1D312486" w14:textId="77777777" w:rsidR="000547B7" w:rsidRDefault="000547B7" w:rsidP="00121080">
      <w:pPr>
        <w:spacing w:after="0" w:line="240" w:lineRule="auto"/>
      </w:pPr>
      <w:r>
        <w:continuationSeparator/>
      </w:r>
    </w:p>
  </w:endnote>
  <w:endnote w:type="continuationNotice" w:id="1">
    <w:p w14:paraId="678EE5C1" w14:textId="77777777" w:rsidR="000547B7" w:rsidRDefault="000547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792904"/>
      <w:docPartObj>
        <w:docPartGallery w:val="Page Numbers (Bottom of Page)"/>
        <w:docPartUnique/>
      </w:docPartObj>
    </w:sdtPr>
    <w:sdtEndPr/>
    <w:sdtContent>
      <w:p w14:paraId="2001CA2D" w14:textId="77777777" w:rsidR="00F75D72" w:rsidRDefault="00F75D72" w:rsidP="00121080">
        <w:pPr>
          <w:pStyle w:val="Footer"/>
          <w:jc w:val="right"/>
        </w:pPr>
        <w:r>
          <w:fldChar w:fldCharType="begin"/>
        </w:r>
        <w:r>
          <w:instrText>PAGE   \* MERGEFORMAT</w:instrText>
        </w:r>
        <w:r>
          <w:fldChar w:fldCharType="separate"/>
        </w:r>
        <w:r>
          <w:rPr>
            <w:lang w:val="en-GB"/>
          </w:rPr>
          <w:t>2</w:t>
        </w:r>
        <w:r>
          <w:fldChar w:fldCharType="end"/>
        </w:r>
      </w:p>
    </w:sdtContent>
  </w:sdt>
  <w:p w14:paraId="7FB5DCD0" w14:textId="77777777" w:rsidR="00F75D72" w:rsidRDefault="00F75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CFBF2" w14:textId="77777777" w:rsidR="000547B7" w:rsidRDefault="000547B7" w:rsidP="00121080">
      <w:pPr>
        <w:spacing w:after="0" w:line="240" w:lineRule="auto"/>
      </w:pPr>
      <w:r>
        <w:separator/>
      </w:r>
    </w:p>
  </w:footnote>
  <w:footnote w:type="continuationSeparator" w:id="0">
    <w:p w14:paraId="7A617CF5" w14:textId="77777777" w:rsidR="000547B7" w:rsidRDefault="000547B7" w:rsidP="00121080">
      <w:pPr>
        <w:spacing w:after="0" w:line="240" w:lineRule="auto"/>
      </w:pPr>
      <w:r>
        <w:continuationSeparator/>
      </w:r>
    </w:p>
  </w:footnote>
  <w:footnote w:type="continuationNotice" w:id="1">
    <w:p w14:paraId="71954C4A" w14:textId="77777777" w:rsidR="000547B7" w:rsidRDefault="000547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3635"/>
    <w:multiLevelType w:val="hybridMultilevel"/>
    <w:tmpl w:val="8416B8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97E551E"/>
    <w:multiLevelType w:val="hybridMultilevel"/>
    <w:tmpl w:val="5894AE7E"/>
    <w:lvl w:ilvl="0" w:tplc="AA7C0260">
      <w:start w:val="1"/>
      <w:numFmt w:val="decimal"/>
      <w:lvlText w:val="%1)"/>
      <w:lvlJc w:val="left"/>
      <w:pPr>
        <w:ind w:left="1020" w:hanging="360"/>
      </w:pPr>
    </w:lvl>
    <w:lvl w:ilvl="1" w:tplc="6840B7D6">
      <w:start w:val="1"/>
      <w:numFmt w:val="decimal"/>
      <w:lvlText w:val="%2)"/>
      <w:lvlJc w:val="left"/>
      <w:pPr>
        <w:ind w:left="1020" w:hanging="360"/>
      </w:pPr>
    </w:lvl>
    <w:lvl w:ilvl="2" w:tplc="0BDE812C">
      <w:start w:val="1"/>
      <w:numFmt w:val="decimal"/>
      <w:lvlText w:val="%3)"/>
      <w:lvlJc w:val="left"/>
      <w:pPr>
        <w:ind w:left="1020" w:hanging="360"/>
      </w:pPr>
    </w:lvl>
    <w:lvl w:ilvl="3" w:tplc="DB6EC3D6">
      <w:start w:val="1"/>
      <w:numFmt w:val="decimal"/>
      <w:lvlText w:val="%4)"/>
      <w:lvlJc w:val="left"/>
      <w:pPr>
        <w:ind w:left="1020" w:hanging="360"/>
      </w:pPr>
    </w:lvl>
    <w:lvl w:ilvl="4" w:tplc="7BD293F4">
      <w:start w:val="1"/>
      <w:numFmt w:val="decimal"/>
      <w:lvlText w:val="%5)"/>
      <w:lvlJc w:val="left"/>
      <w:pPr>
        <w:ind w:left="1020" w:hanging="360"/>
      </w:pPr>
    </w:lvl>
    <w:lvl w:ilvl="5" w:tplc="6C463AB4">
      <w:start w:val="1"/>
      <w:numFmt w:val="decimal"/>
      <w:lvlText w:val="%6)"/>
      <w:lvlJc w:val="left"/>
      <w:pPr>
        <w:ind w:left="1020" w:hanging="360"/>
      </w:pPr>
    </w:lvl>
    <w:lvl w:ilvl="6" w:tplc="58EA6066">
      <w:start w:val="1"/>
      <w:numFmt w:val="decimal"/>
      <w:lvlText w:val="%7)"/>
      <w:lvlJc w:val="left"/>
      <w:pPr>
        <w:ind w:left="1020" w:hanging="360"/>
      </w:pPr>
    </w:lvl>
    <w:lvl w:ilvl="7" w:tplc="C52E1D18">
      <w:start w:val="1"/>
      <w:numFmt w:val="decimal"/>
      <w:lvlText w:val="%8)"/>
      <w:lvlJc w:val="left"/>
      <w:pPr>
        <w:ind w:left="1020" w:hanging="360"/>
      </w:pPr>
    </w:lvl>
    <w:lvl w:ilvl="8" w:tplc="A7BA2132">
      <w:start w:val="1"/>
      <w:numFmt w:val="decimal"/>
      <w:lvlText w:val="%9)"/>
      <w:lvlJc w:val="left"/>
      <w:pPr>
        <w:ind w:left="1020" w:hanging="360"/>
      </w:pPr>
    </w:lvl>
  </w:abstractNum>
  <w:abstractNum w:abstractNumId="2" w15:restartNumberingAfterBreak="0">
    <w:nsid w:val="10913A2A"/>
    <w:multiLevelType w:val="hybridMultilevel"/>
    <w:tmpl w:val="3946A780"/>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15C42551"/>
    <w:multiLevelType w:val="hybridMultilevel"/>
    <w:tmpl w:val="8132E2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8F108E2"/>
    <w:multiLevelType w:val="hybridMultilevel"/>
    <w:tmpl w:val="CBA88AE4"/>
    <w:lvl w:ilvl="0" w:tplc="B218D364">
      <w:start w:val="1"/>
      <w:numFmt w:val="decimal"/>
      <w:lvlText w:val="%1."/>
      <w:lvlJc w:val="left"/>
      <w:pPr>
        <w:ind w:left="720" w:hanging="360"/>
      </w:pPr>
    </w:lvl>
    <w:lvl w:ilvl="1" w:tplc="1BEA5B6C">
      <w:start w:val="1"/>
      <w:numFmt w:val="decimal"/>
      <w:lvlText w:val="%2."/>
      <w:lvlJc w:val="left"/>
      <w:pPr>
        <w:ind w:left="720" w:hanging="360"/>
      </w:pPr>
    </w:lvl>
    <w:lvl w:ilvl="2" w:tplc="AAAE73A2">
      <w:start w:val="1"/>
      <w:numFmt w:val="decimal"/>
      <w:lvlText w:val="%3."/>
      <w:lvlJc w:val="left"/>
      <w:pPr>
        <w:ind w:left="720" w:hanging="360"/>
      </w:pPr>
    </w:lvl>
    <w:lvl w:ilvl="3" w:tplc="8684DDEA">
      <w:start w:val="1"/>
      <w:numFmt w:val="decimal"/>
      <w:lvlText w:val="%4."/>
      <w:lvlJc w:val="left"/>
      <w:pPr>
        <w:ind w:left="720" w:hanging="360"/>
      </w:pPr>
    </w:lvl>
    <w:lvl w:ilvl="4" w:tplc="FA703DA2">
      <w:start w:val="1"/>
      <w:numFmt w:val="decimal"/>
      <w:lvlText w:val="%5."/>
      <w:lvlJc w:val="left"/>
      <w:pPr>
        <w:ind w:left="720" w:hanging="360"/>
      </w:pPr>
    </w:lvl>
    <w:lvl w:ilvl="5" w:tplc="CBD2C906">
      <w:start w:val="1"/>
      <w:numFmt w:val="decimal"/>
      <w:lvlText w:val="%6."/>
      <w:lvlJc w:val="left"/>
      <w:pPr>
        <w:ind w:left="720" w:hanging="360"/>
      </w:pPr>
    </w:lvl>
    <w:lvl w:ilvl="6" w:tplc="79AC1BCE">
      <w:start w:val="1"/>
      <w:numFmt w:val="decimal"/>
      <w:lvlText w:val="%7."/>
      <w:lvlJc w:val="left"/>
      <w:pPr>
        <w:ind w:left="720" w:hanging="360"/>
      </w:pPr>
    </w:lvl>
    <w:lvl w:ilvl="7" w:tplc="30D0F678">
      <w:start w:val="1"/>
      <w:numFmt w:val="decimal"/>
      <w:lvlText w:val="%8."/>
      <w:lvlJc w:val="left"/>
      <w:pPr>
        <w:ind w:left="720" w:hanging="360"/>
      </w:pPr>
    </w:lvl>
    <w:lvl w:ilvl="8" w:tplc="DBB673D8">
      <w:start w:val="1"/>
      <w:numFmt w:val="decimal"/>
      <w:lvlText w:val="%9."/>
      <w:lvlJc w:val="left"/>
      <w:pPr>
        <w:ind w:left="720" w:hanging="360"/>
      </w:pPr>
    </w:lvl>
  </w:abstractNum>
  <w:abstractNum w:abstractNumId="5" w15:restartNumberingAfterBreak="0">
    <w:nsid w:val="1B0B20F3"/>
    <w:multiLevelType w:val="hybridMultilevel"/>
    <w:tmpl w:val="68449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BC294A"/>
    <w:multiLevelType w:val="hybridMultilevel"/>
    <w:tmpl w:val="8918D3D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15:restartNumberingAfterBreak="0">
    <w:nsid w:val="21B55C5B"/>
    <w:multiLevelType w:val="hybridMultilevel"/>
    <w:tmpl w:val="C338CF9E"/>
    <w:lvl w:ilvl="0" w:tplc="840AF688">
      <w:start w:val="1"/>
      <w:numFmt w:val="decimal"/>
      <w:lvlText w:val="%1)"/>
      <w:lvlJc w:val="left"/>
      <w:pPr>
        <w:ind w:left="1020" w:hanging="360"/>
      </w:pPr>
    </w:lvl>
    <w:lvl w:ilvl="1" w:tplc="5B88CF74">
      <w:start w:val="1"/>
      <w:numFmt w:val="decimal"/>
      <w:lvlText w:val="%2)"/>
      <w:lvlJc w:val="left"/>
      <w:pPr>
        <w:ind w:left="1020" w:hanging="360"/>
      </w:pPr>
    </w:lvl>
    <w:lvl w:ilvl="2" w:tplc="2E806298">
      <w:start w:val="1"/>
      <w:numFmt w:val="decimal"/>
      <w:lvlText w:val="%3)"/>
      <w:lvlJc w:val="left"/>
      <w:pPr>
        <w:ind w:left="1020" w:hanging="360"/>
      </w:pPr>
    </w:lvl>
    <w:lvl w:ilvl="3" w:tplc="FEB63488">
      <w:start w:val="1"/>
      <w:numFmt w:val="decimal"/>
      <w:lvlText w:val="%4)"/>
      <w:lvlJc w:val="left"/>
      <w:pPr>
        <w:ind w:left="1020" w:hanging="360"/>
      </w:pPr>
    </w:lvl>
    <w:lvl w:ilvl="4" w:tplc="CF7414FC">
      <w:start w:val="1"/>
      <w:numFmt w:val="decimal"/>
      <w:lvlText w:val="%5)"/>
      <w:lvlJc w:val="left"/>
      <w:pPr>
        <w:ind w:left="1020" w:hanging="360"/>
      </w:pPr>
    </w:lvl>
    <w:lvl w:ilvl="5" w:tplc="6E4E271E">
      <w:start w:val="1"/>
      <w:numFmt w:val="decimal"/>
      <w:lvlText w:val="%6)"/>
      <w:lvlJc w:val="left"/>
      <w:pPr>
        <w:ind w:left="1020" w:hanging="360"/>
      </w:pPr>
    </w:lvl>
    <w:lvl w:ilvl="6" w:tplc="147AEA2A">
      <w:start w:val="1"/>
      <w:numFmt w:val="decimal"/>
      <w:lvlText w:val="%7)"/>
      <w:lvlJc w:val="left"/>
      <w:pPr>
        <w:ind w:left="1020" w:hanging="360"/>
      </w:pPr>
    </w:lvl>
    <w:lvl w:ilvl="7" w:tplc="E00CB04A">
      <w:start w:val="1"/>
      <w:numFmt w:val="decimal"/>
      <w:lvlText w:val="%8)"/>
      <w:lvlJc w:val="left"/>
      <w:pPr>
        <w:ind w:left="1020" w:hanging="360"/>
      </w:pPr>
    </w:lvl>
    <w:lvl w:ilvl="8" w:tplc="A8AEA3CA">
      <w:start w:val="1"/>
      <w:numFmt w:val="decimal"/>
      <w:lvlText w:val="%9)"/>
      <w:lvlJc w:val="left"/>
      <w:pPr>
        <w:ind w:left="1020" w:hanging="360"/>
      </w:pPr>
    </w:lvl>
  </w:abstractNum>
  <w:abstractNum w:abstractNumId="8" w15:restartNumberingAfterBreak="0">
    <w:nsid w:val="23EA01D7"/>
    <w:multiLevelType w:val="hybridMultilevel"/>
    <w:tmpl w:val="86085D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6DC6FBF"/>
    <w:multiLevelType w:val="hybridMultilevel"/>
    <w:tmpl w:val="9CF04A44"/>
    <w:lvl w:ilvl="0" w:tplc="370C415C">
      <w:start w:val="25"/>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AE552F5"/>
    <w:multiLevelType w:val="hybridMultilevel"/>
    <w:tmpl w:val="82A80150"/>
    <w:lvl w:ilvl="0" w:tplc="B95A3462">
      <w:start w:val="1"/>
      <w:numFmt w:val="decimal"/>
      <w:lvlText w:val="%1)"/>
      <w:lvlJc w:val="left"/>
      <w:pPr>
        <w:ind w:left="1020" w:hanging="360"/>
      </w:pPr>
    </w:lvl>
    <w:lvl w:ilvl="1" w:tplc="086ED88A">
      <w:start w:val="1"/>
      <w:numFmt w:val="decimal"/>
      <w:lvlText w:val="%2)"/>
      <w:lvlJc w:val="left"/>
      <w:pPr>
        <w:ind w:left="1020" w:hanging="360"/>
      </w:pPr>
    </w:lvl>
    <w:lvl w:ilvl="2" w:tplc="B798E392">
      <w:start w:val="1"/>
      <w:numFmt w:val="decimal"/>
      <w:lvlText w:val="%3)"/>
      <w:lvlJc w:val="left"/>
      <w:pPr>
        <w:ind w:left="1020" w:hanging="360"/>
      </w:pPr>
    </w:lvl>
    <w:lvl w:ilvl="3" w:tplc="E738F07A">
      <w:start w:val="1"/>
      <w:numFmt w:val="decimal"/>
      <w:lvlText w:val="%4)"/>
      <w:lvlJc w:val="left"/>
      <w:pPr>
        <w:ind w:left="1020" w:hanging="360"/>
      </w:pPr>
    </w:lvl>
    <w:lvl w:ilvl="4" w:tplc="10BC46C8">
      <w:start w:val="1"/>
      <w:numFmt w:val="decimal"/>
      <w:lvlText w:val="%5)"/>
      <w:lvlJc w:val="left"/>
      <w:pPr>
        <w:ind w:left="1020" w:hanging="360"/>
      </w:pPr>
    </w:lvl>
    <w:lvl w:ilvl="5" w:tplc="D4B82B78">
      <w:start w:val="1"/>
      <w:numFmt w:val="decimal"/>
      <w:lvlText w:val="%6)"/>
      <w:lvlJc w:val="left"/>
      <w:pPr>
        <w:ind w:left="1020" w:hanging="360"/>
      </w:pPr>
    </w:lvl>
    <w:lvl w:ilvl="6" w:tplc="0E9CB87C">
      <w:start w:val="1"/>
      <w:numFmt w:val="decimal"/>
      <w:lvlText w:val="%7)"/>
      <w:lvlJc w:val="left"/>
      <w:pPr>
        <w:ind w:left="1020" w:hanging="360"/>
      </w:pPr>
    </w:lvl>
    <w:lvl w:ilvl="7" w:tplc="0016BC06">
      <w:start w:val="1"/>
      <w:numFmt w:val="decimal"/>
      <w:lvlText w:val="%8)"/>
      <w:lvlJc w:val="left"/>
      <w:pPr>
        <w:ind w:left="1020" w:hanging="360"/>
      </w:pPr>
    </w:lvl>
    <w:lvl w:ilvl="8" w:tplc="B49072CE">
      <w:start w:val="1"/>
      <w:numFmt w:val="decimal"/>
      <w:lvlText w:val="%9)"/>
      <w:lvlJc w:val="left"/>
      <w:pPr>
        <w:ind w:left="1020" w:hanging="360"/>
      </w:pPr>
    </w:lvl>
  </w:abstractNum>
  <w:abstractNum w:abstractNumId="11" w15:restartNumberingAfterBreak="0">
    <w:nsid w:val="2BF76267"/>
    <w:multiLevelType w:val="hybridMultilevel"/>
    <w:tmpl w:val="C5FAA5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DAF4AC2"/>
    <w:multiLevelType w:val="hybridMultilevel"/>
    <w:tmpl w:val="626682A0"/>
    <w:lvl w:ilvl="0" w:tplc="9350FA30">
      <w:start w:val="1"/>
      <w:numFmt w:val="decimal"/>
      <w:lvlText w:val="%1."/>
      <w:lvlJc w:val="left"/>
      <w:pPr>
        <w:ind w:left="720" w:hanging="360"/>
      </w:pPr>
    </w:lvl>
    <w:lvl w:ilvl="1" w:tplc="B1DA7704">
      <w:start w:val="1"/>
      <w:numFmt w:val="decimal"/>
      <w:lvlText w:val="%2."/>
      <w:lvlJc w:val="left"/>
      <w:pPr>
        <w:ind w:left="720" w:hanging="360"/>
      </w:pPr>
    </w:lvl>
    <w:lvl w:ilvl="2" w:tplc="32C2CA56">
      <w:start w:val="1"/>
      <w:numFmt w:val="decimal"/>
      <w:lvlText w:val="%3."/>
      <w:lvlJc w:val="left"/>
      <w:pPr>
        <w:ind w:left="720" w:hanging="360"/>
      </w:pPr>
    </w:lvl>
    <w:lvl w:ilvl="3" w:tplc="DE70F3AA">
      <w:start w:val="1"/>
      <w:numFmt w:val="decimal"/>
      <w:lvlText w:val="%4."/>
      <w:lvlJc w:val="left"/>
      <w:pPr>
        <w:ind w:left="720" w:hanging="360"/>
      </w:pPr>
    </w:lvl>
    <w:lvl w:ilvl="4" w:tplc="786C2784">
      <w:start w:val="1"/>
      <w:numFmt w:val="decimal"/>
      <w:lvlText w:val="%5."/>
      <w:lvlJc w:val="left"/>
      <w:pPr>
        <w:ind w:left="720" w:hanging="360"/>
      </w:pPr>
    </w:lvl>
    <w:lvl w:ilvl="5" w:tplc="633203F6">
      <w:start w:val="1"/>
      <w:numFmt w:val="decimal"/>
      <w:lvlText w:val="%6."/>
      <w:lvlJc w:val="left"/>
      <w:pPr>
        <w:ind w:left="720" w:hanging="360"/>
      </w:pPr>
    </w:lvl>
    <w:lvl w:ilvl="6" w:tplc="6E647D96">
      <w:start w:val="1"/>
      <w:numFmt w:val="decimal"/>
      <w:lvlText w:val="%7."/>
      <w:lvlJc w:val="left"/>
      <w:pPr>
        <w:ind w:left="720" w:hanging="360"/>
      </w:pPr>
    </w:lvl>
    <w:lvl w:ilvl="7" w:tplc="549436A4">
      <w:start w:val="1"/>
      <w:numFmt w:val="decimal"/>
      <w:lvlText w:val="%8."/>
      <w:lvlJc w:val="left"/>
      <w:pPr>
        <w:ind w:left="720" w:hanging="360"/>
      </w:pPr>
    </w:lvl>
    <w:lvl w:ilvl="8" w:tplc="A70E3B80">
      <w:start w:val="1"/>
      <w:numFmt w:val="decimal"/>
      <w:lvlText w:val="%9."/>
      <w:lvlJc w:val="left"/>
      <w:pPr>
        <w:ind w:left="720" w:hanging="360"/>
      </w:pPr>
    </w:lvl>
  </w:abstractNum>
  <w:abstractNum w:abstractNumId="13" w15:restartNumberingAfterBreak="0">
    <w:nsid w:val="34456E86"/>
    <w:multiLevelType w:val="hybridMultilevel"/>
    <w:tmpl w:val="93F0DE36"/>
    <w:lvl w:ilvl="0" w:tplc="6816A094">
      <w:start w:val="1"/>
      <w:numFmt w:val="decimal"/>
      <w:lvlText w:val="%1)"/>
      <w:lvlJc w:val="left"/>
      <w:pPr>
        <w:ind w:left="1020" w:hanging="360"/>
      </w:pPr>
    </w:lvl>
    <w:lvl w:ilvl="1" w:tplc="D7B0FA9C">
      <w:start w:val="1"/>
      <w:numFmt w:val="decimal"/>
      <w:lvlText w:val="%2)"/>
      <w:lvlJc w:val="left"/>
      <w:pPr>
        <w:ind w:left="1020" w:hanging="360"/>
      </w:pPr>
    </w:lvl>
    <w:lvl w:ilvl="2" w:tplc="D2907706">
      <w:start w:val="1"/>
      <w:numFmt w:val="decimal"/>
      <w:lvlText w:val="%3)"/>
      <w:lvlJc w:val="left"/>
      <w:pPr>
        <w:ind w:left="1020" w:hanging="360"/>
      </w:pPr>
    </w:lvl>
    <w:lvl w:ilvl="3" w:tplc="9F90EB4E">
      <w:start w:val="1"/>
      <w:numFmt w:val="decimal"/>
      <w:lvlText w:val="%4)"/>
      <w:lvlJc w:val="left"/>
      <w:pPr>
        <w:ind w:left="1020" w:hanging="360"/>
      </w:pPr>
    </w:lvl>
    <w:lvl w:ilvl="4" w:tplc="8F9E4462">
      <w:start w:val="1"/>
      <w:numFmt w:val="decimal"/>
      <w:lvlText w:val="%5)"/>
      <w:lvlJc w:val="left"/>
      <w:pPr>
        <w:ind w:left="1020" w:hanging="360"/>
      </w:pPr>
    </w:lvl>
    <w:lvl w:ilvl="5" w:tplc="E1E26046">
      <w:start w:val="1"/>
      <w:numFmt w:val="decimal"/>
      <w:lvlText w:val="%6)"/>
      <w:lvlJc w:val="left"/>
      <w:pPr>
        <w:ind w:left="1020" w:hanging="360"/>
      </w:pPr>
    </w:lvl>
    <w:lvl w:ilvl="6" w:tplc="BD9EED78">
      <w:start w:val="1"/>
      <w:numFmt w:val="decimal"/>
      <w:lvlText w:val="%7)"/>
      <w:lvlJc w:val="left"/>
      <w:pPr>
        <w:ind w:left="1020" w:hanging="360"/>
      </w:pPr>
    </w:lvl>
    <w:lvl w:ilvl="7" w:tplc="D08894B0">
      <w:start w:val="1"/>
      <w:numFmt w:val="decimal"/>
      <w:lvlText w:val="%8)"/>
      <w:lvlJc w:val="left"/>
      <w:pPr>
        <w:ind w:left="1020" w:hanging="360"/>
      </w:pPr>
    </w:lvl>
    <w:lvl w:ilvl="8" w:tplc="B0D207F4">
      <w:start w:val="1"/>
      <w:numFmt w:val="decimal"/>
      <w:lvlText w:val="%9)"/>
      <w:lvlJc w:val="left"/>
      <w:pPr>
        <w:ind w:left="1020" w:hanging="360"/>
      </w:pPr>
    </w:lvl>
  </w:abstractNum>
  <w:abstractNum w:abstractNumId="14" w15:restartNumberingAfterBreak="0">
    <w:nsid w:val="35042AF8"/>
    <w:multiLevelType w:val="hybridMultilevel"/>
    <w:tmpl w:val="2C26F690"/>
    <w:lvl w:ilvl="0" w:tplc="7A0A48EE">
      <w:start w:val="1"/>
      <w:numFmt w:val="decimal"/>
      <w:lvlText w:val="%1)"/>
      <w:lvlJc w:val="left"/>
      <w:pPr>
        <w:ind w:left="1020" w:hanging="360"/>
      </w:pPr>
    </w:lvl>
    <w:lvl w:ilvl="1" w:tplc="214606EA">
      <w:start w:val="1"/>
      <w:numFmt w:val="decimal"/>
      <w:lvlText w:val="%2)"/>
      <w:lvlJc w:val="left"/>
      <w:pPr>
        <w:ind w:left="1020" w:hanging="360"/>
      </w:pPr>
    </w:lvl>
    <w:lvl w:ilvl="2" w:tplc="99467FB2">
      <w:start w:val="1"/>
      <w:numFmt w:val="decimal"/>
      <w:lvlText w:val="%3)"/>
      <w:lvlJc w:val="left"/>
      <w:pPr>
        <w:ind w:left="1020" w:hanging="360"/>
      </w:pPr>
    </w:lvl>
    <w:lvl w:ilvl="3" w:tplc="34EA4212">
      <w:start w:val="1"/>
      <w:numFmt w:val="decimal"/>
      <w:lvlText w:val="%4)"/>
      <w:lvlJc w:val="left"/>
      <w:pPr>
        <w:ind w:left="1020" w:hanging="360"/>
      </w:pPr>
    </w:lvl>
    <w:lvl w:ilvl="4" w:tplc="FCB074A2">
      <w:start w:val="1"/>
      <w:numFmt w:val="decimal"/>
      <w:lvlText w:val="%5)"/>
      <w:lvlJc w:val="left"/>
      <w:pPr>
        <w:ind w:left="1020" w:hanging="360"/>
      </w:pPr>
    </w:lvl>
    <w:lvl w:ilvl="5" w:tplc="D3B0C33C">
      <w:start w:val="1"/>
      <w:numFmt w:val="decimal"/>
      <w:lvlText w:val="%6)"/>
      <w:lvlJc w:val="left"/>
      <w:pPr>
        <w:ind w:left="1020" w:hanging="360"/>
      </w:pPr>
    </w:lvl>
    <w:lvl w:ilvl="6" w:tplc="561CFC86">
      <w:start w:val="1"/>
      <w:numFmt w:val="decimal"/>
      <w:lvlText w:val="%7)"/>
      <w:lvlJc w:val="left"/>
      <w:pPr>
        <w:ind w:left="1020" w:hanging="360"/>
      </w:pPr>
    </w:lvl>
    <w:lvl w:ilvl="7" w:tplc="37E00108">
      <w:start w:val="1"/>
      <w:numFmt w:val="decimal"/>
      <w:lvlText w:val="%8)"/>
      <w:lvlJc w:val="left"/>
      <w:pPr>
        <w:ind w:left="1020" w:hanging="360"/>
      </w:pPr>
    </w:lvl>
    <w:lvl w:ilvl="8" w:tplc="C8C6FD90">
      <w:start w:val="1"/>
      <w:numFmt w:val="decimal"/>
      <w:lvlText w:val="%9)"/>
      <w:lvlJc w:val="left"/>
      <w:pPr>
        <w:ind w:left="1020" w:hanging="360"/>
      </w:pPr>
    </w:lvl>
  </w:abstractNum>
  <w:abstractNum w:abstractNumId="15" w15:restartNumberingAfterBreak="0">
    <w:nsid w:val="366E5A5A"/>
    <w:multiLevelType w:val="hybridMultilevel"/>
    <w:tmpl w:val="E4A4FD6C"/>
    <w:lvl w:ilvl="0" w:tplc="BB52C26A">
      <w:start w:val="1"/>
      <w:numFmt w:val="decimal"/>
      <w:lvlText w:val="%1)"/>
      <w:lvlJc w:val="left"/>
      <w:pPr>
        <w:ind w:left="1020" w:hanging="360"/>
      </w:pPr>
    </w:lvl>
    <w:lvl w:ilvl="1" w:tplc="0D524B08">
      <w:start w:val="1"/>
      <w:numFmt w:val="decimal"/>
      <w:lvlText w:val="%2)"/>
      <w:lvlJc w:val="left"/>
      <w:pPr>
        <w:ind w:left="1020" w:hanging="360"/>
      </w:pPr>
    </w:lvl>
    <w:lvl w:ilvl="2" w:tplc="D7AA4034">
      <w:start w:val="1"/>
      <w:numFmt w:val="decimal"/>
      <w:lvlText w:val="%3)"/>
      <w:lvlJc w:val="left"/>
      <w:pPr>
        <w:ind w:left="1020" w:hanging="360"/>
      </w:pPr>
    </w:lvl>
    <w:lvl w:ilvl="3" w:tplc="7C9288A6">
      <w:start w:val="1"/>
      <w:numFmt w:val="decimal"/>
      <w:lvlText w:val="%4)"/>
      <w:lvlJc w:val="left"/>
      <w:pPr>
        <w:ind w:left="1020" w:hanging="360"/>
      </w:pPr>
    </w:lvl>
    <w:lvl w:ilvl="4" w:tplc="C29C51B4">
      <w:start w:val="1"/>
      <w:numFmt w:val="decimal"/>
      <w:lvlText w:val="%5)"/>
      <w:lvlJc w:val="left"/>
      <w:pPr>
        <w:ind w:left="1020" w:hanging="360"/>
      </w:pPr>
    </w:lvl>
    <w:lvl w:ilvl="5" w:tplc="E65E5360">
      <w:start w:val="1"/>
      <w:numFmt w:val="decimal"/>
      <w:lvlText w:val="%6)"/>
      <w:lvlJc w:val="left"/>
      <w:pPr>
        <w:ind w:left="1020" w:hanging="360"/>
      </w:pPr>
    </w:lvl>
    <w:lvl w:ilvl="6" w:tplc="DCD8E10C">
      <w:start w:val="1"/>
      <w:numFmt w:val="decimal"/>
      <w:lvlText w:val="%7)"/>
      <w:lvlJc w:val="left"/>
      <w:pPr>
        <w:ind w:left="1020" w:hanging="360"/>
      </w:pPr>
    </w:lvl>
    <w:lvl w:ilvl="7" w:tplc="03BA4A54">
      <w:start w:val="1"/>
      <w:numFmt w:val="decimal"/>
      <w:lvlText w:val="%8)"/>
      <w:lvlJc w:val="left"/>
      <w:pPr>
        <w:ind w:left="1020" w:hanging="360"/>
      </w:pPr>
    </w:lvl>
    <w:lvl w:ilvl="8" w:tplc="E43A3070">
      <w:start w:val="1"/>
      <w:numFmt w:val="decimal"/>
      <w:lvlText w:val="%9)"/>
      <w:lvlJc w:val="left"/>
      <w:pPr>
        <w:ind w:left="1020" w:hanging="360"/>
      </w:pPr>
    </w:lvl>
  </w:abstractNum>
  <w:abstractNum w:abstractNumId="16" w15:restartNumberingAfterBreak="0">
    <w:nsid w:val="381B3371"/>
    <w:multiLevelType w:val="hybridMultilevel"/>
    <w:tmpl w:val="821288E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7" w15:restartNumberingAfterBreak="0">
    <w:nsid w:val="4400058C"/>
    <w:multiLevelType w:val="hybridMultilevel"/>
    <w:tmpl w:val="0A0239CA"/>
    <w:lvl w:ilvl="0" w:tplc="370C415C">
      <w:start w:val="25"/>
      <w:numFmt w:val="decimal"/>
      <w:lvlText w:val="%1."/>
      <w:lvlJc w:val="left"/>
      <w:pPr>
        <w:ind w:left="360" w:hanging="360"/>
      </w:pPr>
      <w:rPr>
        <w:rFonts w:hint="default"/>
      </w:rPr>
    </w:lvl>
    <w:lvl w:ilvl="1" w:tplc="40090019" w:tentative="1">
      <w:start w:val="1"/>
      <w:numFmt w:val="lowerLetter"/>
      <w:lvlText w:val="%2."/>
      <w:lvlJc w:val="left"/>
      <w:pPr>
        <w:ind w:left="720" w:hanging="360"/>
      </w:pPr>
    </w:lvl>
    <w:lvl w:ilvl="2" w:tplc="4009001B" w:tentative="1">
      <w:start w:val="1"/>
      <w:numFmt w:val="lowerRoman"/>
      <w:lvlText w:val="%3."/>
      <w:lvlJc w:val="right"/>
      <w:pPr>
        <w:ind w:left="1440" w:hanging="180"/>
      </w:pPr>
    </w:lvl>
    <w:lvl w:ilvl="3" w:tplc="4009000F" w:tentative="1">
      <w:start w:val="1"/>
      <w:numFmt w:val="decimal"/>
      <w:lvlText w:val="%4."/>
      <w:lvlJc w:val="left"/>
      <w:pPr>
        <w:ind w:left="2160" w:hanging="360"/>
      </w:pPr>
    </w:lvl>
    <w:lvl w:ilvl="4" w:tplc="40090019" w:tentative="1">
      <w:start w:val="1"/>
      <w:numFmt w:val="lowerLetter"/>
      <w:lvlText w:val="%5."/>
      <w:lvlJc w:val="left"/>
      <w:pPr>
        <w:ind w:left="2880" w:hanging="360"/>
      </w:pPr>
    </w:lvl>
    <w:lvl w:ilvl="5" w:tplc="4009001B" w:tentative="1">
      <w:start w:val="1"/>
      <w:numFmt w:val="lowerRoman"/>
      <w:lvlText w:val="%6."/>
      <w:lvlJc w:val="right"/>
      <w:pPr>
        <w:ind w:left="3600" w:hanging="180"/>
      </w:pPr>
    </w:lvl>
    <w:lvl w:ilvl="6" w:tplc="4009000F" w:tentative="1">
      <w:start w:val="1"/>
      <w:numFmt w:val="decimal"/>
      <w:lvlText w:val="%7."/>
      <w:lvlJc w:val="left"/>
      <w:pPr>
        <w:ind w:left="4320" w:hanging="360"/>
      </w:pPr>
    </w:lvl>
    <w:lvl w:ilvl="7" w:tplc="40090019" w:tentative="1">
      <w:start w:val="1"/>
      <w:numFmt w:val="lowerLetter"/>
      <w:lvlText w:val="%8."/>
      <w:lvlJc w:val="left"/>
      <w:pPr>
        <w:ind w:left="5040" w:hanging="360"/>
      </w:pPr>
    </w:lvl>
    <w:lvl w:ilvl="8" w:tplc="4009001B" w:tentative="1">
      <w:start w:val="1"/>
      <w:numFmt w:val="lowerRoman"/>
      <w:lvlText w:val="%9."/>
      <w:lvlJc w:val="right"/>
      <w:pPr>
        <w:ind w:left="5760" w:hanging="180"/>
      </w:pPr>
    </w:lvl>
  </w:abstractNum>
  <w:abstractNum w:abstractNumId="18" w15:restartNumberingAfterBreak="0">
    <w:nsid w:val="45B168D1"/>
    <w:multiLevelType w:val="hybridMultilevel"/>
    <w:tmpl w:val="D52CB71C"/>
    <w:lvl w:ilvl="0" w:tplc="42A41350">
      <w:start w:val="1"/>
      <w:numFmt w:val="decimal"/>
      <w:lvlText w:val="%1)"/>
      <w:lvlJc w:val="left"/>
      <w:pPr>
        <w:ind w:left="1020" w:hanging="360"/>
      </w:pPr>
    </w:lvl>
    <w:lvl w:ilvl="1" w:tplc="47EE02DE">
      <w:start w:val="1"/>
      <w:numFmt w:val="decimal"/>
      <w:lvlText w:val="%2)"/>
      <w:lvlJc w:val="left"/>
      <w:pPr>
        <w:ind w:left="1020" w:hanging="360"/>
      </w:pPr>
    </w:lvl>
    <w:lvl w:ilvl="2" w:tplc="5C827164">
      <w:start w:val="1"/>
      <w:numFmt w:val="decimal"/>
      <w:lvlText w:val="%3)"/>
      <w:lvlJc w:val="left"/>
      <w:pPr>
        <w:ind w:left="1020" w:hanging="360"/>
      </w:pPr>
    </w:lvl>
    <w:lvl w:ilvl="3" w:tplc="6FE2B2A0">
      <w:start w:val="1"/>
      <w:numFmt w:val="decimal"/>
      <w:lvlText w:val="%4)"/>
      <w:lvlJc w:val="left"/>
      <w:pPr>
        <w:ind w:left="1020" w:hanging="360"/>
      </w:pPr>
    </w:lvl>
    <w:lvl w:ilvl="4" w:tplc="1BE21CE6">
      <w:start w:val="1"/>
      <w:numFmt w:val="decimal"/>
      <w:lvlText w:val="%5)"/>
      <w:lvlJc w:val="left"/>
      <w:pPr>
        <w:ind w:left="1020" w:hanging="360"/>
      </w:pPr>
    </w:lvl>
    <w:lvl w:ilvl="5" w:tplc="03E0F676">
      <w:start w:val="1"/>
      <w:numFmt w:val="decimal"/>
      <w:lvlText w:val="%6)"/>
      <w:lvlJc w:val="left"/>
      <w:pPr>
        <w:ind w:left="1020" w:hanging="360"/>
      </w:pPr>
    </w:lvl>
    <w:lvl w:ilvl="6" w:tplc="931AC604">
      <w:start w:val="1"/>
      <w:numFmt w:val="decimal"/>
      <w:lvlText w:val="%7)"/>
      <w:lvlJc w:val="left"/>
      <w:pPr>
        <w:ind w:left="1020" w:hanging="360"/>
      </w:pPr>
    </w:lvl>
    <w:lvl w:ilvl="7" w:tplc="3C36321E">
      <w:start w:val="1"/>
      <w:numFmt w:val="decimal"/>
      <w:lvlText w:val="%8)"/>
      <w:lvlJc w:val="left"/>
      <w:pPr>
        <w:ind w:left="1020" w:hanging="360"/>
      </w:pPr>
    </w:lvl>
    <w:lvl w:ilvl="8" w:tplc="339C3E76">
      <w:start w:val="1"/>
      <w:numFmt w:val="decimal"/>
      <w:lvlText w:val="%9)"/>
      <w:lvlJc w:val="left"/>
      <w:pPr>
        <w:ind w:left="1020" w:hanging="360"/>
      </w:pPr>
    </w:lvl>
  </w:abstractNum>
  <w:abstractNum w:abstractNumId="19" w15:restartNumberingAfterBreak="0">
    <w:nsid w:val="4AE567BB"/>
    <w:multiLevelType w:val="hybridMultilevel"/>
    <w:tmpl w:val="7758F54A"/>
    <w:lvl w:ilvl="0" w:tplc="4BD47690">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F983BC3"/>
    <w:multiLevelType w:val="hybridMultilevel"/>
    <w:tmpl w:val="B4FA480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1" w15:restartNumberingAfterBreak="0">
    <w:nsid w:val="514043E4"/>
    <w:multiLevelType w:val="hybridMultilevel"/>
    <w:tmpl w:val="835E3E1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2" w15:restartNumberingAfterBreak="0">
    <w:nsid w:val="5A292B9B"/>
    <w:multiLevelType w:val="hybridMultilevel"/>
    <w:tmpl w:val="85AE047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3F9230A"/>
    <w:multiLevelType w:val="hybridMultilevel"/>
    <w:tmpl w:val="00CE4088"/>
    <w:lvl w:ilvl="0" w:tplc="18F6E548">
      <w:start w:val="1"/>
      <w:numFmt w:val="decimal"/>
      <w:lvlText w:val="%1)"/>
      <w:lvlJc w:val="left"/>
      <w:pPr>
        <w:ind w:left="1020" w:hanging="360"/>
      </w:pPr>
    </w:lvl>
    <w:lvl w:ilvl="1" w:tplc="AA0C2110">
      <w:start w:val="1"/>
      <w:numFmt w:val="decimal"/>
      <w:lvlText w:val="%2)"/>
      <w:lvlJc w:val="left"/>
      <w:pPr>
        <w:ind w:left="1020" w:hanging="360"/>
      </w:pPr>
    </w:lvl>
    <w:lvl w:ilvl="2" w:tplc="C278F4FE">
      <w:start w:val="1"/>
      <w:numFmt w:val="decimal"/>
      <w:lvlText w:val="%3)"/>
      <w:lvlJc w:val="left"/>
      <w:pPr>
        <w:ind w:left="1020" w:hanging="360"/>
      </w:pPr>
    </w:lvl>
    <w:lvl w:ilvl="3" w:tplc="5EF8CF38">
      <w:start w:val="1"/>
      <w:numFmt w:val="decimal"/>
      <w:lvlText w:val="%4)"/>
      <w:lvlJc w:val="left"/>
      <w:pPr>
        <w:ind w:left="1020" w:hanging="360"/>
      </w:pPr>
    </w:lvl>
    <w:lvl w:ilvl="4" w:tplc="2124D986">
      <w:start w:val="1"/>
      <w:numFmt w:val="decimal"/>
      <w:lvlText w:val="%5)"/>
      <w:lvlJc w:val="left"/>
      <w:pPr>
        <w:ind w:left="1020" w:hanging="360"/>
      </w:pPr>
    </w:lvl>
    <w:lvl w:ilvl="5" w:tplc="7A4E8CF2">
      <w:start w:val="1"/>
      <w:numFmt w:val="decimal"/>
      <w:lvlText w:val="%6)"/>
      <w:lvlJc w:val="left"/>
      <w:pPr>
        <w:ind w:left="1020" w:hanging="360"/>
      </w:pPr>
    </w:lvl>
    <w:lvl w:ilvl="6" w:tplc="A11E982E">
      <w:start w:val="1"/>
      <w:numFmt w:val="decimal"/>
      <w:lvlText w:val="%7)"/>
      <w:lvlJc w:val="left"/>
      <w:pPr>
        <w:ind w:left="1020" w:hanging="360"/>
      </w:pPr>
    </w:lvl>
    <w:lvl w:ilvl="7" w:tplc="C1C2B7FE">
      <w:start w:val="1"/>
      <w:numFmt w:val="decimal"/>
      <w:lvlText w:val="%8)"/>
      <w:lvlJc w:val="left"/>
      <w:pPr>
        <w:ind w:left="1020" w:hanging="360"/>
      </w:pPr>
    </w:lvl>
    <w:lvl w:ilvl="8" w:tplc="FCC6F46E">
      <w:start w:val="1"/>
      <w:numFmt w:val="decimal"/>
      <w:lvlText w:val="%9)"/>
      <w:lvlJc w:val="left"/>
      <w:pPr>
        <w:ind w:left="1020" w:hanging="360"/>
      </w:pPr>
    </w:lvl>
  </w:abstractNum>
  <w:abstractNum w:abstractNumId="24" w15:restartNumberingAfterBreak="0">
    <w:nsid w:val="6D1C147B"/>
    <w:multiLevelType w:val="hybridMultilevel"/>
    <w:tmpl w:val="C2D60DD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5" w15:restartNumberingAfterBreak="0">
    <w:nsid w:val="70CD2660"/>
    <w:multiLevelType w:val="hybridMultilevel"/>
    <w:tmpl w:val="B2AAB45C"/>
    <w:lvl w:ilvl="0" w:tplc="AD3ED82E">
      <w:start w:val="1"/>
      <w:numFmt w:val="decimal"/>
      <w:lvlText w:val="%1."/>
      <w:lvlJc w:val="left"/>
      <w:pPr>
        <w:ind w:left="720" w:hanging="360"/>
      </w:pPr>
    </w:lvl>
    <w:lvl w:ilvl="1" w:tplc="E15E9510">
      <w:start w:val="1"/>
      <w:numFmt w:val="decimal"/>
      <w:lvlText w:val="%2."/>
      <w:lvlJc w:val="left"/>
      <w:pPr>
        <w:ind w:left="720" w:hanging="360"/>
      </w:pPr>
    </w:lvl>
    <w:lvl w:ilvl="2" w:tplc="10281DD2">
      <w:start w:val="1"/>
      <w:numFmt w:val="decimal"/>
      <w:lvlText w:val="%3."/>
      <w:lvlJc w:val="left"/>
      <w:pPr>
        <w:ind w:left="720" w:hanging="360"/>
      </w:pPr>
    </w:lvl>
    <w:lvl w:ilvl="3" w:tplc="892CF5FA">
      <w:start w:val="1"/>
      <w:numFmt w:val="decimal"/>
      <w:lvlText w:val="%4."/>
      <w:lvlJc w:val="left"/>
      <w:pPr>
        <w:ind w:left="720" w:hanging="360"/>
      </w:pPr>
    </w:lvl>
    <w:lvl w:ilvl="4" w:tplc="4128FA0E">
      <w:start w:val="1"/>
      <w:numFmt w:val="decimal"/>
      <w:lvlText w:val="%5."/>
      <w:lvlJc w:val="left"/>
      <w:pPr>
        <w:ind w:left="720" w:hanging="360"/>
      </w:pPr>
    </w:lvl>
    <w:lvl w:ilvl="5" w:tplc="9BA0D072">
      <w:start w:val="1"/>
      <w:numFmt w:val="decimal"/>
      <w:lvlText w:val="%6."/>
      <w:lvlJc w:val="left"/>
      <w:pPr>
        <w:ind w:left="720" w:hanging="360"/>
      </w:pPr>
    </w:lvl>
    <w:lvl w:ilvl="6" w:tplc="30E29702">
      <w:start w:val="1"/>
      <w:numFmt w:val="decimal"/>
      <w:lvlText w:val="%7."/>
      <w:lvlJc w:val="left"/>
      <w:pPr>
        <w:ind w:left="720" w:hanging="360"/>
      </w:pPr>
    </w:lvl>
    <w:lvl w:ilvl="7" w:tplc="A01AA70A">
      <w:start w:val="1"/>
      <w:numFmt w:val="decimal"/>
      <w:lvlText w:val="%8."/>
      <w:lvlJc w:val="left"/>
      <w:pPr>
        <w:ind w:left="720" w:hanging="360"/>
      </w:pPr>
    </w:lvl>
    <w:lvl w:ilvl="8" w:tplc="A9B8A120">
      <w:start w:val="1"/>
      <w:numFmt w:val="decimal"/>
      <w:lvlText w:val="%9."/>
      <w:lvlJc w:val="left"/>
      <w:pPr>
        <w:ind w:left="720" w:hanging="360"/>
      </w:pPr>
    </w:lvl>
  </w:abstractNum>
  <w:abstractNum w:abstractNumId="26" w15:restartNumberingAfterBreak="0">
    <w:nsid w:val="71F35AA8"/>
    <w:multiLevelType w:val="hybridMultilevel"/>
    <w:tmpl w:val="43FC8D1E"/>
    <w:lvl w:ilvl="0" w:tplc="282EDA72">
      <w:start w:val="1"/>
      <w:numFmt w:val="bullet"/>
      <w:lvlText w:val=""/>
      <w:lvlJc w:val="left"/>
      <w:pPr>
        <w:ind w:left="1440" w:hanging="360"/>
      </w:pPr>
      <w:rPr>
        <w:rFonts w:ascii="Symbol" w:hAnsi="Symbol"/>
      </w:rPr>
    </w:lvl>
    <w:lvl w:ilvl="1" w:tplc="FA1CA38C">
      <w:start w:val="1"/>
      <w:numFmt w:val="bullet"/>
      <w:lvlText w:val=""/>
      <w:lvlJc w:val="left"/>
      <w:pPr>
        <w:ind w:left="1440" w:hanging="360"/>
      </w:pPr>
      <w:rPr>
        <w:rFonts w:ascii="Symbol" w:hAnsi="Symbol"/>
      </w:rPr>
    </w:lvl>
    <w:lvl w:ilvl="2" w:tplc="E0860040">
      <w:start w:val="1"/>
      <w:numFmt w:val="bullet"/>
      <w:lvlText w:val=""/>
      <w:lvlJc w:val="left"/>
      <w:pPr>
        <w:ind w:left="1440" w:hanging="360"/>
      </w:pPr>
      <w:rPr>
        <w:rFonts w:ascii="Symbol" w:hAnsi="Symbol"/>
      </w:rPr>
    </w:lvl>
    <w:lvl w:ilvl="3" w:tplc="FDB6C602">
      <w:start w:val="1"/>
      <w:numFmt w:val="bullet"/>
      <w:lvlText w:val=""/>
      <w:lvlJc w:val="left"/>
      <w:pPr>
        <w:ind w:left="1440" w:hanging="360"/>
      </w:pPr>
      <w:rPr>
        <w:rFonts w:ascii="Symbol" w:hAnsi="Symbol"/>
      </w:rPr>
    </w:lvl>
    <w:lvl w:ilvl="4" w:tplc="E5C67752">
      <w:start w:val="1"/>
      <w:numFmt w:val="bullet"/>
      <w:lvlText w:val=""/>
      <w:lvlJc w:val="left"/>
      <w:pPr>
        <w:ind w:left="1440" w:hanging="360"/>
      </w:pPr>
      <w:rPr>
        <w:rFonts w:ascii="Symbol" w:hAnsi="Symbol"/>
      </w:rPr>
    </w:lvl>
    <w:lvl w:ilvl="5" w:tplc="EF46E32A">
      <w:start w:val="1"/>
      <w:numFmt w:val="bullet"/>
      <w:lvlText w:val=""/>
      <w:lvlJc w:val="left"/>
      <w:pPr>
        <w:ind w:left="1440" w:hanging="360"/>
      </w:pPr>
      <w:rPr>
        <w:rFonts w:ascii="Symbol" w:hAnsi="Symbol"/>
      </w:rPr>
    </w:lvl>
    <w:lvl w:ilvl="6" w:tplc="56C05F54">
      <w:start w:val="1"/>
      <w:numFmt w:val="bullet"/>
      <w:lvlText w:val=""/>
      <w:lvlJc w:val="left"/>
      <w:pPr>
        <w:ind w:left="1440" w:hanging="360"/>
      </w:pPr>
      <w:rPr>
        <w:rFonts w:ascii="Symbol" w:hAnsi="Symbol"/>
      </w:rPr>
    </w:lvl>
    <w:lvl w:ilvl="7" w:tplc="B2EEECB0">
      <w:start w:val="1"/>
      <w:numFmt w:val="bullet"/>
      <w:lvlText w:val=""/>
      <w:lvlJc w:val="left"/>
      <w:pPr>
        <w:ind w:left="1440" w:hanging="360"/>
      </w:pPr>
      <w:rPr>
        <w:rFonts w:ascii="Symbol" w:hAnsi="Symbol"/>
      </w:rPr>
    </w:lvl>
    <w:lvl w:ilvl="8" w:tplc="D2C2030C">
      <w:start w:val="1"/>
      <w:numFmt w:val="bullet"/>
      <w:lvlText w:val=""/>
      <w:lvlJc w:val="left"/>
      <w:pPr>
        <w:ind w:left="1440" w:hanging="360"/>
      </w:pPr>
      <w:rPr>
        <w:rFonts w:ascii="Symbol" w:hAnsi="Symbol"/>
      </w:rPr>
    </w:lvl>
  </w:abstractNum>
  <w:abstractNum w:abstractNumId="27" w15:restartNumberingAfterBreak="0">
    <w:nsid w:val="726E2849"/>
    <w:multiLevelType w:val="hybridMultilevel"/>
    <w:tmpl w:val="45DC83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7FB3302"/>
    <w:multiLevelType w:val="hybridMultilevel"/>
    <w:tmpl w:val="7476534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7C366DCC"/>
    <w:multiLevelType w:val="hybridMultilevel"/>
    <w:tmpl w:val="D02A6DAE"/>
    <w:lvl w:ilvl="0" w:tplc="1B50280E">
      <w:start w:val="1"/>
      <w:numFmt w:val="decimal"/>
      <w:lvlText w:val="%1."/>
      <w:lvlJc w:val="left"/>
      <w:pPr>
        <w:ind w:left="720" w:hanging="360"/>
      </w:pPr>
    </w:lvl>
    <w:lvl w:ilvl="1" w:tplc="128A7D9C">
      <w:start w:val="1"/>
      <w:numFmt w:val="decimal"/>
      <w:lvlText w:val="%2."/>
      <w:lvlJc w:val="left"/>
      <w:pPr>
        <w:ind w:left="720" w:hanging="360"/>
      </w:pPr>
    </w:lvl>
    <w:lvl w:ilvl="2" w:tplc="268E83D0">
      <w:start w:val="1"/>
      <w:numFmt w:val="decimal"/>
      <w:lvlText w:val="%3."/>
      <w:lvlJc w:val="left"/>
      <w:pPr>
        <w:ind w:left="720" w:hanging="360"/>
      </w:pPr>
    </w:lvl>
    <w:lvl w:ilvl="3" w:tplc="3C84198A">
      <w:start w:val="1"/>
      <w:numFmt w:val="decimal"/>
      <w:lvlText w:val="%4."/>
      <w:lvlJc w:val="left"/>
      <w:pPr>
        <w:ind w:left="720" w:hanging="360"/>
      </w:pPr>
    </w:lvl>
    <w:lvl w:ilvl="4" w:tplc="2D707768">
      <w:start w:val="1"/>
      <w:numFmt w:val="decimal"/>
      <w:lvlText w:val="%5."/>
      <w:lvlJc w:val="left"/>
      <w:pPr>
        <w:ind w:left="720" w:hanging="360"/>
      </w:pPr>
    </w:lvl>
    <w:lvl w:ilvl="5" w:tplc="3ABC8EBC">
      <w:start w:val="1"/>
      <w:numFmt w:val="decimal"/>
      <w:lvlText w:val="%6."/>
      <w:lvlJc w:val="left"/>
      <w:pPr>
        <w:ind w:left="720" w:hanging="360"/>
      </w:pPr>
    </w:lvl>
    <w:lvl w:ilvl="6" w:tplc="5590F346">
      <w:start w:val="1"/>
      <w:numFmt w:val="decimal"/>
      <w:lvlText w:val="%7."/>
      <w:lvlJc w:val="left"/>
      <w:pPr>
        <w:ind w:left="720" w:hanging="360"/>
      </w:pPr>
    </w:lvl>
    <w:lvl w:ilvl="7" w:tplc="8A881328">
      <w:start w:val="1"/>
      <w:numFmt w:val="decimal"/>
      <w:lvlText w:val="%8."/>
      <w:lvlJc w:val="left"/>
      <w:pPr>
        <w:ind w:left="720" w:hanging="360"/>
      </w:pPr>
    </w:lvl>
    <w:lvl w:ilvl="8" w:tplc="2924A782">
      <w:start w:val="1"/>
      <w:numFmt w:val="decimal"/>
      <w:lvlText w:val="%9."/>
      <w:lvlJc w:val="left"/>
      <w:pPr>
        <w:ind w:left="720" w:hanging="360"/>
      </w:pPr>
    </w:lvl>
  </w:abstractNum>
  <w:num w:numId="1" w16cid:durableId="1975913257">
    <w:abstractNumId w:val="27"/>
  </w:num>
  <w:num w:numId="2" w16cid:durableId="786655460">
    <w:abstractNumId w:val="0"/>
  </w:num>
  <w:num w:numId="3" w16cid:durableId="1136416791">
    <w:abstractNumId w:val="20"/>
  </w:num>
  <w:num w:numId="4" w16cid:durableId="2000843114">
    <w:abstractNumId w:val="16"/>
  </w:num>
  <w:num w:numId="5" w16cid:durableId="585917389">
    <w:abstractNumId w:val="5"/>
  </w:num>
  <w:num w:numId="6" w16cid:durableId="2026319272">
    <w:abstractNumId w:val="28"/>
  </w:num>
  <w:num w:numId="7" w16cid:durableId="1736053635">
    <w:abstractNumId w:val="11"/>
  </w:num>
  <w:num w:numId="8" w16cid:durableId="724178503">
    <w:abstractNumId w:val="24"/>
  </w:num>
  <w:num w:numId="9" w16cid:durableId="1800998903">
    <w:abstractNumId w:val="21"/>
  </w:num>
  <w:num w:numId="10" w16cid:durableId="1767113391">
    <w:abstractNumId w:val="6"/>
  </w:num>
  <w:num w:numId="11" w16cid:durableId="279797131">
    <w:abstractNumId w:val="8"/>
  </w:num>
  <w:num w:numId="12" w16cid:durableId="687558100">
    <w:abstractNumId w:val="2"/>
  </w:num>
  <w:num w:numId="13" w16cid:durableId="2043169192">
    <w:abstractNumId w:val="17"/>
  </w:num>
  <w:num w:numId="14" w16cid:durableId="333145726">
    <w:abstractNumId w:val="9"/>
  </w:num>
  <w:num w:numId="15" w16cid:durableId="2045057680">
    <w:abstractNumId w:val="19"/>
  </w:num>
  <w:num w:numId="16" w16cid:durableId="107631491">
    <w:abstractNumId w:val="23"/>
  </w:num>
  <w:num w:numId="17" w16cid:durableId="1150098668">
    <w:abstractNumId w:val="10"/>
  </w:num>
  <w:num w:numId="18" w16cid:durableId="1319189236">
    <w:abstractNumId w:val="1"/>
  </w:num>
  <w:num w:numId="19" w16cid:durableId="1834371568">
    <w:abstractNumId w:val="14"/>
  </w:num>
  <w:num w:numId="20" w16cid:durableId="2144228591">
    <w:abstractNumId w:val="18"/>
  </w:num>
  <w:num w:numId="21" w16cid:durableId="653222288">
    <w:abstractNumId w:val="7"/>
  </w:num>
  <w:num w:numId="22" w16cid:durableId="1077509024">
    <w:abstractNumId w:val="13"/>
  </w:num>
  <w:num w:numId="23" w16cid:durableId="1952322512">
    <w:abstractNumId w:val="15"/>
  </w:num>
  <w:num w:numId="24" w16cid:durableId="242956616">
    <w:abstractNumId w:val="26"/>
  </w:num>
  <w:num w:numId="25" w16cid:durableId="1978029334">
    <w:abstractNumId w:val="4"/>
  </w:num>
  <w:num w:numId="26" w16cid:durableId="1020469798">
    <w:abstractNumId w:val="12"/>
  </w:num>
  <w:num w:numId="27" w16cid:durableId="1780025427">
    <w:abstractNumId w:val="25"/>
  </w:num>
  <w:num w:numId="28" w16cid:durableId="1826390000">
    <w:abstractNumId w:val="29"/>
  </w:num>
  <w:num w:numId="29" w16cid:durableId="120732876">
    <w:abstractNumId w:val="3"/>
  </w:num>
  <w:num w:numId="30" w16cid:durableId="1383677306">
    <w:abstractNumId w:val="22"/>
  </w:num>
  <w:num w:numId="31" w16cid:durableId="1490305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U2MzIxNzI0NLUwtjBQ0lEKTi0uzszPAykwNqgFAFTJ5pstAAAA"/>
  </w:docVars>
  <w:rsids>
    <w:rsidRoot w:val="00855A6B"/>
    <w:rsid w:val="00001709"/>
    <w:rsid w:val="00001D9B"/>
    <w:rsid w:val="00004136"/>
    <w:rsid w:val="00004FF9"/>
    <w:rsid w:val="00005816"/>
    <w:rsid w:val="00005885"/>
    <w:rsid w:val="00005CD0"/>
    <w:rsid w:val="00006338"/>
    <w:rsid w:val="00006520"/>
    <w:rsid w:val="0001010A"/>
    <w:rsid w:val="00010CC1"/>
    <w:rsid w:val="000110D3"/>
    <w:rsid w:val="00011BC3"/>
    <w:rsid w:val="00014286"/>
    <w:rsid w:val="000168C1"/>
    <w:rsid w:val="0002148A"/>
    <w:rsid w:val="00021A0C"/>
    <w:rsid w:val="0002322C"/>
    <w:rsid w:val="00023626"/>
    <w:rsid w:val="00024915"/>
    <w:rsid w:val="00027129"/>
    <w:rsid w:val="0002744C"/>
    <w:rsid w:val="00031608"/>
    <w:rsid w:val="00031E53"/>
    <w:rsid w:val="0003210D"/>
    <w:rsid w:val="000322EF"/>
    <w:rsid w:val="000333BE"/>
    <w:rsid w:val="00034297"/>
    <w:rsid w:val="000355C6"/>
    <w:rsid w:val="000355EC"/>
    <w:rsid w:val="0003678F"/>
    <w:rsid w:val="000401CD"/>
    <w:rsid w:val="00040A8F"/>
    <w:rsid w:val="0004129E"/>
    <w:rsid w:val="00043154"/>
    <w:rsid w:val="00044BAE"/>
    <w:rsid w:val="00047630"/>
    <w:rsid w:val="00047919"/>
    <w:rsid w:val="00047949"/>
    <w:rsid w:val="00047BDF"/>
    <w:rsid w:val="0005041A"/>
    <w:rsid w:val="000507AB"/>
    <w:rsid w:val="00050A7B"/>
    <w:rsid w:val="000547B7"/>
    <w:rsid w:val="00054D2D"/>
    <w:rsid w:val="00057894"/>
    <w:rsid w:val="00057CC6"/>
    <w:rsid w:val="000615A9"/>
    <w:rsid w:val="00061F39"/>
    <w:rsid w:val="00061FE1"/>
    <w:rsid w:val="000632D3"/>
    <w:rsid w:val="00063A74"/>
    <w:rsid w:val="00064805"/>
    <w:rsid w:val="0006585C"/>
    <w:rsid w:val="00065BB6"/>
    <w:rsid w:val="00067096"/>
    <w:rsid w:val="00067617"/>
    <w:rsid w:val="0007249F"/>
    <w:rsid w:val="00073739"/>
    <w:rsid w:val="00074A06"/>
    <w:rsid w:val="000753A5"/>
    <w:rsid w:val="000753BE"/>
    <w:rsid w:val="00080EAA"/>
    <w:rsid w:val="000830ED"/>
    <w:rsid w:val="000831E3"/>
    <w:rsid w:val="00083210"/>
    <w:rsid w:val="000855F9"/>
    <w:rsid w:val="000909C7"/>
    <w:rsid w:val="00092294"/>
    <w:rsid w:val="00094495"/>
    <w:rsid w:val="00094536"/>
    <w:rsid w:val="00094B28"/>
    <w:rsid w:val="00094C69"/>
    <w:rsid w:val="0009627D"/>
    <w:rsid w:val="00097BCD"/>
    <w:rsid w:val="00097D5C"/>
    <w:rsid w:val="000A0904"/>
    <w:rsid w:val="000A1291"/>
    <w:rsid w:val="000A169A"/>
    <w:rsid w:val="000A2A06"/>
    <w:rsid w:val="000A3B25"/>
    <w:rsid w:val="000A3B76"/>
    <w:rsid w:val="000A3FA4"/>
    <w:rsid w:val="000A4443"/>
    <w:rsid w:val="000A5958"/>
    <w:rsid w:val="000A682F"/>
    <w:rsid w:val="000B066F"/>
    <w:rsid w:val="000B205B"/>
    <w:rsid w:val="000B22BB"/>
    <w:rsid w:val="000B3202"/>
    <w:rsid w:val="000B4433"/>
    <w:rsid w:val="000B544E"/>
    <w:rsid w:val="000B60F7"/>
    <w:rsid w:val="000B62DA"/>
    <w:rsid w:val="000B662F"/>
    <w:rsid w:val="000B69C3"/>
    <w:rsid w:val="000B6E92"/>
    <w:rsid w:val="000B6EE5"/>
    <w:rsid w:val="000B7B4A"/>
    <w:rsid w:val="000C05A6"/>
    <w:rsid w:val="000C3B3E"/>
    <w:rsid w:val="000C40D3"/>
    <w:rsid w:val="000C4E89"/>
    <w:rsid w:val="000C6359"/>
    <w:rsid w:val="000C713D"/>
    <w:rsid w:val="000C7BCE"/>
    <w:rsid w:val="000D0646"/>
    <w:rsid w:val="000D06A7"/>
    <w:rsid w:val="000D0F5A"/>
    <w:rsid w:val="000D293B"/>
    <w:rsid w:val="000D2BFD"/>
    <w:rsid w:val="000D643A"/>
    <w:rsid w:val="000D6FE7"/>
    <w:rsid w:val="000E0021"/>
    <w:rsid w:val="000E142B"/>
    <w:rsid w:val="000E1E70"/>
    <w:rsid w:val="000E205E"/>
    <w:rsid w:val="000E2F6C"/>
    <w:rsid w:val="000E2FE4"/>
    <w:rsid w:val="000E4EA7"/>
    <w:rsid w:val="000E5415"/>
    <w:rsid w:val="000E5638"/>
    <w:rsid w:val="000E7962"/>
    <w:rsid w:val="000F00FB"/>
    <w:rsid w:val="000F174B"/>
    <w:rsid w:val="000F2793"/>
    <w:rsid w:val="000F3B50"/>
    <w:rsid w:val="000F4D02"/>
    <w:rsid w:val="000F5140"/>
    <w:rsid w:val="000F7342"/>
    <w:rsid w:val="000F7391"/>
    <w:rsid w:val="000F75BB"/>
    <w:rsid w:val="00101ACC"/>
    <w:rsid w:val="00102B56"/>
    <w:rsid w:val="0010351F"/>
    <w:rsid w:val="00103977"/>
    <w:rsid w:val="00105A87"/>
    <w:rsid w:val="00110074"/>
    <w:rsid w:val="001102BA"/>
    <w:rsid w:val="001117BD"/>
    <w:rsid w:val="0011613C"/>
    <w:rsid w:val="00117963"/>
    <w:rsid w:val="00121080"/>
    <w:rsid w:val="001225A8"/>
    <w:rsid w:val="00122FA7"/>
    <w:rsid w:val="00123279"/>
    <w:rsid w:val="00123638"/>
    <w:rsid w:val="00124254"/>
    <w:rsid w:val="00124B13"/>
    <w:rsid w:val="00124B1F"/>
    <w:rsid w:val="0012564B"/>
    <w:rsid w:val="001259F9"/>
    <w:rsid w:val="00125B2D"/>
    <w:rsid w:val="00126A76"/>
    <w:rsid w:val="00126D18"/>
    <w:rsid w:val="00127DA2"/>
    <w:rsid w:val="00127E3F"/>
    <w:rsid w:val="00131DB6"/>
    <w:rsid w:val="0013203F"/>
    <w:rsid w:val="00132113"/>
    <w:rsid w:val="0013249A"/>
    <w:rsid w:val="00133DDA"/>
    <w:rsid w:val="001345EE"/>
    <w:rsid w:val="001350C3"/>
    <w:rsid w:val="001355C2"/>
    <w:rsid w:val="00135B8C"/>
    <w:rsid w:val="0013734F"/>
    <w:rsid w:val="001406C0"/>
    <w:rsid w:val="0014136F"/>
    <w:rsid w:val="00142DBC"/>
    <w:rsid w:val="00143024"/>
    <w:rsid w:val="00143AB2"/>
    <w:rsid w:val="00143B6C"/>
    <w:rsid w:val="0014516B"/>
    <w:rsid w:val="001453D9"/>
    <w:rsid w:val="0014777D"/>
    <w:rsid w:val="001501C3"/>
    <w:rsid w:val="0015190A"/>
    <w:rsid w:val="00152C8D"/>
    <w:rsid w:val="00152DC1"/>
    <w:rsid w:val="0015300D"/>
    <w:rsid w:val="001531EF"/>
    <w:rsid w:val="0015322C"/>
    <w:rsid w:val="00154247"/>
    <w:rsid w:val="0015431F"/>
    <w:rsid w:val="00154B76"/>
    <w:rsid w:val="00154F3F"/>
    <w:rsid w:val="00157A8E"/>
    <w:rsid w:val="00160D3D"/>
    <w:rsid w:val="00162EB6"/>
    <w:rsid w:val="00164568"/>
    <w:rsid w:val="0016486C"/>
    <w:rsid w:val="00164BB2"/>
    <w:rsid w:val="00166F5D"/>
    <w:rsid w:val="0016739C"/>
    <w:rsid w:val="001701F0"/>
    <w:rsid w:val="001704E5"/>
    <w:rsid w:val="00172747"/>
    <w:rsid w:val="00174C27"/>
    <w:rsid w:val="00175020"/>
    <w:rsid w:val="00175C79"/>
    <w:rsid w:val="0017602E"/>
    <w:rsid w:val="00176A40"/>
    <w:rsid w:val="0018060C"/>
    <w:rsid w:val="001847FC"/>
    <w:rsid w:val="00184DD3"/>
    <w:rsid w:val="00186493"/>
    <w:rsid w:val="0018730E"/>
    <w:rsid w:val="00187327"/>
    <w:rsid w:val="00190434"/>
    <w:rsid w:val="00190BD5"/>
    <w:rsid w:val="001915E8"/>
    <w:rsid w:val="00194626"/>
    <w:rsid w:val="0019733A"/>
    <w:rsid w:val="001A0258"/>
    <w:rsid w:val="001A1152"/>
    <w:rsid w:val="001A18B9"/>
    <w:rsid w:val="001A1F1D"/>
    <w:rsid w:val="001A22C2"/>
    <w:rsid w:val="001A24DF"/>
    <w:rsid w:val="001A34A3"/>
    <w:rsid w:val="001A534C"/>
    <w:rsid w:val="001A593F"/>
    <w:rsid w:val="001A5C5B"/>
    <w:rsid w:val="001B13A2"/>
    <w:rsid w:val="001B14FC"/>
    <w:rsid w:val="001B4BFA"/>
    <w:rsid w:val="001B4CB7"/>
    <w:rsid w:val="001B6B7D"/>
    <w:rsid w:val="001B7208"/>
    <w:rsid w:val="001C124A"/>
    <w:rsid w:val="001C12DC"/>
    <w:rsid w:val="001C1ED2"/>
    <w:rsid w:val="001C21CD"/>
    <w:rsid w:val="001C297F"/>
    <w:rsid w:val="001C2AE8"/>
    <w:rsid w:val="001D1B3F"/>
    <w:rsid w:val="001D28C4"/>
    <w:rsid w:val="001D38F6"/>
    <w:rsid w:val="001D47DB"/>
    <w:rsid w:val="001D5415"/>
    <w:rsid w:val="001D5CE7"/>
    <w:rsid w:val="001D7CF8"/>
    <w:rsid w:val="001E16A6"/>
    <w:rsid w:val="001E40AF"/>
    <w:rsid w:val="001E4458"/>
    <w:rsid w:val="001E7C2C"/>
    <w:rsid w:val="001F0EF3"/>
    <w:rsid w:val="001F2638"/>
    <w:rsid w:val="001F3938"/>
    <w:rsid w:val="001F39FE"/>
    <w:rsid w:val="001F3CE1"/>
    <w:rsid w:val="001F4FA9"/>
    <w:rsid w:val="001F5D1D"/>
    <w:rsid w:val="001F6A04"/>
    <w:rsid w:val="001F6B1B"/>
    <w:rsid w:val="00201650"/>
    <w:rsid w:val="002019DB"/>
    <w:rsid w:val="0020332C"/>
    <w:rsid w:val="00203F62"/>
    <w:rsid w:val="002045CF"/>
    <w:rsid w:val="00204A05"/>
    <w:rsid w:val="002060F3"/>
    <w:rsid w:val="00207DBC"/>
    <w:rsid w:val="00210B49"/>
    <w:rsid w:val="0021105B"/>
    <w:rsid w:val="00215975"/>
    <w:rsid w:val="0021631E"/>
    <w:rsid w:val="00217683"/>
    <w:rsid w:val="00222581"/>
    <w:rsid w:val="00222E1B"/>
    <w:rsid w:val="00224DEC"/>
    <w:rsid w:val="002257DE"/>
    <w:rsid w:val="00227554"/>
    <w:rsid w:val="00230F2A"/>
    <w:rsid w:val="00231F7E"/>
    <w:rsid w:val="0023334D"/>
    <w:rsid w:val="00234362"/>
    <w:rsid w:val="0023464D"/>
    <w:rsid w:val="00234864"/>
    <w:rsid w:val="00234AE2"/>
    <w:rsid w:val="00235083"/>
    <w:rsid w:val="00235474"/>
    <w:rsid w:val="00241776"/>
    <w:rsid w:val="00242657"/>
    <w:rsid w:val="00242801"/>
    <w:rsid w:val="00242835"/>
    <w:rsid w:val="00242B78"/>
    <w:rsid w:val="00242DC6"/>
    <w:rsid w:val="00243049"/>
    <w:rsid w:val="00244771"/>
    <w:rsid w:val="0024586E"/>
    <w:rsid w:val="0024615A"/>
    <w:rsid w:val="00247159"/>
    <w:rsid w:val="00247867"/>
    <w:rsid w:val="00250A63"/>
    <w:rsid w:val="002526C5"/>
    <w:rsid w:val="002537CE"/>
    <w:rsid w:val="00254EF2"/>
    <w:rsid w:val="00257A6D"/>
    <w:rsid w:val="00260A37"/>
    <w:rsid w:val="002626A2"/>
    <w:rsid w:val="002627FA"/>
    <w:rsid w:val="0026299A"/>
    <w:rsid w:val="00264B25"/>
    <w:rsid w:val="00266C53"/>
    <w:rsid w:val="0027393E"/>
    <w:rsid w:val="00273B11"/>
    <w:rsid w:val="0027425D"/>
    <w:rsid w:val="00276FC2"/>
    <w:rsid w:val="002770AC"/>
    <w:rsid w:val="00277DE9"/>
    <w:rsid w:val="0028084A"/>
    <w:rsid w:val="00280C84"/>
    <w:rsid w:val="002823F4"/>
    <w:rsid w:val="00283ABC"/>
    <w:rsid w:val="00283D3C"/>
    <w:rsid w:val="002854D5"/>
    <w:rsid w:val="00287AEF"/>
    <w:rsid w:val="00287F13"/>
    <w:rsid w:val="00290875"/>
    <w:rsid w:val="00290C00"/>
    <w:rsid w:val="00291593"/>
    <w:rsid w:val="00292793"/>
    <w:rsid w:val="0029449B"/>
    <w:rsid w:val="002960D6"/>
    <w:rsid w:val="00296489"/>
    <w:rsid w:val="002A0BDC"/>
    <w:rsid w:val="002A1529"/>
    <w:rsid w:val="002A1667"/>
    <w:rsid w:val="002A254B"/>
    <w:rsid w:val="002A2DDA"/>
    <w:rsid w:val="002A2E94"/>
    <w:rsid w:val="002A4A88"/>
    <w:rsid w:val="002A61B0"/>
    <w:rsid w:val="002A6AED"/>
    <w:rsid w:val="002A6BBF"/>
    <w:rsid w:val="002A7FB6"/>
    <w:rsid w:val="002B122C"/>
    <w:rsid w:val="002B2453"/>
    <w:rsid w:val="002B2627"/>
    <w:rsid w:val="002B4A83"/>
    <w:rsid w:val="002B605B"/>
    <w:rsid w:val="002B66D8"/>
    <w:rsid w:val="002B77ED"/>
    <w:rsid w:val="002C0BEF"/>
    <w:rsid w:val="002C111D"/>
    <w:rsid w:val="002C1802"/>
    <w:rsid w:val="002C407D"/>
    <w:rsid w:val="002C6036"/>
    <w:rsid w:val="002C786C"/>
    <w:rsid w:val="002D09C5"/>
    <w:rsid w:val="002D16AD"/>
    <w:rsid w:val="002D54AF"/>
    <w:rsid w:val="002D5B5A"/>
    <w:rsid w:val="002D6374"/>
    <w:rsid w:val="002D6A81"/>
    <w:rsid w:val="002D6CC8"/>
    <w:rsid w:val="002E17B4"/>
    <w:rsid w:val="002E2149"/>
    <w:rsid w:val="002E26BE"/>
    <w:rsid w:val="002E2E79"/>
    <w:rsid w:val="002E304B"/>
    <w:rsid w:val="002E397B"/>
    <w:rsid w:val="002E520F"/>
    <w:rsid w:val="002F13CF"/>
    <w:rsid w:val="002F36BE"/>
    <w:rsid w:val="002F3883"/>
    <w:rsid w:val="002F3AF4"/>
    <w:rsid w:val="002F42F7"/>
    <w:rsid w:val="002F78FC"/>
    <w:rsid w:val="00300BC2"/>
    <w:rsid w:val="00302384"/>
    <w:rsid w:val="00306026"/>
    <w:rsid w:val="00311D92"/>
    <w:rsid w:val="0031232D"/>
    <w:rsid w:val="00312F8B"/>
    <w:rsid w:val="00314CFA"/>
    <w:rsid w:val="003175B2"/>
    <w:rsid w:val="003228DF"/>
    <w:rsid w:val="0032428E"/>
    <w:rsid w:val="00324481"/>
    <w:rsid w:val="00324EC5"/>
    <w:rsid w:val="003261A4"/>
    <w:rsid w:val="00327EE7"/>
    <w:rsid w:val="00330679"/>
    <w:rsid w:val="00330B4A"/>
    <w:rsid w:val="00330EB5"/>
    <w:rsid w:val="003324D0"/>
    <w:rsid w:val="00332AE6"/>
    <w:rsid w:val="00332DC8"/>
    <w:rsid w:val="00334154"/>
    <w:rsid w:val="0033418E"/>
    <w:rsid w:val="00335615"/>
    <w:rsid w:val="00340504"/>
    <w:rsid w:val="00340592"/>
    <w:rsid w:val="00340B3D"/>
    <w:rsid w:val="00340C09"/>
    <w:rsid w:val="00341070"/>
    <w:rsid w:val="0034543D"/>
    <w:rsid w:val="00345EE1"/>
    <w:rsid w:val="003466B6"/>
    <w:rsid w:val="00347B92"/>
    <w:rsid w:val="0035070D"/>
    <w:rsid w:val="00350DD6"/>
    <w:rsid w:val="003523F8"/>
    <w:rsid w:val="00360BE4"/>
    <w:rsid w:val="00360E98"/>
    <w:rsid w:val="00361207"/>
    <w:rsid w:val="00364040"/>
    <w:rsid w:val="003655DE"/>
    <w:rsid w:val="00365ACB"/>
    <w:rsid w:val="00366262"/>
    <w:rsid w:val="003704B1"/>
    <w:rsid w:val="00371A49"/>
    <w:rsid w:val="00374775"/>
    <w:rsid w:val="00374F34"/>
    <w:rsid w:val="0038159B"/>
    <w:rsid w:val="0038268C"/>
    <w:rsid w:val="00384491"/>
    <w:rsid w:val="0038456B"/>
    <w:rsid w:val="00384A96"/>
    <w:rsid w:val="003869B0"/>
    <w:rsid w:val="00386DBF"/>
    <w:rsid w:val="00387286"/>
    <w:rsid w:val="00390A8D"/>
    <w:rsid w:val="00390A9A"/>
    <w:rsid w:val="0039166E"/>
    <w:rsid w:val="00394659"/>
    <w:rsid w:val="003970AD"/>
    <w:rsid w:val="00397972"/>
    <w:rsid w:val="00397C94"/>
    <w:rsid w:val="003A318F"/>
    <w:rsid w:val="003A3D71"/>
    <w:rsid w:val="003A6018"/>
    <w:rsid w:val="003A7D36"/>
    <w:rsid w:val="003B1DFE"/>
    <w:rsid w:val="003B2189"/>
    <w:rsid w:val="003B2D0F"/>
    <w:rsid w:val="003B3685"/>
    <w:rsid w:val="003B5267"/>
    <w:rsid w:val="003B62EE"/>
    <w:rsid w:val="003B73DE"/>
    <w:rsid w:val="003C0430"/>
    <w:rsid w:val="003C1AA0"/>
    <w:rsid w:val="003C227F"/>
    <w:rsid w:val="003C3247"/>
    <w:rsid w:val="003C34C0"/>
    <w:rsid w:val="003C4216"/>
    <w:rsid w:val="003C4A14"/>
    <w:rsid w:val="003C4E4B"/>
    <w:rsid w:val="003C57DF"/>
    <w:rsid w:val="003C60D9"/>
    <w:rsid w:val="003C6EA7"/>
    <w:rsid w:val="003C7EDE"/>
    <w:rsid w:val="003D016C"/>
    <w:rsid w:val="003D0960"/>
    <w:rsid w:val="003D1636"/>
    <w:rsid w:val="003D1CCD"/>
    <w:rsid w:val="003D2217"/>
    <w:rsid w:val="003D260E"/>
    <w:rsid w:val="003D37A4"/>
    <w:rsid w:val="003D386C"/>
    <w:rsid w:val="003D7812"/>
    <w:rsid w:val="003E044F"/>
    <w:rsid w:val="003E0ADB"/>
    <w:rsid w:val="003E13AB"/>
    <w:rsid w:val="003E152B"/>
    <w:rsid w:val="003E2BCA"/>
    <w:rsid w:val="003E3D17"/>
    <w:rsid w:val="003E402C"/>
    <w:rsid w:val="003E4A2B"/>
    <w:rsid w:val="003E4E82"/>
    <w:rsid w:val="003E557D"/>
    <w:rsid w:val="003E6F91"/>
    <w:rsid w:val="003E701A"/>
    <w:rsid w:val="003F0397"/>
    <w:rsid w:val="003F0600"/>
    <w:rsid w:val="003F4294"/>
    <w:rsid w:val="003F6692"/>
    <w:rsid w:val="003F72FE"/>
    <w:rsid w:val="00402C3F"/>
    <w:rsid w:val="00402FA8"/>
    <w:rsid w:val="00403A98"/>
    <w:rsid w:val="00403BA5"/>
    <w:rsid w:val="00403E0D"/>
    <w:rsid w:val="00404431"/>
    <w:rsid w:val="004044D7"/>
    <w:rsid w:val="004072BD"/>
    <w:rsid w:val="00410624"/>
    <w:rsid w:val="0041228F"/>
    <w:rsid w:val="00414783"/>
    <w:rsid w:val="00415489"/>
    <w:rsid w:val="00416AF0"/>
    <w:rsid w:val="00416D38"/>
    <w:rsid w:val="00417176"/>
    <w:rsid w:val="00417A13"/>
    <w:rsid w:val="004200CF"/>
    <w:rsid w:val="00422AE9"/>
    <w:rsid w:val="0042334C"/>
    <w:rsid w:val="0042456E"/>
    <w:rsid w:val="00427FBC"/>
    <w:rsid w:val="00430608"/>
    <w:rsid w:val="00436A9E"/>
    <w:rsid w:val="004403A5"/>
    <w:rsid w:val="004417B3"/>
    <w:rsid w:val="00441AA3"/>
    <w:rsid w:val="00442EDB"/>
    <w:rsid w:val="004430FE"/>
    <w:rsid w:val="00452BC7"/>
    <w:rsid w:val="00453C30"/>
    <w:rsid w:val="00454CFF"/>
    <w:rsid w:val="0045529C"/>
    <w:rsid w:val="0046015F"/>
    <w:rsid w:val="00460C76"/>
    <w:rsid w:val="00461161"/>
    <w:rsid w:val="004618B0"/>
    <w:rsid w:val="0046324B"/>
    <w:rsid w:val="00463656"/>
    <w:rsid w:val="00464A8C"/>
    <w:rsid w:val="00464CD9"/>
    <w:rsid w:val="00466889"/>
    <w:rsid w:val="0046696F"/>
    <w:rsid w:val="00466CD7"/>
    <w:rsid w:val="00467DF5"/>
    <w:rsid w:val="00471BDE"/>
    <w:rsid w:val="00471FA9"/>
    <w:rsid w:val="00472219"/>
    <w:rsid w:val="004724C4"/>
    <w:rsid w:val="0047293A"/>
    <w:rsid w:val="004735C8"/>
    <w:rsid w:val="00474010"/>
    <w:rsid w:val="004749BD"/>
    <w:rsid w:val="00475D63"/>
    <w:rsid w:val="00476602"/>
    <w:rsid w:val="00477259"/>
    <w:rsid w:val="0047736F"/>
    <w:rsid w:val="00477C3A"/>
    <w:rsid w:val="00477F34"/>
    <w:rsid w:val="004801C3"/>
    <w:rsid w:val="004802DC"/>
    <w:rsid w:val="00481740"/>
    <w:rsid w:val="0048333F"/>
    <w:rsid w:val="00484212"/>
    <w:rsid w:val="00491DA7"/>
    <w:rsid w:val="00492809"/>
    <w:rsid w:val="00493D36"/>
    <w:rsid w:val="00493F90"/>
    <w:rsid w:val="00494CE0"/>
    <w:rsid w:val="00494CE6"/>
    <w:rsid w:val="00495F68"/>
    <w:rsid w:val="00495F89"/>
    <w:rsid w:val="004967F8"/>
    <w:rsid w:val="004A04AF"/>
    <w:rsid w:val="004A056C"/>
    <w:rsid w:val="004A0C56"/>
    <w:rsid w:val="004A11B7"/>
    <w:rsid w:val="004A2367"/>
    <w:rsid w:val="004A4A33"/>
    <w:rsid w:val="004A4F9A"/>
    <w:rsid w:val="004A5BE0"/>
    <w:rsid w:val="004A5D53"/>
    <w:rsid w:val="004B122D"/>
    <w:rsid w:val="004B378B"/>
    <w:rsid w:val="004B45DA"/>
    <w:rsid w:val="004B49FA"/>
    <w:rsid w:val="004B52D8"/>
    <w:rsid w:val="004B787B"/>
    <w:rsid w:val="004B7A3D"/>
    <w:rsid w:val="004C0245"/>
    <w:rsid w:val="004C097A"/>
    <w:rsid w:val="004C15C8"/>
    <w:rsid w:val="004C2502"/>
    <w:rsid w:val="004C2ACF"/>
    <w:rsid w:val="004C3779"/>
    <w:rsid w:val="004C48EA"/>
    <w:rsid w:val="004C717F"/>
    <w:rsid w:val="004D08D0"/>
    <w:rsid w:val="004D09BA"/>
    <w:rsid w:val="004D1934"/>
    <w:rsid w:val="004D2155"/>
    <w:rsid w:val="004D242A"/>
    <w:rsid w:val="004D3431"/>
    <w:rsid w:val="004D58A0"/>
    <w:rsid w:val="004D72A8"/>
    <w:rsid w:val="004E04AD"/>
    <w:rsid w:val="004E07C1"/>
    <w:rsid w:val="004E0F7A"/>
    <w:rsid w:val="004E28FC"/>
    <w:rsid w:val="004E3356"/>
    <w:rsid w:val="004E5620"/>
    <w:rsid w:val="004E6315"/>
    <w:rsid w:val="004E6601"/>
    <w:rsid w:val="004E7652"/>
    <w:rsid w:val="004F662C"/>
    <w:rsid w:val="004F6C0F"/>
    <w:rsid w:val="004F73BD"/>
    <w:rsid w:val="004F7701"/>
    <w:rsid w:val="005012E7"/>
    <w:rsid w:val="005019D8"/>
    <w:rsid w:val="00501F3C"/>
    <w:rsid w:val="005028AF"/>
    <w:rsid w:val="005029B4"/>
    <w:rsid w:val="005034FB"/>
    <w:rsid w:val="00506596"/>
    <w:rsid w:val="00506E2A"/>
    <w:rsid w:val="00510CD4"/>
    <w:rsid w:val="00512E17"/>
    <w:rsid w:val="0051413D"/>
    <w:rsid w:val="00514746"/>
    <w:rsid w:val="00515B38"/>
    <w:rsid w:val="005162C6"/>
    <w:rsid w:val="005163BC"/>
    <w:rsid w:val="00520157"/>
    <w:rsid w:val="00520DC1"/>
    <w:rsid w:val="0052135E"/>
    <w:rsid w:val="005225B2"/>
    <w:rsid w:val="0052462B"/>
    <w:rsid w:val="005271AC"/>
    <w:rsid w:val="005309E6"/>
    <w:rsid w:val="00530B17"/>
    <w:rsid w:val="005323B8"/>
    <w:rsid w:val="0053506B"/>
    <w:rsid w:val="005367B7"/>
    <w:rsid w:val="00536C35"/>
    <w:rsid w:val="00536E6F"/>
    <w:rsid w:val="00537C15"/>
    <w:rsid w:val="00540B6B"/>
    <w:rsid w:val="0054138E"/>
    <w:rsid w:val="00541441"/>
    <w:rsid w:val="005421CC"/>
    <w:rsid w:val="00542FAF"/>
    <w:rsid w:val="00543D23"/>
    <w:rsid w:val="005453BB"/>
    <w:rsid w:val="0054602D"/>
    <w:rsid w:val="00547B14"/>
    <w:rsid w:val="005512CE"/>
    <w:rsid w:val="0055238D"/>
    <w:rsid w:val="005533A8"/>
    <w:rsid w:val="00553E10"/>
    <w:rsid w:val="005563A4"/>
    <w:rsid w:val="00556712"/>
    <w:rsid w:val="00557007"/>
    <w:rsid w:val="00557090"/>
    <w:rsid w:val="005601DA"/>
    <w:rsid w:val="00560E24"/>
    <w:rsid w:val="005645D9"/>
    <w:rsid w:val="00566E41"/>
    <w:rsid w:val="00567943"/>
    <w:rsid w:val="00567EF3"/>
    <w:rsid w:val="0057071B"/>
    <w:rsid w:val="00572BF2"/>
    <w:rsid w:val="005760A0"/>
    <w:rsid w:val="00582141"/>
    <w:rsid w:val="00584327"/>
    <w:rsid w:val="0058454F"/>
    <w:rsid w:val="00584551"/>
    <w:rsid w:val="00585694"/>
    <w:rsid w:val="0058625C"/>
    <w:rsid w:val="00586D65"/>
    <w:rsid w:val="00587DF8"/>
    <w:rsid w:val="00593A42"/>
    <w:rsid w:val="0059576D"/>
    <w:rsid w:val="00595CD8"/>
    <w:rsid w:val="005969F7"/>
    <w:rsid w:val="005A0D8A"/>
    <w:rsid w:val="005A342F"/>
    <w:rsid w:val="005A5028"/>
    <w:rsid w:val="005A7686"/>
    <w:rsid w:val="005B1527"/>
    <w:rsid w:val="005B2B09"/>
    <w:rsid w:val="005B3CFC"/>
    <w:rsid w:val="005B7FCA"/>
    <w:rsid w:val="005C00A5"/>
    <w:rsid w:val="005C44BE"/>
    <w:rsid w:val="005C457A"/>
    <w:rsid w:val="005C688D"/>
    <w:rsid w:val="005D0B08"/>
    <w:rsid w:val="005D311B"/>
    <w:rsid w:val="005D625C"/>
    <w:rsid w:val="005D6CF6"/>
    <w:rsid w:val="005D76A6"/>
    <w:rsid w:val="005D7CAB"/>
    <w:rsid w:val="005E0796"/>
    <w:rsid w:val="005E470D"/>
    <w:rsid w:val="005E6FBE"/>
    <w:rsid w:val="005E7177"/>
    <w:rsid w:val="005F46FE"/>
    <w:rsid w:val="005F48D0"/>
    <w:rsid w:val="005F541D"/>
    <w:rsid w:val="005F6111"/>
    <w:rsid w:val="005F7608"/>
    <w:rsid w:val="00600534"/>
    <w:rsid w:val="006010A0"/>
    <w:rsid w:val="00601306"/>
    <w:rsid w:val="0060421F"/>
    <w:rsid w:val="00610FA5"/>
    <w:rsid w:val="00611F46"/>
    <w:rsid w:val="00612556"/>
    <w:rsid w:val="0061262A"/>
    <w:rsid w:val="006129E4"/>
    <w:rsid w:val="0061606F"/>
    <w:rsid w:val="00617D75"/>
    <w:rsid w:val="006211D7"/>
    <w:rsid w:val="006221EB"/>
    <w:rsid w:val="00623034"/>
    <w:rsid w:val="00625960"/>
    <w:rsid w:val="00626612"/>
    <w:rsid w:val="00630634"/>
    <w:rsid w:val="006308FA"/>
    <w:rsid w:val="0063327B"/>
    <w:rsid w:val="00634671"/>
    <w:rsid w:val="006370D9"/>
    <w:rsid w:val="006379CA"/>
    <w:rsid w:val="00640214"/>
    <w:rsid w:val="00641491"/>
    <w:rsid w:val="006415A6"/>
    <w:rsid w:val="0064285B"/>
    <w:rsid w:val="00642FD8"/>
    <w:rsid w:val="006442D6"/>
    <w:rsid w:val="0064564E"/>
    <w:rsid w:val="00645F24"/>
    <w:rsid w:val="00646FE2"/>
    <w:rsid w:val="00652939"/>
    <w:rsid w:val="00652DED"/>
    <w:rsid w:val="00654420"/>
    <w:rsid w:val="00655C89"/>
    <w:rsid w:val="006575F7"/>
    <w:rsid w:val="006576B9"/>
    <w:rsid w:val="00660C3A"/>
    <w:rsid w:val="00661F8F"/>
    <w:rsid w:val="00663048"/>
    <w:rsid w:val="00663C1A"/>
    <w:rsid w:val="006650E6"/>
    <w:rsid w:val="00666245"/>
    <w:rsid w:val="0066730A"/>
    <w:rsid w:val="00667C94"/>
    <w:rsid w:val="00671EA2"/>
    <w:rsid w:val="00672AEA"/>
    <w:rsid w:val="00672EAB"/>
    <w:rsid w:val="0067555B"/>
    <w:rsid w:val="006762FC"/>
    <w:rsid w:val="00676B32"/>
    <w:rsid w:val="006802B1"/>
    <w:rsid w:val="00683347"/>
    <w:rsid w:val="00684C63"/>
    <w:rsid w:val="00684F42"/>
    <w:rsid w:val="00685136"/>
    <w:rsid w:val="0068752C"/>
    <w:rsid w:val="00691B98"/>
    <w:rsid w:val="00691E5B"/>
    <w:rsid w:val="00695EE1"/>
    <w:rsid w:val="00696561"/>
    <w:rsid w:val="006A2175"/>
    <w:rsid w:val="006A47F3"/>
    <w:rsid w:val="006A6697"/>
    <w:rsid w:val="006A7F21"/>
    <w:rsid w:val="006B1EC9"/>
    <w:rsid w:val="006B28D3"/>
    <w:rsid w:val="006B4430"/>
    <w:rsid w:val="006B49C1"/>
    <w:rsid w:val="006B5FC0"/>
    <w:rsid w:val="006B6E4D"/>
    <w:rsid w:val="006C071B"/>
    <w:rsid w:val="006C11C2"/>
    <w:rsid w:val="006C2FE9"/>
    <w:rsid w:val="006C3C19"/>
    <w:rsid w:val="006C4141"/>
    <w:rsid w:val="006C439D"/>
    <w:rsid w:val="006C4C16"/>
    <w:rsid w:val="006D0158"/>
    <w:rsid w:val="006D15CF"/>
    <w:rsid w:val="006D16D6"/>
    <w:rsid w:val="006D2417"/>
    <w:rsid w:val="006D2DE3"/>
    <w:rsid w:val="006D3AD6"/>
    <w:rsid w:val="006D3BCE"/>
    <w:rsid w:val="006D40D8"/>
    <w:rsid w:val="006D5217"/>
    <w:rsid w:val="006D783D"/>
    <w:rsid w:val="006E0F72"/>
    <w:rsid w:val="006E16F0"/>
    <w:rsid w:val="006E2073"/>
    <w:rsid w:val="006E2D8D"/>
    <w:rsid w:val="006E3346"/>
    <w:rsid w:val="006E3846"/>
    <w:rsid w:val="006E39DE"/>
    <w:rsid w:val="006E5A7E"/>
    <w:rsid w:val="006E64FC"/>
    <w:rsid w:val="006E6D15"/>
    <w:rsid w:val="006F1556"/>
    <w:rsid w:val="006F4130"/>
    <w:rsid w:val="006F6C36"/>
    <w:rsid w:val="006F7543"/>
    <w:rsid w:val="006F79BE"/>
    <w:rsid w:val="007003DF"/>
    <w:rsid w:val="007008E3"/>
    <w:rsid w:val="0070092D"/>
    <w:rsid w:val="00700C02"/>
    <w:rsid w:val="00704275"/>
    <w:rsid w:val="007056BC"/>
    <w:rsid w:val="007069EC"/>
    <w:rsid w:val="00711059"/>
    <w:rsid w:val="007116A9"/>
    <w:rsid w:val="007124B8"/>
    <w:rsid w:val="00715538"/>
    <w:rsid w:val="00715C01"/>
    <w:rsid w:val="007239A1"/>
    <w:rsid w:val="007244F6"/>
    <w:rsid w:val="00727643"/>
    <w:rsid w:val="007318D8"/>
    <w:rsid w:val="00733D9E"/>
    <w:rsid w:val="007347A5"/>
    <w:rsid w:val="007354AB"/>
    <w:rsid w:val="00737BC9"/>
    <w:rsid w:val="00741ED4"/>
    <w:rsid w:val="007444A7"/>
    <w:rsid w:val="00744D10"/>
    <w:rsid w:val="007464B7"/>
    <w:rsid w:val="00751ADE"/>
    <w:rsid w:val="007563D1"/>
    <w:rsid w:val="00756A09"/>
    <w:rsid w:val="007576B6"/>
    <w:rsid w:val="007576FC"/>
    <w:rsid w:val="00760AB1"/>
    <w:rsid w:val="00760D3E"/>
    <w:rsid w:val="00762929"/>
    <w:rsid w:val="00762E23"/>
    <w:rsid w:val="0076536B"/>
    <w:rsid w:val="00765908"/>
    <w:rsid w:val="00766439"/>
    <w:rsid w:val="007664F4"/>
    <w:rsid w:val="00766BCD"/>
    <w:rsid w:val="007679E4"/>
    <w:rsid w:val="007726AA"/>
    <w:rsid w:val="00773786"/>
    <w:rsid w:val="00775169"/>
    <w:rsid w:val="007776A0"/>
    <w:rsid w:val="0078048D"/>
    <w:rsid w:val="00780924"/>
    <w:rsid w:val="0078110F"/>
    <w:rsid w:val="007816DD"/>
    <w:rsid w:val="00781B3E"/>
    <w:rsid w:val="00781E8C"/>
    <w:rsid w:val="00782475"/>
    <w:rsid w:val="00782D92"/>
    <w:rsid w:val="00785C93"/>
    <w:rsid w:val="00785CBB"/>
    <w:rsid w:val="007867EB"/>
    <w:rsid w:val="00787E57"/>
    <w:rsid w:val="0079269B"/>
    <w:rsid w:val="00792BF4"/>
    <w:rsid w:val="00793E8C"/>
    <w:rsid w:val="007947EE"/>
    <w:rsid w:val="00795648"/>
    <w:rsid w:val="007977B7"/>
    <w:rsid w:val="00797B31"/>
    <w:rsid w:val="00797EDB"/>
    <w:rsid w:val="007A082D"/>
    <w:rsid w:val="007A0D23"/>
    <w:rsid w:val="007A129D"/>
    <w:rsid w:val="007A17AC"/>
    <w:rsid w:val="007A666F"/>
    <w:rsid w:val="007A724F"/>
    <w:rsid w:val="007A7BAA"/>
    <w:rsid w:val="007B298E"/>
    <w:rsid w:val="007B2B34"/>
    <w:rsid w:val="007B40F6"/>
    <w:rsid w:val="007B51F3"/>
    <w:rsid w:val="007B6241"/>
    <w:rsid w:val="007B6BB0"/>
    <w:rsid w:val="007B7371"/>
    <w:rsid w:val="007C3296"/>
    <w:rsid w:val="007C4298"/>
    <w:rsid w:val="007C75EF"/>
    <w:rsid w:val="007D05F9"/>
    <w:rsid w:val="007D1825"/>
    <w:rsid w:val="007D414C"/>
    <w:rsid w:val="007D4875"/>
    <w:rsid w:val="007D6B1E"/>
    <w:rsid w:val="007D71B9"/>
    <w:rsid w:val="007D7A1A"/>
    <w:rsid w:val="007E0916"/>
    <w:rsid w:val="007E0A22"/>
    <w:rsid w:val="007E2119"/>
    <w:rsid w:val="007E243D"/>
    <w:rsid w:val="007E38C9"/>
    <w:rsid w:val="007E464B"/>
    <w:rsid w:val="007E517E"/>
    <w:rsid w:val="007E5A56"/>
    <w:rsid w:val="007E5AF8"/>
    <w:rsid w:val="007E5CB8"/>
    <w:rsid w:val="007E65B2"/>
    <w:rsid w:val="007E795C"/>
    <w:rsid w:val="007E7AA2"/>
    <w:rsid w:val="007E7FDB"/>
    <w:rsid w:val="007F2363"/>
    <w:rsid w:val="007F2BB3"/>
    <w:rsid w:val="007F4347"/>
    <w:rsid w:val="007F4C10"/>
    <w:rsid w:val="007F5087"/>
    <w:rsid w:val="008009A2"/>
    <w:rsid w:val="00801D4F"/>
    <w:rsid w:val="00802564"/>
    <w:rsid w:val="008030F8"/>
    <w:rsid w:val="00805169"/>
    <w:rsid w:val="008064ED"/>
    <w:rsid w:val="00810355"/>
    <w:rsid w:val="00812AE1"/>
    <w:rsid w:val="00814023"/>
    <w:rsid w:val="00814766"/>
    <w:rsid w:val="00815610"/>
    <w:rsid w:val="008157C2"/>
    <w:rsid w:val="00815A73"/>
    <w:rsid w:val="00815E1D"/>
    <w:rsid w:val="00816AFD"/>
    <w:rsid w:val="00816C02"/>
    <w:rsid w:val="00816E6F"/>
    <w:rsid w:val="00817AE4"/>
    <w:rsid w:val="008211E3"/>
    <w:rsid w:val="00821304"/>
    <w:rsid w:val="00821B2B"/>
    <w:rsid w:val="008230AF"/>
    <w:rsid w:val="00823699"/>
    <w:rsid w:val="00823F13"/>
    <w:rsid w:val="00824CB8"/>
    <w:rsid w:val="0082727F"/>
    <w:rsid w:val="00830214"/>
    <w:rsid w:val="008305DF"/>
    <w:rsid w:val="00833B4E"/>
    <w:rsid w:val="008411A9"/>
    <w:rsid w:val="00841F0F"/>
    <w:rsid w:val="00843A25"/>
    <w:rsid w:val="008446B4"/>
    <w:rsid w:val="00844853"/>
    <w:rsid w:val="0084589A"/>
    <w:rsid w:val="00846C08"/>
    <w:rsid w:val="0084746D"/>
    <w:rsid w:val="00850A62"/>
    <w:rsid w:val="00850B41"/>
    <w:rsid w:val="00850F37"/>
    <w:rsid w:val="0085286F"/>
    <w:rsid w:val="00852E8D"/>
    <w:rsid w:val="00853000"/>
    <w:rsid w:val="00853187"/>
    <w:rsid w:val="00853FA3"/>
    <w:rsid w:val="008541A9"/>
    <w:rsid w:val="00855A6B"/>
    <w:rsid w:val="0086084D"/>
    <w:rsid w:val="00861A9B"/>
    <w:rsid w:val="00864E43"/>
    <w:rsid w:val="00864F85"/>
    <w:rsid w:val="0086568E"/>
    <w:rsid w:val="00865C3C"/>
    <w:rsid w:val="00866499"/>
    <w:rsid w:val="00867095"/>
    <w:rsid w:val="00870782"/>
    <w:rsid w:val="00870DCB"/>
    <w:rsid w:val="00870F0A"/>
    <w:rsid w:val="00872716"/>
    <w:rsid w:val="0087484E"/>
    <w:rsid w:val="008756FD"/>
    <w:rsid w:val="00876A1F"/>
    <w:rsid w:val="00880036"/>
    <w:rsid w:val="00881945"/>
    <w:rsid w:val="00882679"/>
    <w:rsid w:val="00882F5B"/>
    <w:rsid w:val="0088521E"/>
    <w:rsid w:val="008852B5"/>
    <w:rsid w:val="00886B4C"/>
    <w:rsid w:val="00892BFF"/>
    <w:rsid w:val="008947DC"/>
    <w:rsid w:val="00894B6D"/>
    <w:rsid w:val="00894C66"/>
    <w:rsid w:val="00895D9A"/>
    <w:rsid w:val="00897278"/>
    <w:rsid w:val="00897693"/>
    <w:rsid w:val="008A2B42"/>
    <w:rsid w:val="008A30BD"/>
    <w:rsid w:val="008A7C3F"/>
    <w:rsid w:val="008A7E94"/>
    <w:rsid w:val="008A7F51"/>
    <w:rsid w:val="008B0E14"/>
    <w:rsid w:val="008B1BF4"/>
    <w:rsid w:val="008B2419"/>
    <w:rsid w:val="008B2BA3"/>
    <w:rsid w:val="008B5CEE"/>
    <w:rsid w:val="008B79F7"/>
    <w:rsid w:val="008C0943"/>
    <w:rsid w:val="008C1018"/>
    <w:rsid w:val="008C3327"/>
    <w:rsid w:val="008C47D2"/>
    <w:rsid w:val="008C515F"/>
    <w:rsid w:val="008C5F2F"/>
    <w:rsid w:val="008C71E5"/>
    <w:rsid w:val="008C7BB4"/>
    <w:rsid w:val="008D067A"/>
    <w:rsid w:val="008D47D5"/>
    <w:rsid w:val="008D67AA"/>
    <w:rsid w:val="008D6E27"/>
    <w:rsid w:val="008D7885"/>
    <w:rsid w:val="008E13B8"/>
    <w:rsid w:val="008E1D7B"/>
    <w:rsid w:val="008E36F8"/>
    <w:rsid w:val="008E475A"/>
    <w:rsid w:val="008E6E52"/>
    <w:rsid w:val="008E6E7E"/>
    <w:rsid w:val="008E70B8"/>
    <w:rsid w:val="008E7663"/>
    <w:rsid w:val="008F489E"/>
    <w:rsid w:val="008F4A7B"/>
    <w:rsid w:val="008F4CE0"/>
    <w:rsid w:val="008F5413"/>
    <w:rsid w:val="008F5E3C"/>
    <w:rsid w:val="008F63E0"/>
    <w:rsid w:val="008F7E47"/>
    <w:rsid w:val="00900C48"/>
    <w:rsid w:val="00902200"/>
    <w:rsid w:val="00903317"/>
    <w:rsid w:val="00903F87"/>
    <w:rsid w:val="00904D4A"/>
    <w:rsid w:val="00905E2D"/>
    <w:rsid w:val="00910279"/>
    <w:rsid w:val="00911C22"/>
    <w:rsid w:val="0091258E"/>
    <w:rsid w:val="00913BEA"/>
    <w:rsid w:val="0091565B"/>
    <w:rsid w:val="009158A1"/>
    <w:rsid w:val="009214E6"/>
    <w:rsid w:val="00923047"/>
    <w:rsid w:val="00927177"/>
    <w:rsid w:val="00927C82"/>
    <w:rsid w:val="00931136"/>
    <w:rsid w:val="0093326C"/>
    <w:rsid w:val="00933E51"/>
    <w:rsid w:val="00934D07"/>
    <w:rsid w:val="00935777"/>
    <w:rsid w:val="00935F21"/>
    <w:rsid w:val="00937920"/>
    <w:rsid w:val="00940579"/>
    <w:rsid w:val="00941368"/>
    <w:rsid w:val="00941471"/>
    <w:rsid w:val="00942600"/>
    <w:rsid w:val="009432DE"/>
    <w:rsid w:val="009433A9"/>
    <w:rsid w:val="00944D29"/>
    <w:rsid w:val="0094516E"/>
    <w:rsid w:val="0094722F"/>
    <w:rsid w:val="0094762E"/>
    <w:rsid w:val="009545EE"/>
    <w:rsid w:val="00955BDE"/>
    <w:rsid w:val="00956208"/>
    <w:rsid w:val="00956270"/>
    <w:rsid w:val="009609F2"/>
    <w:rsid w:val="0096237D"/>
    <w:rsid w:val="00962E58"/>
    <w:rsid w:val="00962EA7"/>
    <w:rsid w:val="00963206"/>
    <w:rsid w:val="00963B57"/>
    <w:rsid w:val="00964AD3"/>
    <w:rsid w:val="00965830"/>
    <w:rsid w:val="00966262"/>
    <w:rsid w:val="009671DD"/>
    <w:rsid w:val="0096742D"/>
    <w:rsid w:val="0096770D"/>
    <w:rsid w:val="009679A5"/>
    <w:rsid w:val="00971756"/>
    <w:rsid w:val="00972DDF"/>
    <w:rsid w:val="00973883"/>
    <w:rsid w:val="009746C8"/>
    <w:rsid w:val="009830B7"/>
    <w:rsid w:val="0098428A"/>
    <w:rsid w:val="009847BE"/>
    <w:rsid w:val="00985743"/>
    <w:rsid w:val="009861EB"/>
    <w:rsid w:val="00987DBA"/>
    <w:rsid w:val="00990A33"/>
    <w:rsid w:val="00990B46"/>
    <w:rsid w:val="009912FA"/>
    <w:rsid w:val="00991A1D"/>
    <w:rsid w:val="009941CA"/>
    <w:rsid w:val="0099509F"/>
    <w:rsid w:val="00996686"/>
    <w:rsid w:val="00997DDA"/>
    <w:rsid w:val="009A1338"/>
    <w:rsid w:val="009A1EA4"/>
    <w:rsid w:val="009B0435"/>
    <w:rsid w:val="009B04D2"/>
    <w:rsid w:val="009B1286"/>
    <w:rsid w:val="009B1646"/>
    <w:rsid w:val="009B3183"/>
    <w:rsid w:val="009B3407"/>
    <w:rsid w:val="009B3499"/>
    <w:rsid w:val="009B5B0A"/>
    <w:rsid w:val="009B5FD9"/>
    <w:rsid w:val="009B6055"/>
    <w:rsid w:val="009B658C"/>
    <w:rsid w:val="009C02CE"/>
    <w:rsid w:val="009C0837"/>
    <w:rsid w:val="009C0D95"/>
    <w:rsid w:val="009C11B0"/>
    <w:rsid w:val="009C16B8"/>
    <w:rsid w:val="009C1B27"/>
    <w:rsid w:val="009C1B42"/>
    <w:rsid w:val="009C2560"/>
    <w:rsid w:val="009C3923"/>
    <w:rsid w:val="009C6774"/>
    <w:rsid w:val="009C7780"/>
    <w:rsid w:val="009C77B4"/>
    <w:rsid w:val="009D03C0"/>
    <w:rsid w:val="009D15C1"/>
    <w:rsid w:val="009D1D32"/>
    <w:rsid w:val="009D270C"/>
    <w:rsid w:val="009D4A68"/>
    <w:rsid w:val="009D4D22"/>
    <w:rsid w:val="009D6168"/>
    <w:rsid w:val="009D6B2E"/>
    <w:rsid w:val="009D7546"/>
    <w:rsid w:val="009E1E51"/>
    <w:rsid w:val="009E30F8"/>
    <w:rsid w:val="009E413A"/>
    <w:rsid w:val="009E48D4"/>
    <w:rsid w:val="009E4FA5"/>
    <w:rsid w:val="009E5408"/>
    <w:rsid w:val="009E59B1"/>
    <w:rsid w:val="009E5ECA"/>
    <w:rsid w:val="009F0A1E"/>
    <w:rsid w:val="009F0DF9"/>
    <w:rsid w:val="009F224A"/>
    <w:rsid w:val="009F2903"/>
    <w:rsid w:val="009F4AF2"/>
    <w:rsid w:val="009F5584"/>
    <w:rsid w:val="009F5D01"/>
    <w:rsid w:val="009F7EB1"/>
    <w:rsid w:val="00A004AC"/>
    <w:rsid w:val="00A00CA9"/>
    <w:rsid w:val="00A02A0B"/>
    <w:rsid w:val="00A030AF"/>
    <w:rsid w:val="00A03930"/>
    <w:rsid w:val="00A04033"/>
    <w:rsid w:val="00A05597"/>
    <w:rsid w:val="00A05900"/>
    <w:rsid w:val="00A06021"/>
    <w:rsid w:val="00A07211"/>
    <w:rsid w:val="00A116AF"/>
    <w:rsid w:val="00A128B1"/>
    <w:rsid w:val="00A12D3D"/>
    <w:rsid w:val="00A14B2A"/>
    <w:rsid w:val="00A1536A"/>
    <w:rsid w:val="00A15BE0"/>
    <w:rsid w:val="00A16A13"/>
    <w:rsid w:val="00A1755C"/>
    <w:rsid w:val="00A17607"/>
    <w:rsid w:val="00A20007"/>
    <w:rsid w:val="00A2005B"/>
    <w:rsid w:val="00A21034"/>
    <w:rsid w:val="00A24785"/>
    <w:rsid w:val="00A24DDF"/>
    <w:rsid w:val="00A30283"/>
    <w:rsid w:val="00A30A02"/>
    <w:rsid w:val="00A31081"/>
    <w:rsid w:val="00A326F0"/>
    <w:rsid w:val="00A3527C"/>
    <w:rsid w:val="00A35580"/>
    <w:rsid w:val="00A36A57"/>
    <w:rsid w:val="00A40FD3"/>
    <w:rsid w:val="00A414A9"/>
    <w:rsid w:val="00A42E0B"/>
    <w:rsid w:val="00A445A5"/>
    <w:rsid w:val="00A44EE9"/>
    <w:rsid w:val="00A45A1D"/>
    <w:rsid w:val="00A51C67"/>
    <w:rsid w:val="00A53B47"/>
    <w:rsid w:val="00A55A75"/>
    <w:rsid w:val="00A5729C"/>
    <w:rsid w:val="00A60893"/>
    <w:rsid w:val="00A61791"/>
    <w:rsid w:val="00A65EBE"/>
    <w:rsid w:val="00A6613B"/>
    <w:rsid w:val="00A66353"/>
    <w:rsid w:val="00A70593"/>
    <w:rsid w:val="00A72188"/>
    <w:rsid w:val="00A74070"/>
    <w:rsid w:val="00A74CFA"/>
    <w:rsid w:val="00A751DE"/>
    <w:rsid w:val="00A75205"/>
    <w:rsid w:val="00A75C76"/>
    <w:rsid w:val="00A77C87"/>
    <w:rsid w:val="00A80385"/>
    <w:rsid w:val="00A80656"/>
    <w:rsid w:val="00A8120C"/>
    <w:rsid w:val="00A81D8A"/>
    <w:rsid w:val="00A82AA5"/>
    <w:rsid w:val="00A82AE8"/>
    <w:rsid w:val="00A840E7"/>
    <w:rsid w:val="00A846C8"/>
    <w:rsid w:val="00A84E62"/>
    <w:rsid w:val="00A8505B"/>
    <w:rsid w:val="00A8522C"/>
    <w:rsid w:val="00A85C6C"/>
    <w:rsid w:val="00A86731"/>
    <w:rsid w:val="00A93994"/>
    <w:rsid w:val="00A966BD"/>
    <w:rsid w:val="00A97943"/>
    <w:rsid w:val="00AA2A3D"/>
    <w:rsid w:val="00AA3067"/>
    <w:rsid w:val="00AA56C1"/>
    <w:rsid w:val="00AB126B"/>
    <w:rsid w:val="00AB6304"/>
    <w:rsid w:val="00AB6AF9"/>
    <w:rsid w:val="00AB6EF1"/>
    <w:rsid w:val="00AC12BC"/>
    <w:rsid w:val="00AC2FB0"/>
    <w:rsid w:val="00AC5004"/>
    <w:rsid w:val="00AC59E7"/>
    <w:rsid w:val="00AD039F"/>
    <w:rsid w:val="00AD051C"/>
    <w:rsid w:val="00AD0AA8"/>
    <w:rsid w:val="00AD115A"/>
    <w:rsid w:val="00AD1398"/>
    <w:rsid w:val="00AD2EC9"/>
    <w:rsid w:val="00AD2F55"/>
    <w:rsid w:val="00AD3D8F"/>
    <w:rsid w:val="00AD4417"/>
    <w:rsid w:val="00AE0BE6"/>
    <w:rsid w:val="00AE10EA"/>
    <w:rsid w:val="00AE42C9"/>
    <w:rsid w:val="00AE4647"/>
    <w:rsid w:val="00AE4A5E"/>
    <w:rsid w:val="00AE4A90"/>
    <w:rsid w:val="00AE6983"/>
    <w:rsid w:val="00AE7953"/>
    <w:rsid w:val="00AF1E9E"/>
    <w:rsid w:val="00AF320C"/>
    <w:rsid w:val="00AF3676"/>
    <w:rsid w:val="00AF4522"/>
    <w:rsid w:val="00AF50B5"/>
    <w:rsid w:val="00AF55F8"/>
    <w:rsid w:val="00AF6775"/>
    <w:rsid w:val="00AF7FE0"/>
    <w:rsid w:val="00B02AE4"/>
    <w:rsid w:val="00B02CFC"/>
    <w:rsid w:val="00B02E73"/>
    <w:rsid w:val="00B0355D"/>
    <w:rsid w:val="00B03A6A"/>
    <w:rsid w:val="00B05BE6"/>
    <w:rsid w:val="00B067FB"/>
    <w:rsid w:val="00B1025A"/>
    <w:rsid w:val="00B10E45"/>
    <w:rsid w:val="00B13582"/>
    <w:rsid w:val="00B15FE4"/>
    <w:rsid w:val="00B16CF9"/>
    <w:rsid w:val="00B1771D"/>
    <w:rsid w:val="00B2343D"/>
    <w:rsid w:val="00B24AC3"/>
    <w:rsid w:val="00B26785"/>
    <w:rsid w:val="00B27F51"/>
    <w:rsid w:val="00B30035"/>
    <w:rsid w:val="00B30482"/>
    <w:rsid w:val="00B31468"/>
    <w:rsid w:val="00B3269F"/>
    <w:rsid w:val="00B33A19"/>
    <w:rsid w:val="00B3493B"/>
    <w:rsid w:val="00B36CC3"/>
    <w:rsid w:val="00B3752F"/>
    <w:rsid w:val="00B4054C"/>
    <w:rsid w:val="00B40C63"/>
    <w:rsid w:val="00B40E01"/>
    <w:rsid w:val="00B42ACD"/>
    <w:rsid w:val="00B43129"/>
    <w:rsid w:val="00B4350C"/>
    <w:rsid w:val="00B47589"/>
    <w:rsid w:val="00B4790E"/>
    <w:rsid w:val="00B53AD7"/>
    <w:rsid w:val="00B54E4D"/>
    <w:rsid w:val="00B54F69"/>
    <w:rsid w:val="00B56169"/>
    <w:rsid w:val="00B56E77"/>
    <w:rsid w:val="00B57802"/>
    <w:rsid w:val="00B618C6"/>
    <w:rsid w:val="00B61D92"/>
    <w:rsid w:val="00B6314A"/>
    <w:rsid w:val="00B634B7"/>
    <w:rsid w:val="00B63F77"/>
    <w:rsid w:val="00B6502A"/>
    <w:rsid w:val="00B65CBB"/>
    <w:rsid w:val="00B661A0"/>
    <w:rsid w:val="00B67D68"/>
    <w:rsid w:val="00B72772"/>
    <w:rsid w:val="00B72B1A"/>
    <w:rsid w:val="00B74B8A"/>
    <w:rsid w:val="00B75CC7"/>
    <w:rsid w:val="00B81120"/>
    <w:rsid w:val="00B830F5"/>
    <w:rsid w:val="00B83A3E"/>
    <w:rsid w:val="00B844A4"/>
    <w:rsid w:val="00B86960"/>
    <w:rsid w:val="00B9053F"/>
    <w:rsid w:val="00B90F8D"/>
    <w:rsid w:val="00B93F4C"/>
    <w:rsid w:val="00B94AF5"/>
    <w:rsid w:val="00B94DBB"/>
    <w:rsid w:val="00B95074"/>
    <w:rsid w:val="00BA10CF"/>
    <w:rsid w:val="00BA1A60"/>
    <w:rsid w:val="00BA6088"/>
    <w:rsid w:val="00BB23CB"/>
    <w:rsid w:val="00BB23F5"/>
    <w:rsid w:val="00BB3CE8"/>
    <w:rsid w:val="00BB3EAC"/>
    <w:rsid w:val="00BB4C51"/>
    <w:rsid w:val="00BB53AC"/>
    <w:rsid w:val="00BB53BE"/>
    <w:rsid w:val="00BB58CF"/>
    <w:rsid w:val="00BB678E"/>
    <w:rsid w:val="00BB6BF6"/>
    <w:rsid w:val="00BC26F9"/>
    <w:rsid w:val="00BC33A0"/>
    <w:rsid w:val="00BC359E"/>
    <w:rsid w:val="00BC5861"/>
    <w:rsid w:val="00BC5928"/>
    <w:rsid w:val="00BC5EEB"/>
    <w:rsid w:val="00BC7B3F"/>
    <w:rsid w:val="00BC7B96"/>
    <w:rsid w:val="00BC7C39"/>
    <w:rsid w:val="00BD03F2"/>
    <w:rsid w:val="00BD053B"/>
    <w:rsid w:val="00BD1641"/>
    <w:rsid w:val="00BD17B4"/>
    <w:rsid w:val="00BD282E"/>
    <w:rsid w:val="00BD4636"/>
    <w:rsid w:val="00BD6A23"/>
    <w:rsid w:val="00BD7067"/>
    <w:rsid w:val="00BD7372"/>
    <w:rsid w:val="00BD770E"/>
    <w:rsid w:val="00BD7FBF"/>
    <w:rsid w:val="00BE00F7"/>
    <w:rsid w:val="00BE12AE"/>
    <w:rsid w:val="00BE2C32"/>
    <w:rsid w:val="00BE46BF"/>
    <w:rsid w:val="00BE47FB"/>
    <w:rsid w:val="00BE4BB6"/>
    <w:rsid w:val="00BF22A3"/>
    <w:rsid w:val="00BF2DCE"/>
    <w:rsid w:val="00BF3726"/>
    <w:rsid w:val="00BF5DC5"/>
    <w:rsid w:val="00BF74EA"/>
    <w:rsid w:val="00C0092A"/>
    <w:rsid w:val="00C0232E"/>
    <w:rsid w:val="00C02413"/>
    <w:rsid w:val="00C034B7"/>
    <w:rsid w:val="00C03CA1"/>
    <w:rsid w:val="00C054DB"/>
    <w:rsid w:val="00C1082E"/>
    <w:rsid w:val="00C11D32"/>
    <w:rsid w:val="00C11FA4"/>
    <w:rsid w:val="00C12924"/>
    <w:rsid w:val="00C131DA"/>
    <w:rsid w:val="00C166B6"/>
    <w:rsid w:val="00C21BAC"/>
    <w:rsid w:val="00C21FB6"/>
    <w:rsid w:val="00C2284C"/>
    <w:rsid w:val="00C23149"/>
    <w:rsid w:val="00C26F96"/>
    <w:rsid w:val="00C30721"/>
    <w:rsid w:val="00C30EB0"/>
    <w:rsid w:val="00C31434"/>
    <w:rsid w:val="00C33E1B"/>
    <w:rsid w:val="00C345E5"/>
    <w:rsid w:val="00C36AB8"/>
    <w:rsid w:val="00C420F5"/>
    <w:rsid w:val="00C432FD"/>
    <w:rsid w:val="00C43860"/>
    <w:rsid w:val="00C44685"/>
    <w:rsid w:val="00C44B66"/>
    <w:rsid w:val="00C475EB"/>
    <w:rsid w:val="00C500FA"/>
    <w:rsid w:val="00C502EC"/>
    <w:rsid w:val="00C5168B"/>
    <w:rsid w:val="00C52A38"/>
    <w:rsid w:val="00C53630"/>
    <w:rsid w:val="00C5366B"/>
    <w:rsid w:val="00C53916"/>
    <w:rsid w:val="00C5597D"/>
    <w:rsid w:val="00C56C85"/>
    <w:rsid w:val="00C62171"/>
    <w:rsid w:val="00C62E4D"/>
    <w:rsid w:val="00C64327"/>
    <w:rsid w:val="00C663C4"/>
    <w:rsid w:val="00C6699A"/>
    <w:rsid w:val="00C67102"/>
    <w:rsid w:val="00C6739A"/>
    <w:rsid w:val="00C70276"/>
    <w:rsid w:val="00C703EB"/>
    <w:rsid w:val="00C72EB0"/>
    <w:rsid w:val="00C736C0"/>
    <w:rsid w:val="00C7375E"/>
    <w:rsid w:val="00C7516D"/>
    <w:rsid w:val="00C808F6"/>
    <w:rsid w:val="00C80D24"/>
    <w:rsid w:val="00C81C8D"/>
    <w:rsid w:val="00C82171"/>
    <w:rsid w:val="00C84CCD"/>
    <w:rsid w:val="00C8576B"/>
    <w:rsid w:val="00C8694E"/>
    <w:rsid w:val="00C86A2A"/>
    <w:rsid w:val="00C86B5B"/>
    <w:rsid w:val="00C87C5D"/>
    <w:rsid w:val="00C90B0A"/>
    <w:rsid w:val="00C91933"/>
    <w:rsid w:val="00C9271C"/>
    <w:rsid w:val="00C93C09"/>
    <w:rsid w:val="00C943C8"/>
    <w:rsid w:val="00C9475F"/>
    <w:rsid w:val="00C95036"/>
    <w:rsid w:val="00C95E78"/>
    <w:rsid w:val="00CA12FC"/>
    <w:rsid w:val="00CA1F34"/>
    <w:rsid w:val="00CA3334"/>
    <w:rsid w:val="00CA591C"/>
    <w:rsid w:val="00CB1986"/>
    <w:rsid w:val="00CB4CB0"/>
    <w:rsid w:val="00CB7B3F"/>
    <w:rsid w:val="00CC0420"/>
    <w:rsid w:val="00CC1664"/>
    <w:rsid w:val="00CC3171"/>
    <w:rsid w:val="00CC34C8"/>
    <w:rsid w:val="00CC3C6B"/>
    <w:rsid w:val="00CC4355"/>
    <w:rsid w:val="00CC4AB0"/>
    <w:rsid w:val="00CC7F9D"/>
    <w:rsid w:val="00CD0952"/>
    <w:rsid w:val="00CD0BD1"/>
    <w:rsid w:val="00CD0D86"/>
    <w:rsid w:val="00CD1C26"/>
    <w:rsid w:val="00CD2426"/>
    <w:rsid w:val="00CD2721"/>
    <w:rsid w:val="00CD2AF6"/>
    <w:rsid w:val="00CD2E07"/>
    <w:rsid w:val="00CD40E0"/>
    <w:rsid w:val="00CD5C07"/>
    <w:rsid w:val="00CD741B"/>
    <w:rsid w:val="00CD76D6"/>
    <w:rsid w:val="00CD7932"/>
    <w:rsid w:val="00CE0B19"/>
    <w:rsid w:val="00CE19FF"/>
    <w:rsid w:val="00CE3B59"/>
    <w:rsid w:val="00CE3EE7"/>
    <w:rsid w:val="00CE4393"/>
    <w:rsid w:val="00CE52D2"/>
    <w:rsid w:val="00CE5882"/>
    <w:rsid w:val="00CE6710"/>
    <w:rsid w:val="00CE7277"/>
    <w:rsid w:val="00CE7323"/>
    <w:rsid w:val="00CE7975"/>
    <w:rsid w:val="00CF0787"/>
    <w:rsid w:val="00CF17D1"/>
    <w:rsid w:val="00CF22B5"/>
    <w:rsid w:val="00CF259B"/>
    <w:rsid w:val="00CF2BA7"/>
    <w:rsid w:val="00CF336A"/>
    <w:rsid w:val="00CF799E"/>
    <w:rsid w:val="00D00081"/>
    <w:rsid w:val="00D005A0"/>
    <w:rsid w:val="00D010C6"/>
    <w:rsid w:val="00D01308"/>
    <w:rsid w:val="00D02737"/>
    <w:rsid w:val="00D02C61"/>
    <w:rsid w:val="00D03490"/>
    <w:rsid w:val="00D04CB2"/>
    <w:rsid w:val="00D05BA7"/>
    <w:rsid w:val="00D0741E"/>
    <w:rsid w:val="00D0782B"/>
    <w:rsid w:val="00D11257"/>
    <w:rsid w:val="00D117C2"/>
    <w:rsid w:val="00D1299E"/>
    <w:rsid w:val="00D1381D"/>
    <w:rsid w:val="00D169BE"/>
    <w:rsid w:val="00D16FC1"/>
    <w:rsid w:val="00D17D4F"/>
    <w:rsid w:val="00D208EC"/>
    <w:rsid w:val="00D20989"/>
    <w:rsid w:val="00D20B23"/>
    <w:rsid w:val="00D22845"/>
    <w:rsid w:val="00D24149"/>
    <w:rsid w:val="00D25EBB"/>
    <w:rsid w:val="00D32B61"/>
    <w:rsid w:val="00D3551C"/>
    <w:rsid w:val="00D35568"/>
    <w:rsid w:val="00D3578E"/>
    <w:rsid w:val="00D35C7F"/>
    <w:rsid w:val="00D377D8"/>
    <w:rsid w:val="00D42188"/>
    <w:rsid w:val="00D42FCF"/>
    <w:rsid w:val="00D44831"/>
    <w:rsid w:val="00D45F7C"/>
    <w:rsid w:val="00D4798B"/>
    <w:rsid w:val="00D47AC1"/>
    <w:rsid w:val="00D509E8"/>
    <w:rsid w:val="00D53750"/>
    <w:rsid w:val="00D53A9D"/>
    <w:rsid w:val="00D5547F"/>
    <w:rsid w:val="00D55F7B"/>
    <w:rsid w:val="00D6071C"/>
    <w:rsid w:val="00D61B09"/>
    <w:rsid w:val="00D700CD"/>
    <w:rsid w:val="00D738BE"/>
    <w:rsid w:val="00D743F5"/>
    <w:rsid w:val="00D75E12"/>
    <w:rsid w:val="00D7785C"/>
    <w:rsid w:val="00D80AB1"/>
    <w:rsid w:val="00D81BA7"/>
    <w:rsid w:val="00D82E26"/>
    <w:rsid w:val="00D84314"/>
    <w:rsid w:val="00D84C4E"/>
    <w:rsid w:val="00D86587"/>
    <w:rsid w:val="00D90F62"/>
    <w:rsid w:val="00D91E63"/>
    <w:rsid w:val="00D9219C"/>
    <w:rsid w:val="00D926BD"/>
    <w:rsid w:val="00D96165"/>
    <w:rsid w:val="00D970EA"/>
    <w:rsid w:val="00DA0429"/>
    <w:rsid w:val="00DA0EF4"/>
    <w:rsid w:val="00DA280D"/>
    <w:rsid w:val="00DA3F63"/>
    <w:rsid w:val="00DA4E18"/>
    <w:rsid w:val="00DA599C"/>
    <w:rsid w:val="00DA7A7B"/>
    <w:rsid w:val="00DB008A"/>
    <w:rsid w:val="00DB14CE"/>
    <w:rsid w:val="00DB34E3"/>
    <w:rsid w:val="00DB4295"/>
    <w:rsid w:val="00DB481F"/>
    <w:rsid w:val="00DB4D6C"/>
    <w:rsid w:val="00DB5F88"/>
    <w:rsid w:val="00DB6799"/>
    <w:rsid w:val="00DB77DE"/>
    <w:rsid w:val="00DC24E6"/>
    <w:rsid w:val="00DC3561"/>
    <w:rsid w:val="00DC3DA4"/>
    <w:rsid w:val="00DC3F5B"/>
    <w:rsid w:val="00DC6A68"/>
    <w:rsid w:val="00DC769F"/>
    <w:rsid w:val="00DD174F"/>
    <w:rsid w:val="00DD425F"/>
    <w:rsid w:val="00DD5043"/>
    <w:rsid w:val="00DD56F8"/>
    <w:rsid w:val="00DD66D1"/>
    <w:rsid w:val="00DD6AF6"/>
    <w:rsid w:val="00DD76ED"/>
    <w:rsid w:val="00DE0A41"/>
    <w:rsid w:val="00DE0DB6"/>
    <w:rsid w:val="00DE3307"/>
    <w:rsid w:val="00DE440B"/>
    <w:rsid w:val="00DE4BDA"/>
    <w:rsid w:val="00DE6B81"/>
    <w:rsid w:val="00DE6F85"/>
    <w:rsid w:val="00DF0D94"/>
    <w:rsid w:val="00DF118A"/>
    <w:rsid w:val="00DF20F4"/>
    <w:rsid w:val="00DF210A"/>
    <w:rsid w:val="00DF23EF"/>
    <w:rsid w:val="00DF25B0"/>
    <w:rsid w:val="00DF5557"/>
    <w:rsid w:val="00DF690E"/>
    <w:rsid w:val="00E005BB"/>
    <w:rsid w:val="00E00AB3"/>
    <w:rsid w:val="00E041F1"/>
    <w:rsid w:val="00E04D60"/>
    <w:rsid w:val="00E05266"/>
    <w:rsid w:val="00E066AC"/>
    <w:rsid w:val="00E14A47"/>
    <w:rsid w:val="00E14B9A"/>
    <w:rsid w:val="00E15BD3"/>
    <w:rsid w:val="00E16619"/>
    <w:rsid w:val="00E17A84"/>
    <w:rsid w:val="00E21059"/>
    <w:rsid w:val="00E2119A"/>
    <w:rsid w:val="00E21C7F"/>
    <w:rsid w:val="00E228C1"/>
    <w:rsid w:val="00E229ED"/>
    <w:rsid w:val="00E23ADD"/>
    <w:rsid w:val="00E24320"/>
    <w:rsid w:val="00E2486A"/>
    <w:rsid w:val="00E27703"/>
    <w:rsid w:val="00E3135C"/>
    <w:rsid w:val="00E31E51"/>
    <w:rsid w:val="00E328DA"/>
    <w:rsid w:val="00E3579E"/>
    <w:rsid w:val="00E42DE9"/>
    <w:rsid w:val="00E43133"/>
    <w:rsid w:val="00E459B3"/>
    <w:rsid w:val="00E50B18"/>
    <w:rsid w:val="00E52276"/>
    <w:rsid w:val="00E532C4"/>
    <w:rsid w:val="00E53FC5"/>
    <w:rsid w:val="00E5412E"/>
    <w:rsid w:val="00E54959"/>
    <w:rsid w:val="00E56081"/>
    <w:rsid w:val="00E56F9D"/>
    <w:rsid w:val="00E57C21"/>
    <w:rsid w:val="00E6268E"/>
    <w:rsid w:val="00E629F9"/>
    <w:rsid w:val="00E629FF"/>
    <w:rsid w:val="00E641FF"/>
    <w:rsid w:val="00E71795"/>
    <w:rsid w:val="00E71F6D"/>
    <w:rsid w:val="00E7306F"/>
    <w:rsid w:val="00E75D7C"/>
    <w:rsid w:val="00E77643"/>
    <w:rsid w:val="00E833E4"/>
    <w:rsid w:val="00E84C99"/>
    <w:rsid w:val="00E85C8D"/>
    <w:rsid w:val="00E926AB"/>
    <w:rsid w:val="00E940BA"/>
    <w:rsid w:val="00E9631E"/>
    <w:rsid w:val="00E96E56"/>
    <w:rsid w:val="00E97C9A"/>
    <w:rsid w:val="00EA3B40"/>
    <w:rsid w:val="00EA4316"/>
    <w:rsid w:val="00EA4D94"/>
    <w:rsid w:val="00EA54E6"/>
    <w:rsid w:val="00EA5E2C"/>
    <w:rsid w:val="00EA5E59"/>
    <w:rsid w:val="00EB0B5C"/>
    <w:rsid w:val="00EB2027"/>
    <w:rsid w:val="00EB254C"/>
    <w:rsid w:val="00EB35BC"/>
    <w:rsid w:val="00EB3F8F"/>
    <w:rsid w:val="00EB4924"/>
    <w:rsid w:val="00EB4BBB"/>
    <w:rsid w:val="00EB7D7A"/>
    <w:rsid w:val="00EC18C3"/>
    <w:rsid w:val="00EC5274"/>
    <w:rsid w:val="00EC55BF"/>
    <w:rsid w:val="00EC596D"/>
    <w:rsid w:val="00EC60F4"/>
    <w:rsid w:val="00EC628A"/>
    <w:rsid w:val="00EC66F4"/>
    <w:rsid w:val="00EC7EB8"/>
    <w:rsid w:val="00EC7EF9"/>
    <w:rsid w:val="00ED1249"/>
    <w:rsid w:val="00ED1392"/>
    <w:rsid w:val="00ED2070"/>
    <w:rsid w:val="00ED320A"/>
    <w:rsid w:val="00ED6CFC"/>
    <w:rsid w:val="00ED7194"/>
    <w:rsid w:val="00EE00E4"/>
    <w:rsid w:val="00EE0AC2"/>
    <w:rsid w:val="00EE3AD3"/>
    <w:rsid w:val="00EE4870"/>
    <w:rsid w:val="00EE4A35"/>
    <w:rsid w:val="00EE4B38"/>
    <w:rsid w:val="00EE4C1B"/>
    <w:rsid w:val="00EE4DA8"/>
    <w:rsid w:val="00EF0C05"/>
    <w:rsid w:val="00EF0F72"/>
    <w:rsid w:val="00EF54FA"/>
    <w:rsid w:val="00EF5BE8"/>
    <w:rsid w:val="00EF5D7B"/>
    <w:rsid w:val="00F012F2"/>
    <w:rsid w:val="00F016DA"/>
    <w:rsid w:val="00F01C26"/>
    <w:rsid w:val="00F03DF9"/>
    <w:rsid w:val="00F04591"/>
    <w:rsid w:val="00F06608"/>
    <w:rsid w:val="00F068BB"/>
    <w:rsid w:val="00F07E31"/>
    <w:rsid w:val="00F103DA"/>
    <w:rsid w:val="00F1308A"/>
    <w:rsid w:val="00F15EAD"/>
    <w:rsid w:val="00F2022D"/>
    <w:rsid w:val="00F2060D"/>
    <w:rsid w:val="00F20EEB"/>
    <w:rsid w:val="00F2253F"/>
    <w:rsid w:val="00F2265C"/>
    <w:rsid w:val="00F23107"/>
    <w:rsid w:val="00F24CC3"/>
    <w:rsid w:val="00F2591D"/>
    <w:rsid w:val="00F25989"/>
    <w:rsid w:val="00F26770"/>
    <w:rsid w:val="00F26EEF"/>
    <w:rsid w:val="00F33F4D"/>
    <w:rsid w:val="00F35CAE"/>
    <w:rsid w:val="00F36036"/>
    <w:rsid w:val="00F40334"/>
    <w:rsid w:val="00F41754"/>
    <w:rsid w:val="00F41C38"/>
    <w:rsid w:val="00F46251"/>
    <w:rsid w:val="00F4705E"/>
    <w:rsid w:val="00F50AAA"/>
    <w:rsid w:val="00F52BFC"/>
    <w:rsid w:val="00F53518"/>
    <w:rsid w:val="00F5431E"/>
    <w:rsid w:val="00F543CD"/>
    <w:rsid w:val="00F54B07"/>
    <w:rsid w:val="00F54DE8"/>
    <w:rsid w:val="00F5536F"/>
    <w:rsid w:val="00F5551D"/>
    <w:rsid w:val="00F5618E"/>
    <w:rsid w:val="00F5629E"/>
    <w:rsid w:val="00F56545"/>
    <w:rsid w:val="00F579BF"/>
    <w:rsid w:val="00F60499"/>
    <w:rsid w:val="00F60B36"/>
    <w:rsid w:val="00F61DD5"/>
    <w:rsid w:val="00F63739"/>
    <w:rsid w:val="00F657CD"/>
    <w:rsid w:val="00F67DD1"/>
    <w:rsid w:val="00F718B4"/>
    <w:rsid w:val="00F72F4D"/>
    <w:rsid w:val="00F73080"/>
    <w:rsid w:val="00F73A70"/>
    <w:rsid w:val="00F75D72"/>
    <w:rsid w:val="00F76019"/>
    <w:rsid w:val="00F764E0"/>
    <w:rsid w:val="00F771BF"/>
    <w:rsid w:val="00F806E9"/>
    <w:rsid w:val="00F81089"/>
    <w:rsid w:val="00F81199"/>
    <w:rsid w:val="00F81F98"/>
    <w:rsid w:val="00F83388"/>
    <w:rsid w:val="00F8402F"/>
    <w:rsid w:val="00F91BEF"/>
    <w:rsid w:val="00F93F41"/>
    <w:rsid w:val="00F94A9E"/>
    <w:rsid w:val="00F95F61"/>
    <w:rsid w:val="00F979E5"/>
    <w:rsid w:val="00FA05D2"/>
    <w:rsid w:val="00FA090B"/>
    <w:rsid w:val="00FA0B2B"/>
    <w:rsid w:val="00FA0C39"/>
    <w:rsid w:val="00FA1052"/>
    <w:rsid w:val="00FA2812"/>
    <w:rsid w:val="00FA4850"/>
    <w:rsid w:val="00FA48D6"/>
    <w:rsid w:val="00FB0008"/>
    <w:rsid w:val="00FB022F"/>
    <w:rsid w:val="00FB3E95"/>
    <w:rsid w:val="00FB5E6A"/>
    <w:rsid w:val="00FB7493"/>
    <w:rsid w:val="00FB7DE6"/>
    <w:rsid w:val="00FB7F61"/>
    <w:rsid w:val="00FC0194"/>
    <w:rsid w:val="00FC23EA"/>
    <w:rsid w:val="00FC400C"/>
    <w:rsid w:val="00FC4409"/>
    <w:rsid w:val="00FC4E9F"/>
    <w:rsid w:val="00FC52AC"/>
    <w:rsid w:val="00FC5EA2"/>
    <w:rsid w:val="00FC6826"/>
    <w:rsid w:val="00FD00E9"/>
    <w:rsid w:val="00FD09EA"/>
    <w:rsid w:val="00FD27A6"/>
    <w:rsid w:val="00FD312F"/>
    <w:rsid w:val="00FD3F5C"/>
    <w:rsid w:val="00FD4A15"/>
    <w:rsid w:val="00FD7931"/>
    <w:rsid w:val="00FE0169"/>
    <w:rsid w:val="00FE1982"/>
    <w:rsid w:val="00FE1F25"/>
    <w:rsid w:val="00FE38FD"/>
    <w:rsid w:val="00FE49DE"/>
    <w:rsid w:val="00FE54D3"/>
    <w:rsid w:val="00FE6A84"/>
    <w:rsid w:val="00FE7163"/>
    <w:rsid w:val="00FF03A7"/>
    <w:rsid w:val="00FF0698"/>
    <w:rsid w:val="00FF076E"/>
    <w:rsid w:val="00FF0BD0"/>
    <w:rsid w:val="00FF0D0A"/>
    <w:rsid w:val="00FF1060"/>
    <w:rsid w:val="00FF1A99"/>
    <w:rsid w:val="00FF2B48"/>
    <w:rsid w:val="00FF63B4"/>
    <w:rsid w:val="00FF7F4B"/>
    <w:rsid w:val="020717C3"/>
    <w:rsid w:val="087A391C"/>
    <w:rsid w:val="18372641"/>
    <w:rsid w:val="2372E8D6"/>
    <w:rsid w:val="280FDD71"/>
    <w:rsid w:val="291812EA"/>
    <w:rsid w:val="2A7C7A55"/>
    <w:rsid w:val="34CFCF8A"/>
    <w:rsid w:val="3D767771"/>
    <w:rsid w:val="4BECD280"/>
    <w:rsid w:val="50B2591E"/>
    <w:rsid w:val="50F8A1A2"/>
    <w:rsid w:val="52BDC0CB"/>
    <w:rsid w:val="5763B3A3"/>
    <w:rsid w:val="5AA7998C"/>
    <w:rsid w:val="760EC29C"/>
    <w:rsid w:val="79E28FFE"/>
    <w:rsid w:val="7C900C55"/>
    <w:rsid w:val="7F3DDD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724FB"/>
  <w15:chartTrackingRefBased/>
  <w15:docId w15:val="{0E102616-8CEF-4770-826E-70864EFD2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AED"/>
    <w:rPr>
      <w:lang w:val="en-US"/>
    </w:rPr>
  </w:style>
  <w:style w:type="paragraph" w:styleId="Heading1">
    <w:name w:val="heading 1"/>
    <w:basedOn w:val="Normal"/>
    <w:next w:val="Normal"/>
    <w:link w:val="Heading1Char"/>
    <w:uiPriority w:val="9"/>
    <w:qFormat/>
    <w:rsid w:val="00855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55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55A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55A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A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55A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55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55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A6B"/>
    <w:rPr>
      <w:rFonts w:eastAsiaTheme="majorEastAsia" w:cstheme="majorBidi"/>
      <w:color w:val="272727" w:themeColor="text1" w:themeTint="D8"/>
    </w:rPr>
  </w:style>
  <w:style w:type="paragraph" w:styleId="Title">
    <w:name w:val="Title"/>
    <w:basedOn w:val="Normal"/>
    <w:next w:val="Normal"/>
    <w:link w:val="TitleChar"/>
    <w:uiPriority w:val="10"/>
    <w:qFormat/>
    <w:rsid w:val="00855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A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A6B"/>
    <w:pPr>
      <w:spacing w:before="160"/>
      <w:jc w:val="center"/>
    </w:pPr>
    <w:rPr>
      <w:i/>
      <w:iCs/>
      <w:color w:val="404040" w:themeColor="text1" w:themeTint="BF"/>
    </w:rPr>
  </w:style>
  <w:style w:type="character" w:customStyle="1" w:styleId="QuoteChar">
    <w:name w:val="Quote Char"/>
    <w:basedOn w:val="DefaultParagraphFont"/>
    <w:link w:val="Quote"/>
    <w:uiPriority w:val="29"/>
    <w:rsid w:val="00855A6B"/>
    <w:rPr>
      <w:i/>
      <w:iCs/>
      <w:color w:val="404040" w:themeColor="text1" w:themeTint="BF"/>
    </w:rPr>
  </w:style>
  <w:style w:type="paragraph" w:styleId="ListParagraph">
    <w:name w:val="List Paragraph"/>
    <w:basedOn w:val="Normal"/>
    <w:uiPriority w:val="34"/>
    <w:qFormat/>
    <w:rsid w:val="00855A6B"/>
    <w:pPr>
      <w:ind w:left="720"/>
      <w:contextualSpacing/>
    </w:pPr>
  </w:style>
  <w:style w:type="character" w:styleId="IntenseEmphasis">
    <w:name w:val="Intense Emphasis"/>
    <w:basedOn w:val="DefaultParagraphFont"/>
    <w:uiPriority w:val="21"/>
    <w:qFormat/>
    <w:rsid w:val="00855A6B"/>
    <w:rPr>
      <w:i/>
      <w:iCs/>
      <w:color w:val="0F4761" w:themeColor="accent1" w:themeShade="BF"/>
    </w:rPr>
  </w:style>
  <w:style w:type="paragraph" w:styleId="IntenseQuote">
    <w:name w:val="Intense Quote"/>
    <w:basedOn w:val="Normal"/>
    <w:next w:val="Normal"/>
    <w:link w:val="IntenseQuoteChar"/>
    <w:uiPriority w:val="30"/>
    <w:qFormat/>
    <w:rsid w:val="00855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A6B"/>
    <w:rPr>
      <w:i/>
      <w:iCs/>
      <w:color w:val="0F4761" w:themeColor="accent1" w:themeShade="BF"/>
    </w:rPr>
  </w:style>
  <w:style w:type="character" w:styleId="IntenseReference">
    <w:name w:val="Intense Reference"/>
    <w:basedOn w:val="DefaultParagraphFont"/>
    <w:uiPriority w:val="32"/>
    <w:qFormat/>
    <w:rsid w:val="00855A6B"/>
    <w:rPr>
      <w:b/>
      <w:bCs/>
      <w:smallCaps/>
      <w:color w:val="0F4761" w:themeColor="accent1" w:themeShade="BF"/>
      <w:spacing w:val="5"/>
    </w:rPr>
  </w:style>
  <w:style w:type="character" w:styleId="Hyperlink">
    <w:name w:val="Hyperlink"/>
    <w:basedOn w:val="DefaultParagraphFont"/>
    <w:uiPriority w:val="99"/>
    <w:unhideWhenUsed/>
    <w:rsid w:val="000B662F"/>
    <w:rPr>
      <w:color w:val="467886" w:themeColor="hyperlink"/>
      <w:u w:val="single"/>
    </w:rPr>
  </w:style>
  <w:style w:type="character" w:styleId="UnresolvedMention">
    <w:name w:val="Unresolved Mention"/>
    <w:basedOn w:val="DefaultParagraphFont"/>
    <w:uiPriority w:val="99"/>
    <w:semiHidden/>
    <w:unhideWhenUsed/>
    <w:rsid w:val="000B662F"/>
    <w:rPr>
      <w:color w:val="605E5C"/>
      <w:shd w:val="clear" w:color="auto" w:fill="E1DFDD"/>
    </w:rPr>
  </w:style>
  <w:style w:type="paragraph" w:styleId="Header">
    <w:name w:val="header"/>
    <w:basedOn w:val="Normal"/>
    <w:link w:val="HeaderChar"/>
    <w:uiPriority w:val="99"/>
    <w:unhideWhenUsed/>
    <w:rsid w:val="001210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1080"/>
  </w:style>
  <w:style w:type="paragraph" w:styleId="Footer">
    <w:name w:val="footer"/>
    <w:basedOn w:val="Normal"/>
    <w:link w:val="FooterChar"/>
    <w:uiPriority w:val="99"/>
    <w:unhideWhenUsed/>
    <w:rsid w:val="001210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1080"/>
  </w:style>
  <w:style w:type="table" w:styleId="TableGrid">
    <w:name w:val="Table Grid"/>
    <w:basedOn w:val="TableNormal"/>
    <w:uiPriority w:val="39"/>
    <w:rsid w:val="00AD115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536A"/>
    <w:rPr>
      <w:sz w:val="16"/>
      <w:szCs w:val="16"/>
    </w:rPr>
  </w:style>
  <w:style w:type="paragraph" w:styleId="CommentText">
    <w:name w:val="annotation text"/>
    <w:basedOn w:val="Normal"/>
    <w:link w:val="CommentTextChar"/>
    <w:uiPriority w:val="99"/>
    <w:unhideWhenUsed/>
    <w:rsid w:val="00A1536A"/>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A1536A"/>
    <w:rPr>
      <w:rFonts w:ascii="Times New Roman" w:hAnsi="Times New Roman"/>
      <w:sz w:val="20"/>
      <w:szCs w:val="20"/>
    </w:rPr>
  </w:style>
  <w:style w:type="paragraph" w:styleId="Bibliography">
    <w:name w:val="Bibliography"/>
    <w:basedOn w:val="Normal"/>
    <w:next w:val="Normal"/>
    <w:uiPriority w:val="37"/>
    <w:unhideWhenUsed/>
    <w:rsid w:val="00AF50B5"/>
    <w:pPr>
      <w:spacing w:after="240" w:line="240" w:lineRule="auto"/>
    </w:pPr>
  </w:style>
  <w:style w:type="paragraph" w:styleId="CommentSubject">
    <w:name w:val="annotation subject"/>
    <w:basedOn w:val="CommentText"/>
    <w:next w:val="CommentText"/>
    <w:link w:val="CommentSubjectChar"/>
    <w:uiPriority w:val="99"/>
    <w:semiHidden/>
    <w:unhideWhenUsed/>
    <w:rsid w:val="007F2BB3"/>
    <w:rPr>
      <w:rFonts w:asciiTheme="minorHAnsi" w:hAnsiTheme="minorHAnsi"/>
      <w:b/>
      <w:bCs/>
    </w:rPr>
  </w:style>
  <w:style w:type="character" w:customStyle="1" w:styleId="CommentSubjectChar">
    <w:name w:val="Comment Subject Char"/>
    <w:basedOn w:val="CommentTextChar"/>
    <w:link w:val="CommentSubject"/>
    <w:uiPriority w:val="99"/>
    <w:semiHidden/>
    <w:rsid w:val="007F2BB3"/>
    <w:rPr>
      <w:rFonts w:ascii="Times New Roman" w:hAnsi="Times New Roman"/>
      <w:b/>
      <w:bCs/>
      <w:sz w:val="20"/>
      <w:szCs w:val="20"/>
    </w:rPr>
  </w:style>
  <w:style w:type="paragraph" w:styleId="Revision">
    <w:name w:val="Revision"/>
    <w:hidden/>
    <w:uiPriority w:val="99"/>
    <w:semiHidden/>
    <w:rsid w:val="007F2BB3"/>
    <w:pPr>
      <w:spacing w:after="0" w:line="240" w:lineRule="auto"/>
    </w:pPr>
  </w:style>
  <w:style w:type="table" w:styleId="GridTable1Light-Accent1">
    <w:name w:val="Grid Table 1 Light Accent 1"/>
    <w:basedOn w:val="TableNormal"/>
    <w:uiPriority w:val="46"/>
    <w:rsid w:val="00201650"/>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01650"/>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0165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01650"/>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3E40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FA2812"/>
    <w:rPr>
      <w:i/>
      <w:iCs/>
    </w:rPr>
  </w:style>
  <w:style w:type="table" w:styleId="PlainTable2">
    <w:name w:val="Plain Table 2"/>
    <w:basedOn w:val="TableNormal"/>
    <w:uiPriority w:val="42"/>
    <w:rsid w:val="00515B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AC5004"/>
    <w:rPr>
      <w:color w:val="96607D" w:themeColor="followedHyperlink"/>
      <w:u w:val="single"/>
    </w:rPr>
  </w:style>
  <w:style w:type="paragraph" w:styleId="NormalWeb">
    <w:name w:val="Normal (Web)"/>
    <w:basedOn w:val="Normal"/>
    <w:uiPriority w:val="99"/>
    <w:semiHidden/>
    <w:unhideWhenUsed/>
    <w:rsid w:val="00645F24"/>
    <w:rPr>
      <w:rFonts w:ascii="Times New Roman" w:hAnsi="Times New Roman" w:cs="Times New Roman"/>
      <w:sz w:val="24"/>
      <w:szCs w:val="24"/>
    </w:rPr>
  </w:style>
  <w:style w:type="character" w:styleId="LineNumber">
    <w:name w:val="line number"/>
    <w:basedOn w:val="DefaultParagraphFont"/>
    <w:uiPriority w:val="99"/>
    <w:semiHidden/>
    <w:unhideWhenUsed/>
    <w:rsid w:val="002257DE"/>
  </w:style>
  <w:style w:type="paragraph" w:styleId="BalloonText">
    <w:name w:val="Balloon Text"/>
    <w:basedOn w:val="Normal"/>
    <w:link w:val="BalloonTextChar"/>
    <w:uiPriority w:val="99"/>
    <w:semiHidden/>
    <w:unhideWhenUsed/>
    <w:rsid w:val="006D24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417"/>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5753">
      <w:bodyDiv w:val="1"/>
      <w:marLeft w:val="0"/>
      <w:marRight w:val="0"/>
      <w:marTop w:val="0"/>
      <w:marBottom w:val="0"/>
      <w:divBdr>
        <w:top w:val="none" w:sz="0" w:space="0" w:color="auto"/>
        <w:left w:val="none" w:sz="0" w:space="0" w:color="auto"/>
        <w:bottom w:val="none" w:sz="0" w:space="0" w:color="auto"/>
        <w:right w:val="none" w:sz="0" w:space="0" w:color="auto"/>
      </w:divBdr>
      <w:divsChild>
        <w:div w:id="418869596">
          <w:marLeft w:val="0"/>
          <w:marRight w:val="0"/>
          <w:marTop w:val="0"/>
          <w:marBottom w:val="0"/>
          <w:divBdr>
            <w:top w:val="none" w:sz="0" w:space="0" w:color="auto"/>
            <w:left w:val="none" w:sz="0" w:space="0" w:color="auto"/>
            <w:bottom w:val="none" w:sz="0" w:space="0" w:color="auto"/>
            <w:right w:val="none" w:sz="0" w:space="0" w:color="auto"/>
          </w:divBdr>
        </w:div>
        <w:div w:id="1436443348">
          <w:marLeft w:val="0"/>
          <w:marRight w:val="0"/>
          <w:marTop w:val="0"/>
          <w:marBottom w:val="0"/>
          <w:divBdr>
            <w:top w:val="single" w:sz="2" w:space="0" w:color="E3E3E3"/>
            <w:left w:val="single" w:sz="2" w:space="0" w:color="E3E3E3"/>
            <w:bottom w:val="single" w:sz="2" w:space="0" w:color="E3E3E3"/>
            <w:right w:val="single" w:sz="2" w:space="0" w:color="E3E3E3"/>
          </w:divBdr>
          <w:divsChild>
            <w:div w:id="1864434947">
              <w:marLeft w:val="0"/>
              <w:marRight w:val="0"/>
              <w:marTop w:val="0"/>
              <w:marBottom w:val="0"/>
              <w:divBdr>
                <w:top w:val="single" w:sz="2" w:space="0" w:color="E3E3E3"/>
                <w:left w:val="single" w:sz="2" w:space="0" w:color="E3E3E3"/>
                <w:bottom w:val="single" w:sz="2" w:space="0" w:color="E3E3E3"/>
                <w:right w:val="single" w:sz="2" w:space="0" w:color="E3E3E3"/>
              </w:divBdr>
              <w:divsChild>
                <w:div w:id="1249726839">
                  <w:marLeft w:val="0"/>
                  <w:marRight w:val="0"/>
                  <w:marTop w:val="0"/>
                  <w:marBottom w:val="0"/>
                  <w:divBdr>
                    <w:top w:val="single" w:sz="2" w:space="0" w:color="E3E3E3"/>
                    <w:left w:val="single" w:sz="2" w:space="0" w:color="E3E3E3"/>
                    <w:bottom w:val="single" w:sz="2" w:space="0" w:color="E3E3E3"/>
                    <w:right w:val="single" w:sz="2" w:space="0" w:color="E3E3E3"/>
                  </w:divBdr>
                  <w:divsChild>
                    <w:div w:id="1764571706">
                      <w:marLeft w:val="0"/>
                      <w:marRight w:val="0"/>
                      <w:marTop w:val="0"/>
                      <w:marBottom w:val="0"/>
                      <w:divBdr>
                        <w:top w:val="single" w:sz="2" w:space="0" w:color="E3E3E3"/>
                        <w:left w:val="single" w:sz="2" w:space="0" w:color="E3E3E3"/>
                        <w:bottom w:val="single" w:sz="2" w:space="0" w:color="E3E3E3"/>
                        <w:right w:val="single" w:sz="2" w:space="0" w:color="E3E3E3"/>
                      </w:divBdr>
                      <w:divsChild>
                        <w:div w:id="1101951340">
                          <w:marLeft w:val="0"/>
                          <w:marRight w:val="0"/>
                          <w:marTop w:val="0"/>
                          <w:marBottom w:val="0"/>
                          <w:divBdr>
                            <w:top w:val="single" w:sz="2" w:space="0" w:color="E3E3E3"/>
                            <w:left w:val="single" w:sz="2" w:space="0" w:color="E3E3E3"/>
                            <w:bottom w:val="single" w:sz="2" w:space="0" w:color="E3E3E3"/>
                            <w:right w:val="single" w:sz="2" w:space="0" w:color="E3E3E3"/>
                          </w:divBdr>
                          <w:divsChild>
                            <w:div w:id="54158405">
                              <w:marLeft w:val="0"/>
                              <w:marRight w:val="0"/>
                              <w:marTop w:val="100"/>
                              <w:marBottom w:val="100"/>
                              <w:divBdr>
                                <w:top w:val="single" w:sz="2" w:space="0" w:color="E3E3E3"/>
                                <w:left w:val="single" w:sz="2" w:space="0" w:color="E3E3E3"/>
                                <w:bottom w:val="single" w:sz="2" w:space="0" w:color="E3E3E3"/>
                                <w:right w:val="single" w:sz="2" w:space="0" w:color="E3E3E3"/>
                              </w:divBdr>
                              <w:divsChild>
                                <w:div w:id="2107530613">
                                  <w:marLeft w:val="0"/>
                                  <w:marRight w:val="0"/>
                                  <w:marTop w:val="0"/>
                                  <w:marBottom w:val="0"/>
                                  <w:divBdr>
                                    <w:top w:val="single" w:sz="2" w:space="0" w:color="E3E3E3"/>
                                    <w:left w:val="single" w:sz="2" w:space="0" w:color="E3E3E3"/>
                                    <w:bottom w:val="single" w:sz="2" w:space="0" w:color="E3E3E3"/>
                                    <w:right w:val="single" w:sz="2" w:space="0" w:color="E3E3E3"/>
                                  </w:divBdr>
                                  <w:divsChild>
                                    <w:div w:id="1206675576">
                                      <w:marLeft w:val="0"/>
                                      <w:marRight w:val="0"/>
                                      <w:marTop w:val="0"/>
                                      <w:marBottom w:val="0"/>
                                      <w:divBdr>
                                        <w:top w:val="single" w:sz="2" w:space="0" w:color="E3E3E3"/>
                                        <w:left w:val="single" w:sz="2" w:space="0" w:color="E3E3E3"/>
                                        <w:bottom w:val="single" w:sz="2" w:space="0" w:color="E3E3E3"/>
                                        <w:right w:val="single" w:sz="2" w:space="0" w:color="E3E3E3"/>
                                      </w:divBdr>
                                      <w:divsChild>
                                        <w:div w:id="38211266">
                                          <w:marLeft w:val="0"/>
                                          <w:marRight w:val="0"/>
                                          <w:marTop w:val="0"/>
                                          <w:marBottom w:val="0"/>
                                          <w:divBdr>
                                            <w:top w:val="single" w:sz="2" w:space="0" w:color="E3E3E3"/>
                                            <w:left w:val="single" w:sz="2" w:space="0" w:color="E3E3E3"/>
                                            <w:bottom w:val="single" w:sz="2" w:space="0" w:color="E3E3E3"/>
                                            <w:right w:val="single" w:sz="2" w:space="0" w:color="E3E3E3"/>
                                          </w:divBdr>
                                          <w:divsChild>
                                            <w:div w:id="1289436821">
                                              <w:marLeft w:val="0"/>
                                              <w:marRight w:val="0"/>
                                              <w:marTop w:val="0"/>
                                              <w:marBottom w:val="0"/>
                                              <w:divBdr>
                                                <w:top w:val="single" w:sz="2" w:space="0" w:color="E3E3E3"/>
                                                <w:left w:val="single" w:sz="2" w:space="0" w:color="E3E3E3"/>
                                                <w:bottom w:val="single" w:sz="2" w:space="0" w:color="E3E3E3"/>
                                                <w:right w:val="single" w:sz="2" w:space="0" w:color="E3E3E3"/>
                                              </w:divBdr>
                                              <w:divsChild>
                                                <w:div w:id="2049260490">
                                                  <w:marLeft w:val="0"/>
                                                  <w:marRight w:val="0"/>
                                                  <w:marTop w:val="0"/>
                                                  <w:marBottom w:val="0"/>
                                                  <w:divBdr>
                                                    <w:top w:val="single" w:sz="2" w:space="0" w:color="E3E3E3"/>
                                                    <w:left w:val="single" w:sz="2" w:space="0" w:color="E3E3E3"/>
                                                    <w:bottom w:val="single" w:sz="2" w:space="0" w:color="E3E3E3"/>
                                                    <w:right w:val="single" w:sz="2" w:space="0" w:color="E3E3E3"/>
                                                  </w:divBdr>
                                                  <w:divsChild>
                                                    <w:div w:id="18200028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12056">
      <w:bodyDiv w:val="1"/>
      <w:marLeft w:val="0"/>
      <w:marRight w:val="0"/>
      <w:marTop w:val="0"/>
      <w:marBottom w:val="0"/>
      <w:divBdr>
        <w:top w:val="none" w:sz="0" w:space="0" w:color="auto"/>
        <w:left w:val="none" w:sz="0" w:space="0" w:color="auto"/>
        <w:bottom w:val="none" w:sz="0" w:space="0" w:color="auto"/>
        <w:right w:val="none" w:sz="0" w:space="0" w:color="auto"/>
      </w:divBdr>
      <w:divsChild>
        <w:div w:id="1485976630">
          <w:marLeft w:val="0"/>
          <w:marRight w:val="0"/>
          <w:marTop w:val="0"/>
          <w:marBottom w:val="0"/>
          <w:divBdr>
            <w:top w:val="none" w:sz="0" w:space="0" w:color="auto"/>
            <w:left w:val="none" w:sz="0" w:space="0" w:color="auto"/>
            <w:bottom w:val="none" w:sz="0" w:space="0" w:color="auto"/>
            <w:right w:val="none" w:sz="0" w:space="0" w:color="auto"/>
          </w:divBdr>
        </w:div>
        <w:div w:id="2045863034">
          <w:marLeft w:val="0"/>
          <w:marRight w:val="0"/>
          <w:marTop w:val="0"/>
          <w:marBottom w:val="0"/>
          <w:divBdr>
            <w:top w:val="single" w:sz="2" w:space="0" w:color="E3E3E3"/>
            <w:left w:val="single" w:sz="2" w:space="0" w:color="E3E3E3"/>
            <w:bottom w:val="single" w:sz="2" w:space="0" w:color="E3E3E3"/>
            <w:right w:val="single" w:sz="2" w:space="0" w:color="E3E3E3"/>
          </w:divBdr>
          <w:divsChild>
            <w:div w:id="855460912">
              <w:marLeft w:val="0"/>
              <w:marRight w:val="0"/>
              <w:marTop w:val="0"/>
              <w:marBottom w:val="0"/>
              <w:divBdr>
                <w:top w:val="single" w:sz="2" w:space="0" w:color="E3E3E3"/>
                <w:left w:val="single" w:sz="2" w:space="0" w:color="E3E3E3"/>
                <w:bottom w:val="single" w:sz="2" w:space="0" w:color="E3E3E3"/>
                <w:right w:val="single" w:sz="2" w:space="0" w:color="E3E3E3"/>
              </w:divBdr>
              <w:divsChild>
                <w:div w:id="1504276519">
                  <w:marLeft w:val="0"/>
                  <w:marRight w:val="0"/>
                  <w:marTop w:val="0"/>
                  <w:marBottom w:val="0"/>
                  <w:divBdr>
                    <w:top w:val="single" w:sz="2" w:space="0" w:color="E3E3E3"/>
                    <w:left w:val="single" w:sz="2" w:space="0" w:color="E3E3E3"/>
                    <w:bottom w:val="single" w:sz="2" w:space="0" w:color="E3E3E3"/>
                    <w:right w:val="single" w:sz="2" w:space="0" w:color="E3E3E3"/>
                  </w:divBdr>
                  <w:divsChild>
                    <w:div w:id="946619309">
                      <w:marLeft w:val="0"/>
                      <w:marRight w:val="0"/>
                      <w:marTop w:val="0"/>
                      <w:marBottom w:val="0"/>
                      <w:divBdr>
                        <w:top w:val="single" w:sz="2" w:space="0" w:color="E3E3E3"/>
                        <w:left w:val="single" w:sz="2" w:space="0" w:color="E3E3E3"/>
                        <w:bottom w:val="single" w:sz="2" w:space="0" w:color="E3E3E3"/>
                        <w:right w:val="single" w:sz="2" w:space="0" w:color="E3E3E3"/>
                      </w:divBdr>
                      <w:divsChild>
                        <w:div w:id="1442915715">
                          <w:marLeft w:val="0"/>
                          <w:marRight w:val="0"/>
                          <w:marTop w:val="0"/>
                          <w:marBottom w:val="0"/>
                          <w:divBdr>
                            <w:top w:val="single" w:sz="2" w:space="0" w:color="E3E3E3"/>
                            <w:left w:val="single" w:sz="2" w:space="0" w:color="E3E3E3"/>
                            <w:bottom w:val="single" w:sz="2" w:space="0" w:color="E3E3E3"/>
                            <w:right w:val="single" w:sz="2" w:space="0" w:color="E3E3E3"/>
                          </w:divBdr>
                          <w:divsChild>
                            <w:div w:id="424762680">
                              <w:marLeft w:val="0"/>
                              <w:marRight w:val="0"/>
                              <w:marTop w:val="100"/>
                              <w:marBottom w:val="100"/>
                              <w:divBdr>
                                <w:top w:val="single" w:sz="2" w:space="0" w:color="E3E3E3"/>
                                <w:left w:val="single" w:sz="2" w:space="0" w:color="E3E3E3"/>
                                <w:bottom w:val="single" w:sz="2" w:space="0" w:color="E3E3E3"/>
                                <w:right w:val="single" w:sz="2" w:space="0" w:color="E3E3E3"/>
                              </w:divBdr>
                              <w:divsChild>
                                <w:div w:id="1821069044">
                                  <w:marLeft w:val="0"/>
                                  <w:marRight w:val="0"/>
                                  <w:marTop w:val="0"/>
                                  <w:marBottom w:val="0"/>
                                  <w:divBdr>
                                    <w:top w:val="single" w:sz="2" w:space="0" w:color="E3E3E3"/>
                                    <w:left w:val="single" w:sz="2" w:space="0" w:color="E3E3E3"/>
                                    <w:bottom w:val="single" w:sz="2" w:space="0" w:color="E3E3E3"/>
                                    <w:right w:val="single" w:sz="2" w:space="0" w:color="E3E3E3"/>
                                  </w:divBdr>
                                  <w:divsChild>
                                    <w:div w:id="2105609867">
                                      <w:marLeft w:val="0"/>
                                      <w:marRight w:val="0"/>
                                      <w:marTop w:val="0"/>
                                      <w:marBottom w:val="0"/>
                                      <w:divBdr>
                                        <w:top w:val="single" w:sz="2" w:space="0" w:color="E3E3E3"/>
                                        <w:left w:val="single" w:sz="2" w:space="0" w:color="E3E3E3"/>
                                        <w:bottom w:val="single" w:sz="2" w:space="0" w:color="E3E3E3"/>
                                        <w:right w:val="single" w:sz="2" w:space="0" w:color="E3E3E3"/>
                                      </w:divBdr>
                                      <w:divsChild>
                                        <w:div w:id="1463689395">
                                          <w:marLeft w:val="0"/>
                                          <w:marRight w:val="0"/>
                                          <w:marTop w:val="0"/>
                                          <w:marBottom w:val="0"/>
                                          <w:divBdr>
                                            <w:top w:val="single" w:sz="2" w:space="0" w:color="E3E3E3"/>
                                            <w:left w:val="single" w:sz="2" w:space="0" w:color="E3E3E3"/>
                                            <w:bottom w:val="single" w:sz="2" w:space="0" w:color="E3E3E3"/>
                                            <w:right w:val="single" w:sz="2" w:space="0" w:color="E3E3E3"/>
                                          </w:divBdr>
                                          <w:divsChild>
                                            <w:div w:id="132455918">
                                              <w:marLeft w:val="0"/>
                                              <w:marRight w:val="0"/>
                                              <w:marTop w:val="0"/>
                                              <w:marBottom w:val="0"/>
                                              <w:divBdr>
                                                <w:top w:val="single" w:sz="2" w:space="0" w:color="E3E3E3"/>
                                                <w:left w:val="single" w:sz="2" w:space="0" w:color="E3E3E3"/>
                                                <w:bottom w:val="single" w:sz="2" w:space="0" w:color="E3E3E3"/>
                                                <w:right w:val="single" w:sz="2" w:space="0" w:color="E3E3E3"/>
                                              </w:divBdr>
                                              <w:divsChild>
                                                <w:div w:id="1735205076">
                                                  <w:marLeft w:val="0"/>
                                                  <w:marRight w:val="0"/>
                                                  <w:marTop w:val="0"/>
                                                  <w:marBottom w:val="0"/>
                                                  <w:divBdr>
                                                    <w:top w:val="single" w:sz="2" w:space="0" w:color="E3E3E3"/>
                                                    <w:left w:val="single" w:sz="2" w:space="0" w:color="E3E3E3"/>
                                                    <w:bottom w:val="single" w:sz="2" w:space="0" w:color="E3E3E3"/>
                                                    <w:right w:val="single" w:sz="2" w:space="0" w:color="E3E3E3"/>
                                                  </w:divBdr>
                                                  <w:divsChild>
                                                    <w:div w:id="18707966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4319281">
      <w:bodyDiv w:val="1"/>
      <w:marLeft w:val="0"/>
      <w:marRight w:val="0"/>
      <w:marTop w:val="0"/>
      <w:marBottom w:val="0"/>
      <w:divBdr>
        <w:top w:val="none" w:sz="0" w:space="0" w:color="auto"/>
        <w:left w:val="none" w:sz="0" w:space="0" w:color="auto"/>
        <w:bottom w:val="none" w:sz="0" w:space="0" w:color="auto"/>
        <w:right w:val="none" w:sz="0" w:space="0" w:color="auto"/>
      </w:divBdr>
      <w:divsChild>
        <w:div w:id="690641600">
          <w:marLeft w:val="0"/>
          <w:marRight w:val="0"/>
          <w:marTop w:val="0"/>
          <w:marBottom w:val="0"/>
          <w:divBdr>
            <w:top w:val="none" w:sz="0" w:space="0" w:color="auto"/>
            <w:left w:val="none" w:sz="0" w:space="0" w:color="auto"/>
            <w:bottom w:val="none" w:sz="0" w:space="0" w:color="auto"/>
            <w:right w:val="none" w:sz="0" w:space="0" w:color="auto"/>
          </w:divBdr>
          <w:divsChild>
            <w:div w:id="798036257">
              <w:marLeft w:val="0"/>
              <w:marRight w:val="0"/>
              <w:marTop w:val="0"/>
              <w:marBottom w:val="0"/>
              <w:divBdr>
                <w:top w:val="none" w:sz="0" w:space="0" w:color="auto"/>
                <w:left w:val="none" w:sz="0" w:space="0" w:color="auto"/>
                <w:bottom w:val="none" w:sz="0" w:space="0" w:color="auto"/>
                <w:right w:val="none" w:sz="0" w:space="0" w:color="auto"/>
              </w:divBdr>
              <w:divsChild>
                <w:div w:id="1360164426">
                  <w:marLeft w:val="0"/>
                  <w:marRight w:val="0"/>
                  <w:marTop w:val="0"/>
                  <w:marBottom w:val="0"/>
                  <w:divBdr>
                    <w:top w:val="none" w:sz="0" w:space="0" w:color="auto"/>
                    <w:left w:val="none" w:sz="0" w:space="0" w:color="auto"/>
                    <w:bottom w:val="none" w:sz="0" w:space="0" w:color="auto"/>
                    <w:right w:val="none" w:sz="0" w:space="0" w:color="auto"/>
                  </w:divBdr>
                  <w:divsChild>
                    <w:div w:id="734623234">
                      <w:marLeft w:val="0"/>
                      <w:marRight w:val="0"/>
                      <w:marTop w:val="0"/>
                      <w:marBottom w:val="0"/>
                      <w:divBdr>
                        <w:top w:val="none" w:sz="0" w:space="0" w:color="auto"/>
                        <w:left w:val="none" w:sz="0" w:space="0" w:color="auto"/>
                        <w:bottom w:val="none" w:sz="0" w:space="0" w:color="auto"/>
                        <w:right w:val="none" w:sz="0" w:space="0" w:color="auto"/>
                      </w:divBdr>
                      <w:divsChild>
                        <w:div w:id="501891107">
                          <w:marLeft w:val="0"/>
                          <w:marRight w:val="0"/>
                          <w:marTop w:val="0"/>
                          <w:marBottom w:val="0"/>
                          <w:divBdr>
                            <w:top w:val="none" w:sz="0" w:space="0" w:color="auto"/>
                            <w:left w:val="none" w:sz="0" w:space="0" w:color="auto"/>
                            <w:bottom w:val="none" w:sz="0" w:space="0" w:color="auto"/>
                            <w:right w:val="none" w:sz="0" w:space="0" w:color="auto"/>
                          </w:divBdr>
                          <w:divsChild>
                            <w:div w:id="23797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354684">
      <w:bodyDiv w:val="1"/>
      <w:marLeft w:val="0"/>
      <w:marRight w:val="0"/>
      <w:marTop w:val="0"/>
      <w:marBottom w:val="0"/>
      <w:divBdr>
        <w:top w:val="none" w:sz="0" w:space="0" w:color="auto"/>
        <w:left w:val="none" w:sz="0" w:space="0" w:color="auto"/>
        <w:bottom w:val="none" w:sz="0" w:space="0" w:color="auto"/>
        <w:right w:val="none" w:sz="0" w:space="0" w:color="auto"/>
      </w:divBdr>
      <w:divsChild>
        <w:div w:id="979965220">
          <w:marLeft w:val="0"/>
          <w:marRight w:val="0"/>
          <w:marTop w:val="0"/>
          <w:marBottom w:val="0"/>
          <w:divBdr>
            <w:top w:val="none" w:sz="0" w:space="0" w:color="auto"/>
            <w:left w:val="none" w:sz="0" w:space="0" w:color="auto"/>
            <w:bottom w:val="none" w:sz="0" w:space="0" w:color="auto"/>
            <w:right w:val="none" w:sz="0" w:space="0" w:color="auto"/>
          </w:divBdr>
          <w:divsChild>
            <w:div w:id="891699373">
              <w:marLeft w:val="0"/>
              <w:marRight w:val="0"/>
              <w:marTop w:val="0"/>
              <w:marBottom w:val="0"/>
              <w:divBdr>
                <w:top w:val="none" w:sz="0" w:space="0" w:color="auto"/>
                <w:left w:val="none" w:sz="0" w:space="0" w:color="auto"/>
                <w:bottom w:val="none" w:sz="0" w:space="0" w:color="auto"/>
                <w:right w:val="none" w:sz="0" w:space="0" w:color="auto"/>
              </w:divBdr>
              <w:divsChild>
                <w:div w:id="606739459">
                  <w:marLeft w:val="0"/>
                  <w:marRight w:val="0"/>
                  <w:marTop w:val="0"/>
                  <w:marBottom w:val="0"/>
                  <w:divBdr>
                    <w:top w:val="none" w:sz="0" w:space="0" w:color="auto"/>
                    <w:left w:val="none" w:sz="0" w:space="0" w:color="auto"/>
                    <w:bottom w:val="none" w:sz="0" w:space="0" w:color="auto"/>
                    <w:right w:val="none" w:sz="0" w:space="0" w:color="auto"/>
                  </w:divBdr>
                  <w:divsChild>
                    <w:div w:id="912935422">
                      <w:marLeft w:val="0"/>
                      <w:marRight w:val="0"/>
                      <w:marTop w:val="0"/>
                      <w:marBottom w:val="0"/>
                      <w:divBdr>
                        <w:top w:val="none" w:sz="0" w:space="0" w:color="auto"/>
                        <w:left w:val="none" w:sz="0" w:space="0" w:color="auto"/>
                        <w:bottom w:val="none" w:sz="0" w:space="0" w:color="auto"/>
                        <w:right w:val="none" w:sz="0" w:space="0" w:color="auto"/>
                      </w:divBdr>
                      <w:divsChild>
                        <w:div w:id="1585186204">
                          <w:marLeft w:val="0"/>
                          <w:marRight w:val="0"/>
                          <w:marTop w:val="0"/>
                          <w:marBottom w:val="0"/>
                          <w:divBdr>
                            <w:top w:val="none" w:sz="0" w:space="0" w:color="auto"/>
                            <w:left w:val="none" w:sz="0" w:space="0" w:color="auto"/>
                            <w:bottom w:val="none" w:sz="0" w:space="0" w:color="auto"/>
                            <w:right w:val="none" w:sz="0" w:space="0" w:color="auto"/>
                          </w:divBdr>
                          <w:divsChild>
                            <w:div w:id="12034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373281">
      <w:bodyDiv w:val="1"/>
      <w:marLeft w:val="0"/>
      <w:marRight w:val="0"/>
      <w:marTop w:val="0"/>
      <w:marBottom w:val="0"/>
      <w:divBdr>
        <w:top w:val="none" w:sz="0" w:space="0" w:color="auto"/>
        <w:left w:val="none" w:sz="0" w:space="0" w:color="auto"/>
        <w:bottom w:val="none" w:sz="0" w:space="0" w:color="auto"/>
        <w:right w:val="none" w:sz="0" w:space="0" w:color="auto"/>
      </w:divBdr>
    </w:div>
    <w:div w:id="468784222">
      <w:bodyDiv w:val="1"/>
      <w:marLeft w:val="0"/>
      <w:marRight w:val="0"/>
      <w:marTop w:val="0"/>
      <w:marBottom w:val="0"/>
      <w:divBdr>
        <w:top w:val="none" w:sz="0" w:space="0" w:color="auto"/>
        <w:left w:val="none" w:sz="0" w:space="0" w:color="auto"/>
        <w:bottom w:val="none" w:sz="0" w:space="0" w:color="auto"/>
        <w:right w:val="none" w:sz="0" w:space="0" w:color="auto"/>
      </w:divBdr>
      <w:divsChild>
        <w:div w:id="1129006052">
          <w:marLeft w:val="0"/>
          <w:marRight w:val="0"/>
          <w:marTop w:val="0"/>
          <w:marBottom w:val="0"/>
          <w:divBdr>
            <w:top w:val="none" w:sz="0" w:space="0" w:color="auto"/>
            <w:left w:val="none" w:sz="0" w:space="0" w:color="auto"/>
            <w:bottom w:val="none" w:sz="0" w:space="0" w:color="auto"/>
            <w:right w:val="none" w:sz="0" w:space="0" w:color="auto"/>
          </w:divBdr>
        </w:div>
        <w:div w:id="1199397313">
          <w:marLeft w:val="0"/>
          <w:marRight w:val="0"/>
          <w:marTop w:val="0"/>
          <w:marBottom w:val="0"/>
          <w:divBdr>
            <w:top w:val="single" w:sz="2" w:space="0" w:color="E3E3E3"/>
            <w:left w:val="single" w:sz="2" w:space="0" w:color="E3E3E3"/>
            <w:bottom w:val="single" w:sz="2" w:space="0" w:color="E3E3E3"/>
            <w:right w:val="single" w:sz="2" w:space="0" w:color="E3E3E3"/>
          </w:divBdr>
          <w:divsChild>
            <w:div w:id="136381175">
              <w:marLeft w:val="0"/>
              <w:marRight w:val="0"/>
              <w:marTop w:val="0"/>
              <w:marBottom w:val="0"/>
              <w:divBdr>
                <w:top w:val="single" w:sz="2" w:space="0" w:color="E3E3E3"/>
                <w:left w:val="single" w:sz="2" w:space="0" w:color="E3E3E3"/>
                <w:bottom w:val="single" w:sz="2" w:space="0" w:color="E3E3E3"/>
                <w:right w:val="single" w:sz="2" w:space="0" w:color="E3E3E3"/>
              </w:divBdr>
              <w:divsChild>
                <w:div w:id="681053946">
                  <w:marLeft w:val="0"/>
                  <w:marRight w:val="0"/>
                  <w:marTop w:val="0"/>
                  <w:marBottom w:val="0"/>
                  <w:divBdr>
                    <w:top w:val="single" w:sz="2" w:space="0" w:color="E3E3E3"/>
                    <w:left w:val="single" w:sz="2" w:space="0" w:color="E3E3E3"/>
                    <w:bottom w:val="single" w:sz="2" w:space="0" w:color="E3E3E3"/>
                    <w:right w:val="single" w:sz="2" w:space="0" w:color="E3E3E3"/>
                  </w:divBdr>
                  <w:divsChild>
                    <w:div w:id="48725402">
                      <w:marLeft w:val="0"/>
                      <w:marRight w:val="0"/>
                      <w:marTop w:val="0"/>
                      <w:marBottom w:val="0"/>
                      <w:divBdr>
                        <w:top w:val="single" w:sz="2" w:space="0" w:color="E3E3E3"/>
                        <w:left w:val="single" w:sz="2" w:space="0" w:color="E3E3E3"/>
                        <w:bottom w:val="single" w:sz="2" w:space="0" w:color="E3E3E3"/>
                        <w:right w:val="single" w:sz="2" w:space="0" w:color="E3E3E3"/>
                      </w:divBdr>
                      <w:divsChild>
                        <w:div w:id="1674069307">
                          <w:marLeft w:val="0"/>
                          <w:marRight w:val="0"/>
                          <w:marTop w:val="0"/>
                          <w:marBottom w:val="0"/>
                          <w:divBdr>
                            <w:top w:val="single" w:sz="2" w:space="0" w:color="E3E3E3"/>
                            <w:left w:val="single" w:sz="2" w:space="0" w:color="E3E3E3"/>
                            <w:bottom w:val="single" w:sz="2" w:space="0" w:color="E3E3E3"/>
                            <w:right w:val="single" w:sz="2" w:space="0" w:color="E3E3E3"/>
                          </w:divBdr>
                          <w:divsChild>
                            <w:div w:id="675692124">
                              <w:marLeft w:val="0"/>
                              <w:marRight w:val="0"/>
                              <w:marTop w:val="100"/>
                              <w:marBottom w:val="100"/>
                              <w:divBdr>
                                <w:top w:val="single" w:sz="2" w:space="0" w:color="E3E3E3"/>
                                <w:left w:val="single" w:sz="2" w:space="0" w:color="E3E3E3"/>
                                <w:bottom w:val="single" w:sz="2" w:space="0" w:color="E3E3E3"/>
                                <w:right w:val="single" w:sz="2" w:space="0" w:color="E3E3E3"/>
                              </w:divBdr>
                              <w:divsChild>
                                <w:div w:id="871763773">
                                  <w:marLeft w:val="0"/>
                                  <w:marRight w:val="0"/>
                                  <w:marTop w:val="0"/>
                                  <w:marBottom w:val="0"/>
                                  <w:divBdr>
                                    <w:top w:val="single" w:sz="2" w:space="0" w:color="E3E3E3"/>
                                    <w:left w:val="single" w:sz="2" w:space="0" w:color="E3E3E3"/>
                                    <w:bottom w:val="single" w:sz="2" w:space="0" w:color="E3E3E3"/>
                                    <w:right w:val="single" w:sz="2" w:space="0" w:color="E3E3E3"/>
                                  </w:divBdr>
                                  <w:divsChild>
                                    <w:div w:id="531922120">
                                      <w:marLeft w:val="0"/>
                                      <w:marRight w:val="0"/>
                                      <w:marTop w:val="0"/>
                                      <w:marBottom w:val="0"/>
                                      <w:divBdr>
                                        <w:top w:val="single" w:sz="2" w:space="0" w:color="E3E3E3"/>
                                        <w:left w:val="single" w:sz="2" w:space="0" w:color="E3E3E3"/>
                                        <w:bottom w:val="single" w:sz="2" w:space="0" w:color="E3E3E3"/>
                                        <w:right w:val="single" w:sz="2" w:space="0" w:color="E3E3E3"/>
                                      </w:divBdr>
                                      <w:divsChild>
                                        <w:div w:id="119151645">
                                          <w:marLeft w:val="0"/>
                                          <w:marRight w:val="0"/>
                                          <w:marTop w:val="0"/>
                                          <w:marBottom w:val="0"/>
                                          <w:divBdr>
                                            <w:top w:val="single" w:sz="2" w:space="0" w:color="E3E3E3"/>
                                            <w:left w:val="single" w:sz="2" w:space="0" w:color="E3E3E3"/>
                                            <w:bottom w:val="single" w:sz="2" w:space="0" w:color="E3E3E3"/>
                                            <w:right w:val="single" w:sz="2" w:space="0" w:color="E3E3E3"/>
                                          </w:divBdr>
                                          <w:divsChild>
                                            <w:div w:id="1525945956">
                                              <w:marLeft w:val="0"/>
                                              <w:marRight w:val="0"/>
                                              <w:marTop w:val="0"/>
                                              <w:marBottom w:val="0"/>
                                              <w:divBdr>
                                                <w:top w:val="single" w:sz="2" w:space="0" w:color="E3E3E3"/>
                                                <w:left w:val="single" w:sz="2" w:space="0" w:color="E3E3E3"/>
                                                <w:bottom w:val="single" w:sz="2" w:space="0" w:color="E3E3E3"/>
                                                <w:right w:val="single" w:sz="2" w:space="0" w:color="E3E3E3"/>
                                              </w:divBdr>
                                              <w:divsChild>
                                                <w:div w:id="397752359">
                                                  <w:marLeft w:val="0"/>
                                                  <w:marRight w:val="0"/>
                                                  <w:marTop w:val="0"/>
                                                  <w:marBottom w:val="0"/>
                                                  <w:divBdr>
                                                    <w:top w:val="single" w:sz="2" w:space="0" w:color="E3E3E3"/>
                                                    <w:left w:val="single" w:sz="2" w:space="0" w:color="E3E3E3"/>
                                                    <w:bottom w:val="single" w:sz="2" w:space="0" w:color="E3E3E3"/>
                                                    <w:right w:val="single" w:sz="2" w:space="0" w:color="E3E3E3"/>
                                                  </w:divBdr>
                                                  <w:divsChild>
                                                    <w:div w:id="9105831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73396343">
      <w:bodyDiv w:val="1"/>
      <w:marLeft w:val="0"/>
      <w:marRight w:val="0"/>
      <w:marTop w:val="0"/>
      <w:marBottom w:val="0"/>
      <w:divBdr>
        <w:top w:val="none" w:sz="0" w:space="0" w:color="auto"/>
        <w:left w:val="none" w:sz="0" w:space="0" w:color="auto"/>
        <w:bottom w:val="none" w:sz="0" w:space="0" w:color="auto"/>
        <w:right w:val="none" w:sz="0" w:space="0" w:color="auto"/>
      </w:divBdr>
      <w:divsChild>
        <w:div w:id="1717464549">
          <w:marLeft w:val="0"/>
          <w:marRight w:val="0"/>
          <w:marTop w:val="0"/>
          <w:marBottom w:val="0"/>
          <w:divBdr>
            <w:top w:val="none" w:sz="0" w:space="0" w:color="auto"/>
            <w:left w:val="none" w:sz="0" w:space="0" w:color="auto"/>
            <w:bottom w:val="none" w:sz="0" w:space="0" w:color="auto"/>
            <w:right w:val="none" w:sz="0" w:space="0" w:color="auto"/>
          </w:divBdr>
          <w:divsChild>
            <w:div w:id="1657297152">
              <w:marLeft w:val="0"/>
              <w:marRight w:val="0"/>
              <w:marTop w:val="0"/>
              <w:marBottom w:val="0"/>
              <w:divBdr>
                <w:top w:val="none" w:sz="0" w:space="0" w:color="auto"/>
                <w:left w:val="none" w:sz="0" w:space="0" w:color="auto"/>
                <w:bottom w:val="none" w:sz="0" w:space="0" w:color="auto"/>
                <w:right w:val="none" w:sz="0" w:space="0" w:color="auto"/>
              </w:divBdr>
              <w:divsChild>
                <w:div w:id="59792460">
                  <w:marLeft w:val="0"/>
                  <w:marRight w:val="0"/>
                  <w:marTop w:val="0"/>
                  <w:marBottom w:val="0"/>
                  <w:divBdr>
                    <w:top w:val="none" w:sz="0" w:space="0" w:color="auto"/>
                    <w:left w:val="none" w:sz="0" w:space="0" w:color="auto"/>
                    <w:bottom w:val="none" w:sz="0" w:space="0" w:color="auto"/>
                    <w:right w:val="none" w:sz="0" w:space="0" w:color="auto"/>
                  </w:divBdr>
                  <w:divsChild>
                    <w:div w:id="1800952865">
                      <w:marLeft w:val="0"/>
                      <w:marRight w:val="0"/>
                      <w:marTop w:val="0"/>
                      <w:marBottom w:val="0"/>
                      <w:divBdr>
                        <w:top w:val="none" w:sz="0" w:space="0" w:color="auto"/>
                        <w:left w:val="none" w:sz="0" w:space="0" w:color="auto"/>
                        <w:bottom w:val="none" w:sz="0" w:space="0" w:color="auto"/>
                        <w:right w:val="none" w:sz="0" w:space="0" w:color="auto"/>
                      </w:divBdr>
                      <w:divsChild>
                        <w:div w:id="1025984149">
                          <w:marLeft w:val="0"/>
                          <w:marRight w:val="0"/>
                          <w:marTop w:val="0"/>
                          <w:marBottom w:val="0"/>
                          <w:divBdr>
                            <w:top w:val="none" w:sz="0" w:space="0" w:color="auto"/>
                            <w:left w:val="none" w:sz="0" w:space="0" w:color="auto"/>
                            <w:bottom w:val="none" w:sz="0" w:space="0" w:color="auto"/>
                            <w:right w:val="none" w:sz="0" w:space="0" w:color="auto"/>
                          </w:divBdr>
                          <w:divsChild>
                            <w:div w:id="14235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067047">
      <w:bodyDiv w:val="1"/>
      <w:marLeft w:val="0"/>
      <w:marRight w:val="0"/>
      <w:marTop w:val="0"/>
      <w:marBottom w:val="0"/>
      <w:divBdr>
        <w:top w:val="none" w:sz="0" w:space="0" w:color="auto"/>
        <w:left w:val="none" w:sz="0" w:space="0" w:color="auto"/>
        <w:bottom w:val="none" w:sz="0" w:space="0" w:color="auto"/>
        <w:right w:val="none" w:sz="0" w:space="0" w:color="auto"/>
      </w:divBdr>
    </w:div>
    <w:div w:id="689912240">
      <w:bodyDiv w:val="1"/>
      <w:marLeft w:val="0"/>
      <w:marRight w:val="0"/>
      <w:marTop w:val="0"/>
      <w:marBottom w:val="0"/>
      <w:divBdr>
        <w:top w:val="none" w:sz="0" w:space="0" w:color="auto"/>
        <w:left w:val="none" w:sz="0" w:space="0" w:color="auto"/>
        <w:bottom w:val="none" w:sz="0" w:space="0" w:color="auto"/>
        <w:right w:val="none" w:sz="0" w:space="0" w:color="auto"/>
      </w:divBdr>
    </w:div>
    <w:div w:id="715544561">
      <w:bodyDiv w:val="1"/>
      <w:marLeft w:val="0"/>
      <w:marRight w:val="0"/>
      <w:marTop w:val="0"/>
      <w:marBottom w:val="0"/>
      <w:divBdr>
        <w:top w:val="none" w:sz="0" w:space="0" w:color="auto"/>
        <w:left w:val="none" w:sz="0" w:space="0" w:color="auto"/>
        <w:bottom w:val="none" w:sz="0" w:space="0" w:color="auto"/>
        <w:right w:val="none" w:sz="0" w:space="0" w:color="auto"/>
      </w:divBdr>
    </w:div>
    <w:div w:id="818692318">
      <w:bodyDiv w:val="1"/>
      <w:marLeft w:val="0"/>
      <w:marRight w:val="0"/>
      <w:marTop w:val="0"/>
      <w:marBottom w:val="0"/>
      <w:divBdr>
        <w:top w:val="none" w:sz="0" w:space="0" w:color="auto"/>
        <w:left w:val="none" w:sz="0" w:space="0" w:color="auto"/>
        <w:bottom w:val="none" w:sz="0" w:space="0" w:color="auto"/>
        <w:right w:val="none" w:sz="0" w:space="0" w:color="auto"/>
      </w:divBdr>
    </w:div>
    <w:div w:id="986787485">
      <w:bodyDiv w:val="1"/>
      <w:marLeft w:val="0"/>
      <w:marRight w:val="0"/>
      <w:marTop w:val="0"/>
      <w:marBottom w:val="0"/>
      <w:divBdr>
        <w:top w:val="none" w:sz="0" w:space="0" w:color="auto"/>
        <w:left w:val="none" w:sz="0" w:space="0" w:color="auto"/>
        <w:bottom w:val="none" w:sz="0" w:space="0" w:color="auto"/>
        <w:right w:val="none" w:sz="0" w:space="0" w:color="auto"/>
      </w:divBdr>
      <w:divsChild>
        <w:div w:id="298456480">
          <w:marLeft w:val="0"/>
          <w:marRight w:val="0"/>
          <w:marTop w:val="0"/>
          <w:marBottom w:val="0"/>
          <w:divBdr>
            <w:top w:val="none" w:sz="0" w:space="0" w:color="auto"/>
            <w:left w:val="none" w:sz="0" w:space="0" w:color="auto"/>
            <w:bottom w:val="none" w:sz="0" w:space="0" w:color="auto"/>
            <w:right w:val="none" w:sz="0" w:space="0" w:color="auto"/>
          </w:divBdr>
          <w:divsChild>
            <w:div w:id="9915618">
              <w:marLeft w:val="0"/>
              <w:marRight w:val="0"/>
              <w:marTop w:val="0"/>
              <w:marBottom w:val="0"/>
              <w:divBdr>
                <w:top w:val="none" w:sz="0" w:space="0" w:color="auto"/>
                <w:left w:val="none" w:sz="0" w:space="0" w:color="auto"/>
                <w:bottom w:val="none" w:sz="0" w:space="0" w:color="auto"/>
                <w:right w:val="none" w:sz="0" w:space="0" w:color="auto"/>
              </w:divBdr>
              <w:divsChild>
                <w:div w:id="488521022">
                  <w:marLeft w:val="0"/>
                  <w:marRight w:val="0"/>
                  <w:marTop w:val="0"/>
                  <w:marBottom w:val="0"/>
                  <w:divBdr>
                    <w:top w:val="none" w:sz="0" w:space="0" w:color="auto"/>
                    <w:left w:val="none" w:sz="0" w:space="0" w:color="auto"/>
                    <w:bottom w:val="none" w:sz="0" w:space="0" w:color="auto"/>
                    <w:right w:val="none" w:sz="0" w:space="0" w:color="auto"/>
                  </w:divBdr>
                  <w:divsChild>
                    <w:div w:id="258298239">
                      <w:marLeft w:val="0"/>
                      <w:marRight w:val="0"/>
                      <w:marTop w:val="0"/>
                      <w:marBottom w:val="0"/>
                      <w:divBdr>
                        <w:top w:val="none" w:sz="0" w:space="0" w:color="auto"/>
                        <w:left w:val="none" w:sz="0" w:space="0" w:color="auto"/>
                        <w:bottom w:val="none" w:sz="0" w:space="0" w:color="auto"/>
                        <w:right w:val="none" w:sz="0" w:space="0" w:color="auto"/>
                      </w:divBdr>
                      <w:divsChild>
                        <w:div w:id="986591369">
                          <w:marLeft w:val="0"/>
                          <w:marRight w:val="0"/>
                          <w:marTop w:val="0"/>
                          <w:marBottom w:val="0"/>
                          <w:divBdr>
                            <w:top w:val="none" w:sz="0" w:space="0" w:color="auto"/>
                            <w:left w:val="none" w:sz="0" w:space="0" w:color="auto"/>
                            <w:bottom w:val="none" w:sz="0" w:space="0" w:color="auto"/>
                            <w:right w:val="none" w:sz="0" w:space="0" w:color="auto"/>
                          </w:divBdr>
                          <w:divsChild>
                            <w:div w:id="184898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548471">
      <w:bodyDiv w:val="1"/>
      <w:marLeft w:val="0"/>
      <w:marRight w:val="0"/>
      <w:marTop w:val="0"/>
      <w:marBottom w:val="0"/>
      <w:divBdr>
        <w:top w:val="none" w:sz="0" w:space="0" w:color="auto"/>
        <w:left w:val="none" w:sz="0" w:space="0" w:color="auto"/>
        <w:bottom w:val="none" w:sz="0" w:space="0" w:color="auto"/>
        <w:right w:val="none" w:sz="0" w:space="0" w:color="auto"/>
      </w:divBdr>
    </w:div>
    <w:div w:id="1139110443">
      <w:bodyDiv w:val="1"/>
      <w:marLeft w:val="0"/>
      <w:marRight w:val="0"/>
      <w:marTop w:val="0"/>
      <w:marBottom w:val="0"/>
      <w:divBdr>
        <w:top w:val="none" w:sz="0" w:space="0" w:color="auto"/>
        <w:left w:val="none" w:sz="0" w:space="0" w:color="auto"/>
        <w:bottom w:val="none" w:sz="0" w:space="0" w:color="auto"/>
        <w:right w:val="none" w:sz="0" w:space="0" w:color="auto"/>
      </w:divBdr>
      <w:divsChild>
        <w:div w:id="1431389522">
          <w:marLeft w:val="0"/>
          <w:marRight w:val="0"/>
          <w:marTop w:val="0"/>
          <w:marBottom w:val="0"/>
          <w:divBdr>
            <w:top w:val="single" w:sz="2" w:space="0" w:color="E3E3E3"/>
            <w:left w:val="single" w:sz="2" w:space="0" w:color="E3E3E3"/>
            <w:bottom w:val="single" w:sz="2" w:space="0" w:color="E3E3E3"/>
            <w:right w:val="single" w:sz="2" w:space="0" w:color="E3E3E3"/>
          </w:divBdr>
          <w:divsChild>
            <w:div w:id="1069689064">
              <w:marLeft w:val="0"/>
              <w:marRight w:val="0"/>
              <w:marTop w:val="0"/>
              <w:marBottom w:val="0"/>
              <w:divBdr>
                <w:top w:val="single" w:sz="2" w:space="0" w:color="E3E3E3"/>
                <w:left w:val="single" w:sz="2" w:space="0" w:color="E3E3E3"/>
                <w:bottom w:val="single" w:sz="2" w:space="0" w:color="E3E3E3"/>
                <w:right w:val="single" w:sz="2" w:space="0" w:color="E3E3E3"/>
              </w:divBdr>
              <w:divsChild>
                <w:div w:id="54208923">
                  <w:marLeft w:val="0"/>
                  <w:marRight w:val="0"/>
                  <w:marTop w:val="0"/>
                  <w:marBottom w:val="0"/>
                  <w:divBdr>
                    <w:top w:val="single" w:sz="2" w:space="0" w:color="E3E3E3"/>
                    <w:left w:val="single" w:sz="2" w:space="0" w:color="E3E3E3"/>
                    <w:bottom w:val="single" w:sz="2" w:space="0" w:color="E3E3E3"/>
                    <w:right w:val="single" w:sz="2" w:space="0" w:color="E3E3E3"/>
                  </w:divBdr>
                  <w:divsChild>
                    <w:div w:id="1991709917">
                      <w:marLeft w:val="0"/>
                      <w:marRight w:val="0"/>
                      <w:marTop w:val="0"/>
                      <w:marBottom w:val="0"/>
                      <w:divBdr>
                        <w:top w:val="single" w:sz="2" w:space="0" w:color="E3E3E3"/>
                        <w:left w:val="single" w:sz="2" w:space="0" w:color="E3E3E3"/>
                        <w:bottom w:val="single" w:sz="2" w:space="0" w:color="E3E3E3"/>
                        <w:right w:val="single" w:sz="2" w:space="0" w:color="E3E3E3"/>
                      </w:divBdr>
                      <w:divsChild>
                        <w:div w:id="1875729497">
                          <w:marLeft w:val="0"/>
                          <w:marRight w:val="0"/>
                          <w:marTop w:val="0"/>
                          <w:marBottom w:val="0"/>
                          <w:divBdr>
                            <w:top w:val="single" w:sz="2" w:space="0" w:color="E3E3E3"/>
                            <w:left w:val="single" w:sz="2" w:space="0" w:color="E3E3E3"/>
                            <w:bottom w:val="single" w:sz="2" w:space="0" w:color="E3E3E3"/>
                            <w:right w:val="single" w:sz="2" w:space="0" w:color="E3E3E3"/>
                          </w:divBdr>
                          <w:divsChild>
                            <w:div w:id="1416127595">
                              <w:marLeft w:val="0"/>
                              <w:marRight w:val="0"/>
                              <w:marTop w:val="100"/>
                              <w:marBottom w:val="100"/>
                              <w:divBdr>
                                <w:top w:val="single" w:sz="2" w:space="0" w:color="E3E3E3"/>
                                <w:left w:val="single" w:sz="2" w:space="0" w:color="E3E3E3"/>
                                <w:bottom w:val="single" w:sz="2" w:space="0" w:color="E3E3E3"/>
                                <w:right w:val="single" w:sz="2" w:space="0" w:color="E3E3E3"/>
                              </w:divBdr>
                              <w:divsChild>
                                <w:div w:id="1674142736">
                                  <w:marLeft w:val="0"/>
                                  <w:marRight w:val="0"/>
                                  <w:marTop w:val="0"/>
                                  <w:marBottom w:val="0"/>
                                  <w:divBdr>
                                    <w:top w:val="single" w:sz="2" w:space="0" w:color="E3E3E3"/>
                                    <w:left w:val="single" w:sz="2" w:space="0" w:color="E3E3E3"/>
                                    <w:bottom w:val="single" w:sz="2" w:space="0" w:color="E3E3E3"/>
                                    <w:right w:val="single" w:sz="2" w:space="0" w:color="E3E3E3"/>
                                  </w:divBdr>
                                  <w:divsChild>
                                    <w:div w:id="1520242988">
                                      <w:marLeft w:val="0"/>
                                      <w:marRight w:val="0"/>
                                      <w:marTop w:val="0"/>
                                      <w:marBottom w:val="0"/>
                                      <w:divBdr>
                                        <w:top w:val="single" w:sz="2" w:space="0" w:color="E3E3E3"/>
                                        <w:left w:val="single" w:sz="2" w:space="0" w:color="E3E3E3"/>
                                        <w:bottom w:val="single" w:sz="2" w:space="0" w:color="E3E3E3"/>
                                        <w:right w:val="single" w:sz="2" w:space="0" w:color="E3E3E3"/>
                                      </w:divBdr>
                                      <w:divsChild>
                                        <w:div w:id="1869641128">
                                          <w:marLeft w:val="0"/>
                                          <w:marRight w:val="0"/>
                                          <w:marTop w:val="0"/>
                                          <w:marBottom w:val="0"/>
                                          <w:divBdr>
                                            <w:top w:val="single" w:sz="2" w:space="0" w:color="E3E3E3"/>
                                            <w:left w:val="single" w:sz="2" w:space="0" w:color="E3E3E3"/>
                                            <w:bottom w:val="single" w:sz="2" w:space="0" w:color="E3E3E3"/>
                                            <w:right w:val="single" w:sz="2" w:space="0" w:color="E3E3E3"/>
                                          </w:divBdr>
                                          <w:divsChild>
                                            <w:div w:id="339503321">
                                              <w:marLeft w:val="0"/>
                                              <w:marRight w:val="0"/>
                                              <w:marTop w:val="0"/>
                                              <w:marBottom w:val="0"/>
                                              <w:divBdr>
                                                <w:top w:val="single" w:sz="2" w:space="0" w:color="E3E3E3"/>
                                                <w:left w:val="single" w:sz="2" w:space="0" w:color="E3E3E3"/>
                                                <w:bottom w:val="single" w:sz="2" w:space="0" w:color="E3E3E3"/>
                                                <w:right w:val="single" w:sz="2" w:space="0" w:color="E3E3E3"/>
                                              </w:divBdr>
                                              <w:divsChild>
                                                <w:div w:id="1866602588">
                                                  <w:marLeft w:val="0"/>
                                                  <w:marRight w:val="0"/>
                                                  <w:marTop w:val="0"/>
                                                  <w:marBottom w:val="0"/>
                                                  <w:divBdr>
                                                    <w:top w:val="single" w:sz="2" w:space="0" w:color="E3E3E3"/>
                                                    <w:left w:val="single" w:sz="2" w:space="0" w:color="E3E3E3"/>
                                                    <w:bottom w:val="single" w:sz="2" w:space="0" w:color="E3E3E3"/>
                                                    <w:right w:val="single" w:sz="2" w:space="0" w:color="E3E3E3"/>
                                                  </w:divBdr>
                                                  <w:divsChild>
                                                    <w:div w:id="14307392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654873256">
          <w:marLeft w:val="0"/>
          <w:marRight w:val="0"/>
          <w:marTop w:val="0"/>
          <w:marBottom w:val="0"/>
          <w:divBdr>
            <w:top w:val="none" w:sz="0" w:space="0" w:color="auto"/>
            <w:left w:val="none" w:sz="0" w:space="0" w:color="auto"/>
            <w:bottom w:val="none" w:sz="0" w:space="0" w:color="auto"/>
            <w:right w:val="none" w:sz="0" w:space="0" w:color="auto"/>
          </w:divBdr>
        </w:div>
      </w:divsChild>
    </w:div>
    <w:div w:id="1195922324">
      <w:bodyDiv w:val="1"/>
      <w:marLeft w:val="0"/>
      <w:marRight w:val="0"/>
      <w:marTop w:val="0"/>
      <w:marBottom w:val="0"/>
      <w:divBdr>
        <w:top w:val="none" w:sz="0" w:space="0" w:color="auto"/>
        <w:left w:val="none" w:sz="0" w:space="0" w:color="auto"/>
        <w:bottom w:val="none" w:sz="0" w:space="0" w:color="auto"/>
        <w:right w:val="none" w:sz="0" w:space="0" w:color="auto"/>
      </w:divBdr>
      <w:divsChild>
        <w:div w:id="97067909">
          <w:marLeft w:val="0"/>
          <w:marRight w:val="0"/>
          <w:marTop w:val="0"/>
          <w:marBottom w:val="0"/>
          <w:divBdr>
            <w:top w:val="none" w:sz="0" w:space="0" w:color="auto"/>
            <w:left w:val="none" w:sz="0" w:space="0" w:color="auto"/>
            <w:bottom w:val="none" w:sz="0" w:space="0" w:color="auto"/>
            <w:right w:val="none" w:sz="0" w:space="0" w:color="auto"/>
          </w:divBdr>
          <w:divsChild>
            <w:div w:id="1951744218">
              <w:marLeft w:val="0"/>
              <w:marRight w:val="0"/>
              <w:marTop w:val="0"/>
              <w:marBottom w:val="0"/>
              <w:divBdr>
                <w:top w:val="none" w:sz="0" w:space="0" w:color="auto"/>
                <w:left w:val="none" w:sz="0" w:space="0" w:color="auto"/>
                <w:bottom w:val="none" w:sz="0" w:space="0" w:color="auto"/>
                <w:right w:val="none" w:sz="0" w:space="0" w:color="auto"/>
              </w:divBdr>
              <w:divsChild>
                <w:div w:id="372966143">
                  <w:marLeft w:val="0"/>
                  <w:marRight w:val="0"/>
                  <w:marTop w:val="0"/>
                  <w:marBottom w:val="0"/>
                  <w:divBdr>
                    <w:top w:val="none" w:sz="0" w:space="0" w:color="auto"/>
                    <w:left w:val="none" w:sz="0" w:space="0" w:color="auto"/>
                    <w:bottom w:val="none" w:sz="0" w:space="0" w:color="auto"/>
                    <w:right w:val="none" w:sz="0" w:space="0" w:color="auto"/>
                  </w:divBdr>
                  <w:divsChild>
                    <w:div w:id="2118869386">
                      <w:marLeft w:val="0"/>
                      <w:marRight w:val="0"/>
                      <w:marTop w:val="0"/>
                      <w:marBottom w:val="0"/>
                      <w:divBdr>
                        <w:top w:val="none" w:sz="0" w:space="0" w:color="auto"/>
                        <w:left w:val="none" w:sz="0" w:space="0" w:color="auto"/>
                        <w:bottom w:val="none" w:sz="0" w:space="0" w:color="auto"/>
                        <w:right w:val="none" w:sz="0" w:space="0" w:color="auto"/>
                      </w:divBdr>
                      <w:divsChild>
                        <w:div w:id="1019308429">
                          <w:marLeft w:val="0"/>
                          <w:marRight w:val="0"/>
                          <w:marTop w:val="0"/>
                          <w:marBottom w:val="0"/>
                          <w:divBdr>
                            <w:top w:val="none" w:sz="0" w:space="0" w:color="auto"/>
                            <w:left w:val="none" w:sz="0" w:space="0" w:color="auto"/>
                            <w:bottom w:val="none" w:sz="0" w:space="0" w:color="auto"/>
                            <w:right w:val="none" w:sz="0" w:space="0" w:color="auto"/>
                          </w:divBdr>
                          <w:divsChild>
                            <w:div w:id="179012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736935">
      <w:bodyDiv w:val="1"/>
      <w:marLeft w:val="0"/>
      <w:marRight w:val="0"/>
      <w:marTop w:val="0"/>
      <w:marBottom w:val="0"/>
      <w:divBdr>
        <w:top w:val="none" w:sz="0" w:space="0" w:color="auto"/>
        <w:left w:val="none" w:sz="0" w:space="0" w:color="auto"/>
        <w:bottom w:val="none" w:sz="0" w:space="0" w:color="auto"/>
        <w:right w:val="none" w:sz="0" w:space="0" w:color="auto"/>
      </w:divBdr>
    </w:div>
    <w:div w:id="1367023076">
      <w:bodyDiv w:val="1"/>
      <w:marLeft w:val="0"/>
      <w:marRight w:val="0"/>
      <w:marTop w:val="0"/>
      <w:marBottom w:val="0"/>
      <w:divBdr>
        <w:top w:val="none" w:sz="0" w:space="0" w:color="auto"/>
        <w:left w:val="none" w:sz="0" w:space="0" w:color="auto"/>
        <w:bottom w:val="none" w:sz="0" w:space="0" w:color="auto"/>
        <w:right w:val="none" w:sz="0" w:space="0" w:color="auto"/>
      </w:divBdr>
      <w:divsChild>
        <w:div w:id="735401349">
          <w:marLeft w:val="0"/>
          <w:marRight w:val="0"/>
          <w:marTop w:val="0"/>
          <w:marBottom w:val="0"/>
          <w:divBdr>
            <w:top w:val="single" w:sz="2" w:space="0" w:color="E3E3E3"/>
            <w:left w:val="single" w:sz="2" w:space="0" w:color="E3E3E3"/>
            <w:bottom w:val="single" w:sz="2" w:space="0" w:color="E3E3E3"/>
            <w:right w:val="single" w:sz="2" w:space="0" w:color="E3E3E3"/>
          </w:divBdr>
          <w:divsChild>
            <w:div w:id="1297680065">
              <w:marLeft w:val="0"/>
              <w:marRight w:val="0"/>
              <w:marTop w:val="0"/>
              <w:marBottom w:val="0"/>
              <w:divBdr>
                <w:top w:val="single" w:sz="2" w:space="0" w:color="E3E3E3"/>
                <w:left w:val="single" w:sz="2" w:space="0" w:color="E3E3E3"/>
                <w:bottom w:val="single" w:sz="2" w:space="0" w:color="E3E3E3"/>
                <w:right w:val="single" w:sz="2" w:space="0" w:color="E3E3E3"/>
              </w:divBdr>
              <w:divsChild>
                <w:div w:id="2109694508">
                  <w:marLeft w:val="0"/>
                  <w:marRight w:val="0"/>
                  <w:marTop w:val="0"/>
                  <w:marBottom w:val="0"/>
                  <w:divBdr>
                    <w:top w:val="single" w:sz="2" w:space="0" w:color="E3E3E3"/>
                    <w:left w:val="single" w:sz="2" w:space="0" w:color="E3E3E3"/>
                    <w:bottom w:val="single" w:sz="2" w:space="0" w:color="E3E3E3"/>
                    <w:right w:val="single" w:sz="2" w:space="0" w:color="E3E3E3"/>
                  </w:divBdr>
                  <w:divsChild>
                    <w:div w:id="1925842918">
                      <w:marLeft w:val="0"/>
                      <w:marRight w:val="0"/>
                      <w:marTop w:val="0"/>
                      <w:marBottom w:val="0"/>
                      <w:divBdr>
                        <w:top w:val="single" w:sz="2" w:space="0" w:color="E3E3E3"/>
                        <w:left w:val="single" w:sz="2" w:space="0" w:color="E3E3E3"/>
                        <w:bottom w:val="single" w:sz="2" w:space="0" w:color="E3E3E3"/>
                        <w:right w:val="single" w:sz="2" w:space="0" w:color="E3E3E3"/>
                      </w:divBdr>
                      <w:divsChild>
                        <w:div w:id="1976177188">
                          <w:marLeft w:val="0"/>
                          <w:marRight w:val="0"/>
                          <w:marTop w:val="0"/>
                          <w:marBottom w:val="0"/>
                          <w:divBdr>
                            <w:top w:val="single" w:sz="2" w:space="0" w:color="E3E3E3"/>
                            <w:left w:val="single" w:sz="2" w:space="0" w:color="E3E3E3"/>
                            <w:bottom w:val="single" w:sz="2" w:space="0" w:color="E3E3E3"/>
                            <w:right w:val="single" w:sz="2" w:space="0" w:color="E3E3E3"/>
                          </w:divBdr>
                          <w:divsChild>
                            <w:div w:id="1396659766">
                              <w:marLeft w:val="0"/>
                              <w:marRight w:val="0"/>
                              <w:marTop w:val="100"/>
                              <w:marBottom w:val="100"/>
                              <w:divBdr>
                                <w:top w:val="single" w:sz="2" w:space="0" w:color="E3E3E3"/>
                                <w:left w:val="single" w:sz="2" w:space="0" w:color="E3E3E3"/>
                                <w:bottom w:val="single" w:sz="2" w:space="0" w:color="E3E3E3"/>
                                <w:right w:val="single" w:sz="2" w:space="0" w:color="E3E3E3"/>
                              </w:divBdr>
                              <w:divsChild>
                                <w:div w:id="2130852700">
                                  <w:marLeft w:val="0"/>
                                  <w:marRight w:val="0"/>
                                  <w:marTop w:val="0"/>
                                  <w:marBottom w:val="0"/>
                                  <w:divBdr>
                                    <w:top w:val="single" w:sz="2" w:space="0" w:color="E3E3E3"/>
                                    <w:left w:val="single" w:sz="2" w:space="0" w:color="E3E3E3"/>
                                    <w:bottom w:val="single" w:sz="2" w:space="0" w:color="E3E3E3"/>
                                    <w:right w:val="single" w:sz="2" w:space="0" w:color="E3E3E3"/>
                                  </w:divBdr>
                                  <w:divsChild>
                                    <w:div w:id="1783331795">
                                      <w:marLeft w:val="0"/>
                                      <w:marRight w:val="0"/>
                                      <w:marTop w:val="0"/>
                                      <w:marBottom w:val="0"/>
                                      <w:divBdr>
                                        <w:top w:val="single" w:sz="2" w:space="0" w:color="E3E3E3"/>
                                        <w:left w:val="single" w:sz="2" w:space="0" w:color="E3E3E3"/>
                                        <w:bottom w:val="single" w:sz="2" w:space="0" w:color="E3E3E3"/>
                                        <w:right w:val="single" w:sz="2" w:space="0" w:color="E3E3E3"/>
                                      </w:divBdr>
                                      <w:divsChild>
                                        <w:div w:id="212423188">
                                          <w:marLeft w:val="0"/>
                                          <w:marRight w:val="0"/>
                                          <w:marTop w:val="0"/>
                                          <w:marBottom w:val="0"/>
                                          <w:divBdr>
                                            <w:top w:val="single" w:sz="2" w:space="0" w:color="E3E3E3"/>
                                            <w:left w:val="single" w:sz="2" w:space="0" w:color="E3E3E3"/>
                                            <w:bottom w:val="single" w:sz="2" w:space="0" w:color="E3E3E3"/>
                                            <w:right w:val="single" w:sz="2" w:space="0" w:color="E3E3E3"/>
                                          </w:divBdr>
                                          <w:divsChild>
                                            <w:div w:id="1933925763">
                                              <w:marLeft w:val="0"/>
                                              <w:marRight w:val="0"/>
                                              <w:marTop w:val="0"/>
                                              <w:marBottom w:val="0"/>
                                              <w:divBdr>
                                                <w:top w:val="single" w:sz="2" w:space="0" w:color="E3E3E3"/>
                                                <w:left w:val="single" w:sz="2" w:space="0" w:color="E3E3E3"/>
                                                <w:bottom w:val="single" w:sz="2" w:space="0" w:color="E3E3E3"/>
                                                <w:right w:val="single" w:sz="2" w:space="0" w:color="E3E3E3"/>
                                              </w:divBdr>
                                              <w:divsChild>
                                                <w:div w:id="1305233956">
                                                  <w:marLeft w:val="0"/>
                                                  <w:marRight w:val="0"/>
                                                  <w:marTop w:val="0"/>
                                                  <w:marBottom w:val="0"/>
                                                  <w:divBdr>
                                                    <w:top w:val="single" w:sz="2" w:space="0" w:color="E3E3E3"/>
                                                    <w:left w:val="single" w:sz="2" w:space="0" w:color="E3E3E3"/>
                                                    <w:bottom w:val="single" w:sz="2" w:space="0" w:color="E3E3E3"/>
                                                    <w:right w:val="single" w:sz="2" w:space="0" w:color="E3E3E3"/>
                                                  </w:divBdr>
                                                  <w:divsChild>
                                                    <w:div w:id="14524765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94492461">
          <w:marLeft w:val="0"/>
          <w:marRight w:val="0"/>
          <w:marTop w:val="0"/>
          <w:marBottom w:val="0"/>
          <w:divBdr>
            <w:top w:val="none" w:sz="0" w:space="0" w:color="auto"/>
            <w:left w:val="none" w:sz="0" w:space="0" w:color="auto"/>
            <w:bottom w:val="none" w:sz="0" w:space="0" w:color="auto"/>
            <w:right w:val="none" w:sz="0" w:space="0" w:color="auto"/>
          </w:divBdr>
        </w:div>
      </w:divsChild>
    </w:div>
    <w:div w:id="1499924234">
      <w:bodyDiv w:val="1"/>
      <w:marLeft w:val="0"/>
      <w:marRight w:val="0"/>
      <w:marTop w:val="0"/>
      <w:marBottom w:val="0"/>
      <w:divBdr>
        <w:top w:val="none" w:sz="0" w:space="0" w:color="auto"/>
        <w:left w:val="none" w:sz="0" w:space="0" w:color="auto"/>
        <w:bottom w:val="none" w:sz="0" w:space="0" w:color="auto"/>
        <w:right w:val="none" w:sz="0" w:space="0" w:color="auto"/>
      </w:divBdr>
      <w:divsChild>
        <w:div w:id="1436174093">
          <w:marLeft w:val="0"/>
          <w:marRight w:val="0"/>
          <w:marTop w:val="0"/>
          <w:marBottom w:val="0"/>
          <w:divBdr>
            <w:top w:val="none" w:sz="0" w:space="0" w:color="auto"/>
            <w:left w:val="none" w:sz="0" w:space="0" w:color="auto"/>
            <w:bottom w:val="none" w:sz="0" w:space="0" w:color="auto"/>
            <w:right w:val="none" w:sz="0" w:space="0" w:color="auto"/>
          </w:divBdr>
          <w:divsChild>
            <w:div w:id="667486868">
              <w:marLeft w:val="0"/>
              <w:marRight w:val="0"/>
              <w:marTop w:val="0"/>
              <w:marBottom w:val="0"/>
              <w:divBdr>
                <w:top w:val="none" w:sz="0" w:space="0" w:color="auto"/>
                <w:left w:val="none" w:sz="0" w:space="0" w:color="auto"/>
                <w:bottom w:val="none" w:sz="0" w:space="0" w:color="auto"/>
                <w:right w:val="none" w:sz="0" w:space="0" w:color="auto"/>
              </w:divBdr>
              <w:divsChild>
                <w:div w:id="1013653627">
                  <w:marLeft w:val="0"/>
                  <w:marRight w:val="0"/>
                  <w:marTop w:val="0"/>
                  <w:marBottom w:val="0"/>
                  <w:divBdr>
                    <w:top w:val="none" w:sz="0" w:space="0" w:color="auto"/>
                    <w:left w:val="none" w:sz="0" w:space="0" w:color="auto"/>
                    <w:bottom w:val="none" w:sz="0" w:space="0" w:color="auto"/>
                    <w:right w:val="none" w:sz="0" w:space="0" w:color="auto"/>
                  </w:divBdr>
                  <w:divsChild>
                    <w:div w:id="2004888280">
                      <w:marLeft w:val="0"/>
                      <w:marRight w:val="0"/>
                      <w:marTop w:val="0"/>
                      <w:marBottom w:val="0"/>
                      <w:divBdr>
                        <w:top w:val="none" w:sz="0" w:space="0" w:color="auto"/>
                        <w:left w:val="none" w:sz="0" w:space="0" w:color="auto"/>
                        <w:bottom w:val="none" w:sz="0" w:space="0" w:color="auto"/>
                        <w:right w:val="none" w:sz="0" w:space="0" w:color="auto"/>
                      </w:divBdr>
                      <w:divsChild>
                        <w:div w:id="2080975901">
                          <w:marLeft w:val="0"/>
                          <w:marRight w:val="0"/>
                          <w:marTop w:val="0"/>
                          <w:marBottom w:val="0"/>
                          <w:divBdr>
                            <w:top w:val="none" w:sz="0" w:space="0" w:color="auto"/>
                            <w:left w:val="none" w:sz="0" w:space="0" w:color="auto"/>
                            <w:bottom w:val="none" w:sz="0" w:space="0" w:color="auto"/>
                            <w:right w:val="none" w:sz="0" w:space="0" w:color="auto"/>
                          </w:divBdr>
                          <w:divsChild>
                            <w:div w:id="84582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121435">
      <w:bodyDiv w:val="1"/>
      <w:marLeft w:val="0"/>
      <w:marRight w:val="0"/>
      <w:marTop w:val="0"/>
      <w:marBottom w:val="0"/>
      <w:divBdr>
        <w:top w:val="none" w:sz="0" w:space="0" w:color="auto"/>
        <w:left w:val="none" w:sz="0" w:space="0" w:color="auto"/>
        <w:bottom w:val="none" w:sz="0" w:space="0" w:color="auto"/>
        <w:right w:val="none" w:sz="0" w:space="0" w:color="auto"/>
      </w:divBdr>
      <w:divsChild>
        <w:div w:id="1121614323">
          <w:marLeft w:val="0"/>
          <w:marRight w:val="0"/>
          <w:marTop w:val="0"/>
          <w:marBottom w:val="0"/>
          <w:divBdr>
            <w:top w:val="single" w:sz="2" w:space="0" w:color="E3E3E3"/>
            <w:left w:val="single" w:sz="2" w:space="0" w:color="E3E3E3"/>
            <w:bottom w:val="single" w:sz="2" w:space="0" w:color="E3E3E3"/>
            <w:right w:val="single" w:sz="2" w:space="0" w:color="E3E3E3"/>
          </w:divBdr>
          <w:divsChild>
            <w:div w:id="2061054264">
              <w:marLeft w:val="0"/>
              <w:marRight w:val="0"/>
              <w:marTop w:val="0"/>
              <w:marBottom w:val="0"/>
              <w:divBdr>
                <w:top w:val="single" w:sz="2" w:space="0" w:color="E3E3E3"/>
                <w:left w:val="single" w:sz="2" w:space="0" w:color="E3E3E3"/>
                <w:bottom w:val="single" w:sz="2" w:space="0" w:color="E3E3E3"/>
                <w:right w:val="single" w:sz="2" w:space="0" w:color="E3E3E3"/>
              </w:divBdr>
              <w:divsChild>
                <w:div w:id="662395546">
                  <w:marLeft w:val="0"/>
                  <w:marRight w:val="0"/>
                  <w:marTop w:val="0"/>
                  <w:marBottom w:val="0"/>
                  <w:divBdr>
                    <w:top w:val="single" w:sz="2" w:space="0" w:color="E3E3E3"/>
                    <w:left w:val="single" w:sz="2" w:space="0" w:color="E3E3E3"/>
                    <w:bottom w:val="single" w:sz="2" w:space="0" w:color="E3E3E3"/>
                    <w:right w:val="single" w:sz="2" w:space="0" w:color="E3E3E3"/>
                  </w:divBdr>
                  <w:divsChild>
                    <w:div w:id="811293857">
                      <w:marLeft w:val="0"/>
                      <w:marRight w:val="0"/>
                      <w:marTop w:val="0"/>
                      <w:marBottom w:val="0"/>
                      <w:divBdr>
                        <w:top w:val="single" w:sz="2" w:space="0" w:color="E3E3E3"/>
                        <w:left w:val="single" w:sz="2" w:space="0" w:color="E3E3E3"/>
                        <w:bottom w:val="single" w:sz="2" w:space="0" w:color="E3E3E3"/>
                        <w:right w:val="single" w:sz="2" w:space="0" w:color="E3E3E3"/>
                      </w:divBdr>
                      <w:divsChild>
                        <w:div w:id="1183935063">
                          <w:marLeft w:val="0"/>
                          <w:marRight w:val="0"/>
                          <w:marTop w:val="0"/>
                          <w:marBottom w:val="0"/>
                          <w:divBdr>
                            <w:top w:val="single" w:sz="2" w:space="0" w:color="E3E3E3"/>
                            <w:left w:val="single" w:sz="2" w:space="0" w:color="E3E3E3"/>
                            <w:bottom w:val="single" w:sz="2" w:space="0" w:color="E3E3E3"/>
                            <w:right w:val="single" w:sz="2" w:space="0" w:color="E3E3E3"/>
                          </w:divBdr>
                          <w:divsChild>
                            <w:div w:id="862747905">
                              <w:marLeft w:val="0"/>
                              <w:marRight w:val="0"/>
                              <w:marTop w:val="100"/>
                              <w:marBottom w:val="100"/>
                              <w:divBdr>
                                <w:top w:val="single" w:sz="2" w:space="0" w:color="E3E3E3"/>
                                <w:left w:val="single" w:sz="2" w:space="0" w:color="E3E3E3"/>
                                <w:bottom w:val="single" w:sz="2" w:space="0" w:color="E3E3E3"/>
                                <w:right w:val="single" w:sz="2" w:space="0" w:color="E3E3E3"/>
                              </w:divBdr>
                              <w:divsChild>
                                <w:div w:id="693075951">
                                  <w:marLeft w:val="0"/>
                                  <w:marRight w:val="0"/>
                                  <w:marTop w:val="0"/>
                                  <w:marBottom w:val="0"/>
                                  <w:divBdr>
                                    <w:top w:val="single" w:sz="2" w:space="0" w:color="E3E3E3"/>
                                    <w:left w:val="single" w:sz="2" w:space="0" w:color="E3E3E3"/>
                                    <w:bottom w:val="single" w:sz="2" w:space="0" w:color="E3E3E3"/>
                                    <w:right w:val="single" w:sz="2" w:space="0" w:color="E3E3E3"/>
                                  </w:divBdr>
                                  <w:divsChild>
                                    <w:div w:id="231277246">
                                      <w:marLeft w:val="0"/>
                                      <w:marRight w:val="0"/>
                                      <w:marTop w:val="0"/>
                                      <w:marBottom w:val="0"/>
                                      <w:divBdr>
                                        <w:top w:val="single" w:sz="2" w:space="0" w:color="E3E3E3"/>
                                        <w:left w:val="single" w:sz="2" w:space="0" w:color="E3E3E3"/>
                                        <w:bottom w:val="single" w:sz="2" w:space="0" w:color="E3E3E3"/>
                                        <w:right w:val="single" w:sz="2" w:space="0" w:color="E3E3E3"/>
                                      </w:divBdr>
                                      <w:divsChild>
                                        <w:div w:id="1339772697">
                                          <w:marLeft w:val="0"/>
                                          <w:marRight w:val="0"/>
                                          <w:marTop w:val="0"/>
                                          <w:marBottom w:val="0"/>
                                          <w:divBdr>
                                            <w:top w:val="single" w:sz="2" w:space="0" w:color="E3E3E3"/>
                                            <w:left w:val="single" w:sz="2" w:space="0" w:color="E3E3E3"/>
                                            <w:bottom w:val="single" w:sz="2" w:space="0" w:color="E3E3E3"/>
                                            <w:right w:val="single" w:sz="2" w:space="0" w:color="E3E3E3"/>
                                          </w:divBdr>
                                          <w:divsChild>
                                            <w:div w:id="1088886864">
                                              <w:marLeft w:val="0"/>
                                              <w:marRight w:val="0"/>
                                              <w:marTop w:val="0"/>
                                              <w:marBottom w:val="0"/>
                                              <w:divBdr>
                                                <w:top w:val="single" w:sz="2" w:space="0" w:color="E3E3E3"/>
                                                <w:left w:val="single" w:sz="2" w:space="0" w:color="E3E3E3"/>
                                                <w:bottom w:val="single" w:sz="2" w:space="0" w:color="E3E3E3"/>
                                                <w:right w:val="single" w:sz="2" w:space="0" w:color="E3E3E3"/>
                                              </w:divBdr>
                                              <w:divsChild>
                                                <w:div w:id="1097366091">
                                                  <w:marLeft w:val="0"/>
                                                  <w:marRight w:val="0"/>
                                                  <w:marTop w:val="0"/>
                                                  <w:marBottom w:val="0"/>
                                                  <w:divBdr>
                                                    <w:top w:val="single" w:sz="2" w:space="0" w:color="E3E3E3"/>
                                                    <w:left w:val="single" w:sz="2" w:space="0" w:color="E3E3E3"/>
                                                    <w:bottom w:val="single" w:sz="2" w:space="0" w:color="E3E3E3"/>
                                                    <w:right w:val="single" w:sz="2" w:space="0" w:color="E3E3E3"/>
                                                  </w:divBdr>
                                                  <w:divsChild>
                                                    <w:div w:id="3061301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95581201">
          <w:marLeft w:val="0"/>
          <w:marRight w:val="0"/>
          <w:marTop w:val="0"/>
          <w:marBottom w:val="0"/>
          <w:divBdr>
            <w:top w:val="none" w:sz="0" w:space="0" w:color="auto"/>
            <w:left w:val="none" w:sz="0" w:space="0" w:color="auto"/>
            <w:bottom w:val="none" w:sz="0" w:space="0" w:color="auto"/>
            <w:right w:val="none" w:sz="0" w:space="0" w:color="auto"/>
          </w:divBdr>
        </w:div>
      </w:divsChild>
    </w:div>
    <w:div w:id="1592203931">
      <w:bodyDiv w:val="1"/>
      <w:marLeft w:val="0"/>
      <w:marRight w:val="0"/>
      <w:marTop w:val="0"/>
      <w:marBottom w:val="0"/>
      <w:divBdr>
        <w:top w:val="none" w:sz="0" w:space="0" w:color="auto"/>
        <w:left w:val="none" w:sz="0" w:space="0" w:color="auto"/>
        <w:bottom w:val="none" w:sz="0" w:space="0" w:color="auto"/>
        <w:right w:val="none" w:sz="0" w:space="0" w:color="auto"/>
      </w:divBdr>
    </w:div>
    <w:div w:id="1866017959">
      <w:bodyDiv w:val="1"/>
      <w:marLeft w:val="0"/>
      <w:marRight w:val="0"/>
      <w:marTop w:val="0"/>
      <w:marBottom w:val="0"/>
      <w:divBdr>
        <w:top w:val="none" w:sz="0" w:space="0" w:color="auto"/>
        <w:left w:val="none" w:sz="0" w:space="0" w:color="auto"/>
        <w:bottom w:val="none" w:sz="0" w:space="0" w:color="auto"/>
        <w:right w:val="none" w:sz="0" w:space="0" w:color="auto"/>
      </w:divBdr>
      <w:divsChild>
        <w:div w:id="21824829">
          <w:marLeft w:val="1440"/>
          <w:marRight w:val="0"/>
          <w:marTop w:val="0"/>
          <w:marBottom w:val="0"/>
          <w:divBdr>
            <w:top w:val="none" w:sz="0" w:space="0" w:color="auto"/>
            <w:left w:val="none" w:sz="0" w:space="0" w:color="auto"/>
            <w:bottom w:val="none" w:sz="0" w:space="0" w:color="auto"/>
            <w:right w:val="none" w:sz="0" w:space="0" w:color="auto"/>
          </w:divBdr>
        </w:div>
        <w:div w:id="386926869">
          <w:marLeft w:val="1440"/>
          <w:marRight w:val="0"/>
          <w:marTop w:val="0"/>
          <w:marBottom w:val="0"/>
          <w:divBdr>
            <w:top w:val="none" w:sz="0" w:space="0" w:color="auto"/>
            <w:left w:val="none" w:sz="0" w:space="0" w:color="auto"/>
            <w:bottom w:val="none" w:sz="0" w:space="0" w:color="auto"/>
            <w:right w:val="none" w:sz="0" w:space="0" w:color="auto"/>
          </w:divBdr>
        </w:div>
        <w:div w:id="547961196">
          <w:marLeft w:val="1440"/>
          <w:marRight w:val="0"/>
          <w:marTop w:val="0"/>
          <w:marBottom w:val="0"/>
          <w:divBdr>
            <w:top w:val="none" w:sz="0" w:space="0" w:color="auto"/>
            <w:left w:val="none" w:sz="0" w:space="0" w:color="auto"/>
            <w:bottom w:val="none" w:sz="0" w:space="0" w:color="auto"/>
            <w:right w:val="none" w:sz="0" w:space="0" w:color="auto"/>
          </w:divBdr>
        </w:div>
        <w:div w:id="735736643">
          <w:marLeft w:val="1440"/>
          <w:marRight w:val="0"/>
          <w:marTop w:val="0"/>
          <w:marBottom w:val="0"/>
          <w:divBdr>
            <w:top w:val="none" w:sz="0" w:space="0" w:color="auto"/>
            <w:left w:val="none" w:sz="0" w:space="0" w:color="auto"/>
            <w:bottom w:val="none" w:sz="0" w:space="0" w:color="auto"/>
            <w:right w:val="none" w:sz="0" w:space="0" w:color="auto"/>
          </w:divBdr>
        </w:div>
        <w:div w:id="1902018448">
          <w:marLeft w:val="1440"/>
          <w:marRight w:val="0"/>
          <w:marTop w:val="0"/>
          <w:marBottom w:val="0"/>
          <w:divBdr>
            <w:top w:val="none" w:sz="0" w:space="0" w:color="auto"/>
            <w:left w:val="none" w:sz="0" w:space="0" w:color="auto"/>
            <w:bottom w:val="none" w:sz="0" w:space="0" w:color="auto"/>
            <w:right w:val="none" w:sz="0" w:space="0" w:color="auto"/>
          </w:divBdr>
        </w:div>
        <w:div w:id="1924365797">
          <w:marLeft w:val="1440"/>
          <w:marRight w:val="0"/>
          <w:marTop w:val="0"/>
          <w:marBottom w:val="0"/>
          <w:divBdr>
            <w:top w:val="none" w:sz="0" w:space="0" w:color="auto"/>
            <w:left w:val="none" w:sz="0" w:space="0" w:color="auto"/>
            <w:bottom w:val="none" w:sz="0" w:space="0" w:color="auto"/>
            <w:right w:val="none" w:sz="0" w:space="0" w:color="auto"/>
          </w:divBdr>
        </w:div>
        <w:div w:id="2027443164">
          <w:marLeft w:val="1440"/>
          <w:marRight w:val="0"/>
          <w:marTop w:val="0"/>
          <w:marBottom w:val="0"/>
          <w:divBdr>
            <w:top w:val="none" w:sz="0" w:space="0" w:color="auto"/>
            <w:left w:val="none" w:sz="0" w:space="0" w:color="auto"/>
            <w:bottom w:val="none" w:sz="0" w:space="0" w:color="auto"/>
            <w:right w:val="none" w:sz="0" w:space="0" w:color="auto"/>
          </w:divBdr>
        </w:div>
      </w:divsChild>
    </w:div>
    <w:div w:id="1873683604">
      <w:bodyDiv w:val="1"/>
      <w:marLeft w:val="0"/>
      <w:marRight w:val="0"/>
      <w:marTop w:val="0"/>
      <w:marBottom w:val="0"/>
      <w:divBdr>
        <w:top w:val="none" w:sz="0" w:space="0" w:color="auto"/>
        <w:left w:val="none" w:sz="0" w:space="0" w:color="auto"/>
        <w:bottom w:val="none" w:sz="0" w:space="0" w:color="auto"/>
        <w:right w:val="none" w:sz="0" w:space="0" w:color="auto"/>
      </w:divBdr>
      <w:divsChild>
        <w:div w:id="818303348">
          <w:marLeft w:val="0"/>
          <w:marRight w:val="0"/>
          <w:marTop w:val="0"/>
          <w:marBottom w:val="0"/>
          <w:divBdr>
            <w:top w:val="none" w:sz="0" w:space="0" w:color="auto"/>
            <w:left w:val="none" w:sz="0" w:space="0" w:color="auto"/>
            <w:bottom w:val="none" w:sz="0" w:space="0" w:color="auto"/>
            <w:right w:val="none" w:sz="0" w:space="0" w:color="auto"/>
          </w:divBdr>
          <w:divsChild>
            <w:div w:id="1235169268">
              <w:marLeft w:val="0"/>
              <w:marRight w:val="0"/>
              <w:marTop w:val="0"/>
              <w:marBottom w:val="0"/>
              <w:divBdr>
                <w:top w:val="none" w:sz="0" w:space="0" w:color="auto"/>
                <w:left w:val="none" w:sz="0" w:space="0" w:color="auto"/>
                <w:bottom w:val="none" w:sz="0" w:space="0" w:color="auto"/>
                <w:right w:val="none" w:sz="0" w:space="0" w:color="auto"/>
              </w:divBdr>
              <w:divsChild>
                <w:div w:id="1364481352">
                  <w:marLeft w:val="0"/>
                  <w:marRight w:val="0"/>
                  <w:marTop w:val="0"/>
                  <w:marBottom w:val="0"/>
                  <w:divBdr>
                    <w:top w:val="none" w:sz="0" w:space="0" w:color="auto"/>
                    <w:left w:val="none" w:sz="0" w:space="0" w:color="auto"/>
                    <w:bottom w:val="none" w:sz="0" w:space="0" w:color="auto"/>
                    <w:right w:val="none" w:sz="0" w:space="0" w:color="auto"/>
                  </w:divBdr>
                  <w:divsChild>
                    <w:div w:id="330565621">
                      <w:marLeft w:val="0"/>
                      <w:marRight w:val="0"/>
                      <w:marTop w:val="0"/>
                      <w:marBottom w:val="0"/>
                      <w:divBdr>
                        <w:top w:val="none" w:sz="0" w:space="0" w:color="auto"/>
                        <w:left w:val="none" w:sz="0" w:space="0" w:color="auto"/>
                        <w:bottom w:val="none" w:sz="0" w:space="0" w:color="auto"/>
                        <w:right w:val="none" w:sz="0" w:space="0" w:color="auto"/>
                      </w:divBdr>
                      <w:divsChild>
                        <w:div w:id="930046446">
                          <w:marLeft w:val="0"/>
                          <w:marRight w:val="0"/>
                          <w:marTop w:val="0"/>
                          <w:marBottom w:val="0"/>
                          <w:divBdr>
                            <w:top w:val="none" w:sz="0" w:space="0" w:color="auto"/>
                            <w:left w:val="none" w:sz="0" w:space="0" w:color="auto"/>
                            <w:bottom w:val="none" w:sz="0" w:space="0" w:color="auto"/>
                            <w:right w:val="none" w:sz="0" w:space="0" w:color="auto"/>
                          </w:divBdr>
                          <w:divsChild>
                            <w:div w:id="211296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465657">
      <w:bodyDiv w:val="1"/>
      <w:marLeft w:val="0"/>
      <w:marRight w:val="0"/>
      <w:marTop w:val="0"/>
      <w:marBottom w:val="0"/>
      <w:divBdr>
        <w:top w:val="none" w:sz="0" w:space="0" w:color="auto"/>
        <w:left w:val="none" w:sz="0" w:space="0" w:color="auto"/>
        <w:bottom w:val="none" w:sz="0" w:space="0" w:color="auto"/>
        <w:right w:val="none" w:sz="0" w:space="0" w:color="auto"/>
      </w:divBdr>
    </w:div>
    <w:div w:id="2087528318">
      <w:bodyDiv w:val="1"/>
      <w:marLeft w:val="0"/>
      <w:marRight w:val="0"/>
      <w:marTop w:val="0"/>
      <w:marBottom w:val="0"/>
      <w:divBdr>
        <w:top w:val="none" w:sz="0" w:space="0" w:color="auto"/>
        <w:left w:val="none" w:sz="0" w:space="0" w:color="auto"/>
        <w:bottom w:val="none" w:sz="0" w:space="0" w:color="auto"/>
        <w:right w:val="none" w:sz="0" w:space="0" w:color="auto"/>
      </w:divBdr>
      <w:divsChild>
        <w:div w:id="1139612277">
          <w:marLeft w:val="0"/>
          <w:marRight w:val="0"/>
          <w:marTop w:val="0"/>
          <w:marBottom w:val="0"/>
          <w:divBdr>
            <w:top w:val="none" w:sz="0" w:space="0" w:color="auto"/>
            <w:left w:val="none" w:sz="0" w:space="0" w:color="auto"/>
            <w:bottom w:val="none" w:sz="0" w:space="0" w:color="auto"/>
            <w:right w:val="none" w:sz="0" w:space="0" w:color="auto"/>
          </w:divBdr>
          <w:divsChild>
            <w:div w:id="635645797">
              <w:marLeft w:val="0"/>
              <w:marRight w:val="0"/>
              <w:marTop w:val="0"/>
              <w:marBottom w:val="0"/>
              <w:divBdr>
                <w:top w:val="none" w:sz="0" w:space="0" w:color="auto"/>
                <w:left w:val="none" w:sz="0" w:space="0" w:color="auto"/>
                <w:bottom w:val="none" w:sz="0" w:space="0" w:color="auto"/>
                <w:right w:val="none" w:sz="0" w:space="0" w:color="auto"/>
              </w:divBdr>
              <w:divsChild>
                <w:div w:id="1173912335">
                  <w:marLeft w:val="0"/>
                  <w:marRight w:val="0"/>
                  <w:marTop w:val="0"/>
                  <w:marBottom w:val="0"/>
                  <w:divBdr>
                    <w:top w:val="none" w:sz="0" w:space="0" w:color="auto"/>
                    <w:left w:val="none" w:sz="0" w:space="0" w:color="auto"/>
                    <w:bottom w:val="none" w:sz="0" w:space="0" w:color="auto"/>
                    <w:right w:val="none" w:sz="0" w:space="0" w:color="auto"/>
                  </w:divBdr>
                  <w:divsChild>
                    <w:div w:id="1930314258">
                      <w:marLeft w:val="0"/>
                      <w:marRight w:val="0"/>
                      <w:marTop w:val="0"/>
                      <w:marBottom w:val="0"/>
                      <w:divBdr>
                        <w:top w:val="none" w:sz="0" w:space="0" w:color="auto"/>
                        <w:left w:val="none" w:sz="0" w:space="0" w:color="auto"/>
                        <w:bottom w:val="none" w:sz="0" w:space="0" w:color="auto"/>
                        <w:right w:val="none" w:sz="0" w:space="0" w:color="auto"/>
                      </w:divBdr>
                      <w:divsChild>
                        <w:div w:id="1212301226">
                          <w:marLeft w:val="0"/>
                          <w:marRight w:val="0"/>
                          <w:marTop w:val="0"/>
                          <w:marBottom w:val="0"/>
                          <w:divBdr>
                            <w:top w:val="none" w:sz="0" w:space="0" w:color="auto"/>
                            <w:left w:val="none" w:sz="0" w:space="0" w:color="auto"/>
                            <w:bottom w:val="none" w:sz="0" w:space="0" w:color="auto"/>
                            <w:right w:val="none" w:sz="0" w:space="0" w:color="auto"/>
                          </w:divBdr>
                          <w:divsChild>
                            <w:div w:id="190401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D4BC80EC4A984D878FB060CFAA1AED" ma:contentTypeVersion="23" ma:contentTypeDescription="Create a new document." ma:contentTypeScope="" ma:versionID="4db97e32cc98b120f147ef490e48e994">
  <xsd:schema xmlns:xsd="http://www.w3.org/2001/XMLSchema" xmlns:xs="http://www.w3.org/2001/XMLSchema" xmlns:p="http://schemas.microsoft.com/office/2006/metadata/properties" xmlns:ns2="d6d3b133-f54d-4ce1-9dfb-ce9b13d54004" xmlns:ns3="fa01ac65-7f6a-4ecb-8efb-39a4ed598eaa" targetNamespace="http://schemas.microsoft.com/office/2006/metadata/properties" ma:root="true" ma:fieldsID="c82746922f6c54ba7878c2dfc7902e76" ns2:_="" ns3:_="">
    <xsd:import namespace="d6d3b133-f54d-4ce1-9dfb-ce9b13d54004"/>
    <xsd:import namespace="fa01ac65-7f6a-4ecb-8efb-39a4ed598e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3b133-f54d-4ce1-9dfb-ce9b13d5400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0e54d50-0870-4f61-ab84-d7df414cd4b0}" ma:internalName="TaxCatchAll" ma:showField="CatchAllData" ma:web="d6d3b133-f54d-4ce1-9dfb-ce9b13d540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01ac65-7f6a-4ecb-8efb-39a4ed598e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a88b889-8e90-476e-8860-9438b808086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d6d3b133-f54d-4ce1-9dfb-ce9b13d54004" xsi:nil="true"/>
    <lcf76f155ced4ddcb4097134ff3c332f xmlns="fa01ac65-7f6a-4ecb-8efb-39a4ed598eaa">
      <Terms xmlns="http://schemas.microsoft.com/office/infopath/2007/PartnerControls"/>
    </lcf76f155ced4ddcb4097134ff3c332f>
    <_dlc_DocId xmlns="d6d3b133-f54d-4ce1-9dfb-ce9b13d54004">N53UQAAARWYM-369550157-2351</_dlc_DocId>
    <_dlc_DocIdUrl xmlns="d6d3b133-f54d-4ce1-9dfb-ce9b13d54004">
      <Url>https://americares.sharepoint.com/acteams/programteam/AMCInd/_layouts/15/DocIdRedir.aspx?ID=N53UQAAARWYM-369550157-2351</Url>
      <Description>N53UQAAARWYM-369550157-2351</Description>
    </_dlc_DocIdUrl>
  </documentManagement>
</p:properties>
</file>

<file path=customXml/itemProps1.xml><?xml version="1.0" encoding="utf-8"?>
<ds:datastoreItem xmlns:ds="http://schemas.openxmlformats.org/officeDocument/2006/customXml" ds:itemID="{9C6178A1-B0FB-48C9-8754-8FD2DEE34E44}">
  <ds:schemaRefs>
    <ds:schemaRef ds:uri="http://schemas.microsoft.com/sharepoint/v3/contenttype/forms"/>
  </ds:schemaRefs>
</ds:datastoreItem>
</file>

<file path=customXml/itemProps2.xml><?xml version="1.0" encoding="utf-8"?>
<ds:datastoreItem xmlns:ds="http://schemas.openxmlformats.org/officeDocument/2006/customXml" ds:itemID="{A78A33A0-7407-49E7-B3F8-4302BB3F6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3b133-f54d-4ce1-9dfb-ce9b13d54004"/>
    <ds:schemaRef ds:uri="fa01ac65-7f6a-4ecb-8efb-39a4ed598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2D6D31-A616-4A80-A6A3-A9C23C7F10DD}">
  <ds:schemaRefs>
    <ds:schemaRef ds:uri="http://schemas.microsoft.com/sharepoint/events"/>
  </ds:schemaRefs>
</ds:datastoreItem>
</file>

<file path=customXml/itemProps4.xml><?xml version="1.0" encoding="utf-8"?>
<ds:datastoreItem xmlns:ds="http://schemas.openxmlformats.org/officeDocument/2006/customXml" ds:itemID="{AA948AE5-972C-45F1-B21B-3786B6658D74}">
  <ds:schemaRefs>
    <ds:schemaRef ds:uri="http://schemas.openxmlformats.org/officeDocument/2006/bibliography"/>
  </ds:schemaRefs>
</ds:datastoreItem>
</file>

<file path=customXml/itemProps5.xml><?xml version="1.0" encoding="utf-8"?>
<ds:datastoreItem xmlns:ds="http://schemas.openxmlformats.org/officeDocument/2006/customXml" ds:itemID="{B68CE770-DEC2-424F-9A99-6ADEA2A861B1}">
  <ds:schemaRefs>
    <ds:schemaRef ds:uri="http://schemas.microsoft.com/office/2006/metadata/properties"/>
    <ds:schemaRef ds:uri="http://schemas.microsoft.com/office/infopath/2007/PartnerControls"/>
    <ds:schemaRef ds:uri="d6d3b133-f54d-4ce1-9dfb-ce9b13d54004"/>
    <ds:schemaRef ds:uri="fa01ac65-7f6a-4ecb-8efb-39a4ed598eaa"/>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31</Pages>
  <Words>2100</Words>
  <Characters>24463</Characters>
  <Application>Microsoft Office Word</Application>
  <DocSecurity>0</DocSecurity>
  <Lines>203</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Publication Team</cp:lastModifiedBy>
  <cp:revision>126</cp:revision>
  <dcterms:created xsi:type="dcterms:W3CDTF">2025-12-17T03:33:00Z</dcterms:created>
  <dcterms:modified xsi:type="dcterms:W3CDTF">2026-02-19T12:28:00Z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0x0101001AD4BC80EC4A984D878FB060CFAA1AED</vt:lpwstr>
  </property>
  <property fmtid="{D5CDD505-2E9C-101B-9397-08002B2CF9AE}" pid="3" name="GrammarlyDocumentId">
    <vt:lpwstr>e5218f676080adc0ad3c0d593ed96d2efa7afa33c7aa1db353d69e9946bd72e3</vt:lpwstr>
  </property>
  <property fmtid="{D5CDD505-2E9C-101B-9397-08002B2CF9AE}" pid="4" name="_dlc_DocIdItemGuid">
    <vt:lpwstr>87f089b3-86ae-4e51-bd95-071eafb95445</vt:lpwstr>
  </property>
  <property fmtid="{D5CDD505-2E9C-101B-9397-08002B2CF9AE}" pid="5" name="MediaServiceImageTags">
    <vt:lpwstr/>
  </property>
  <property fmtid="{D5CDD505-2E9C-101B-9397-08002B2CF9AE}" pid="6" name="MSIP_Label_4791b42f-c435-42ca-9531-75a3f42aae3d_Enabled">
    <vt:lpwstr>true</vt:lpwstr>
  </property>
  <property fmtid="{D5CDD505-2E9C-101B-9397-08002B2CF9AE}" pid="7" name="MSIP_Label_4791b42f-c435-42ca-9531-75a3f42aae3d_SetDate">
    <vt:lpwstr>2025-01-18T05:46:21Z</vt:lpwstr>
  </property>
  <property fmtid="{D5CDD505-2E9C-101B-9397-08002B2CF9AE}" pid="8" name="MSIP_Label_4791b42f-c435-42ca-9531-75a3f42aae3d_Method">
    <vt:lpwstr>Privileged</vt:lpwstr>
  </property>
  <property fmtid="{D5CDD505-2E9C-101B-9397-08002B2CF9AE}" pid="9" name="MSIP_Label_4791b42f-c435-42ca-9531-75a3f42aae3d_Name">
    <vt:lpwstr>4791b42f-c435-42ca-9531-75a3f42aae3d</vt:lpwstr>
  </property>
  <property fmtid="{D5CDD505-2E9C-101B-9397-08002B2CF9AE}" pid="10" name="MSIP_Label_4791b42f-c435-42ca-9531-75a3f42aae3d_SiteId">
    <vt:lpwstr>7a916015-20ae-4ad1-9170-eefd915e9272</vt:lpwstr>
  </property>
  <property fmtid="{D5CDD505-2E9C-101B-9397-08002B2CF9AE}" pid="11" name="MSIP_Label_4791b42f-c435-42ca-9531-75a3f42aae3d_ActionId">
    <vt:lpwstr>50c2bab4-b072-4a76-89ef-f85cdbc6efb2</vt:lpwstr>
  </property>
  <property fmtid="{D5CDD505-2E9C-101B-9397-08002B2CF9AE}" pid="12" name="MSIP_Label_4791b42f-c435-42ca-9531-75a3f42aae3d_ContentBits">
    <vt:lpwstr>0</vt:lpwstr>
  </property>
  <property fmtid="{D5CDD505-2E9C-101B-9397-08002B2CF9AE}" pid="13" name="ZOTERO_PREF_1">
    <vt:lpwstr>&lt;data data-version="3" zotero-version="7.0.32"&gt;&lt;session id="4maN8gJA"/&gt;&lt;style id="http://www.zotero.org/styles/bmc-cancer" hasBibliography="1" bibliographyStyleHasBeenSet="1"/&gt;&lt;prefs&gt;&lt;pref name="fieldType" value="Field"/&gt;&lt;/prefs&gt;&lt;/data&gt;</vt:lpwstr>
  </property>
</Properties>
</file>