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6FCC9" w14:textId="77777777" w:rsidR="005E4118" w:rsidRPr="00F63C38" w:rsidRDefault="00F63C38">
      <w:pPr>
        <w:adjustRightInd w:val="0"/>
        <w:snapToGrid w:val="0"/>
        <w:spacing w:line="480" w:lineRule="auto"/>
        <w:ind w:leftChars="63" w:left="132"/>
        <w:rPr>
          <w:rFonts w:ascii="Garamond" w:hAnsi="Garamond" w:cs="Times New Roman"/>
          <w:b/>
          <w:bCs/>
          <w:sz w:val="24"/>
        </w:rPr>
      </w:pPr>
      <w:r w:rsidRPr="00F63C38">
        <w:rPr>
          <w:rFonts w:ascii="Garamond" w:hAnsi="Garamond" w:cs="Times New Roman"/>
          <w:b/>
          <w:bCs/>
          <w:sz w:val="24"/>
        </w:rPr>
        <w:t>Supplementary Table S</w:t>
      </w:r>
      <w:r w:rsidRPr="00F63C38">
        <w:rPr>
          <w:rFonts w:ascii="Garamond" w:hAnsi="Garamond" w:cs="Times New Roman" w:hint="eastAsia"/>
          <w:b/>
          <w:bCs/>
          <w:sz w:val="24"/>
        </w:rPr>
        <w:t>1</w:t>
      </w:r>
      <w:r w:rsidRPr="00F63C38">
        <w:rPr>
          <w:rFonts w:ascii="Garamond" w:hAnsi="Garamond" w:cs="Times New Roman"/>
          <w:b/>
          <w:bCs/>
          <w:sz w:val="24"/>
        </w:rPr>
        <w:t xml:space="preserve"> Pathogen-specific distribution of first MDRO-HAI events across the four study phases</w:t>
      </w:r>
    </w:p>
    <w:tbl>
      <w:tblPr>
        <w:tblStyle w:val="TableGrid"/>
        <w:tblpPr w:leftFromText="180" w:rightFromText="180" w:vertAnchor="page" w:horzAnchor="page" w:tblpX="1892" w:tblpY="2655"/>
        <w:tblOverlap w:val="never"/>
        <w:tblW w:w="838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160"/>
        <w:gridCol w:w="1160"/>
        <w:gridCol w:w="1160"/>
        <w:gridCol w:w="1160"/>
        <w:gridCol w:w="1160"/>
        <w:gridCol w:w="1163"/>
      </w:tblGrid>
      <w:tr w:rsidR="00F63C38" w:rsidRPr="00F63C38" w14:paraId="510932C4" w14:textId="77777777"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14:paraId="6ECD8287" w14:textId="77777777" w:rsidR="005E4118" w:rsidRPr="00F63C38" w:rsidRDefault="00F63C38">
            <w:pPr>
              <w:jc w:val="center"/>
              <w:rPr>
                <w:rFonts w:ascii="Garamond" w:hAnsi="Garamond" w:cs="Garamond"/>
                <w:b/>
                <w:bCs/>
                <w:sz w:val="24"/>
              </w:rPr>
            </w:pPr>
            <w:r w:rsidRPr="00F63C38">
              <w:rPr>
                <w:rFonts w:ascii="Garamond" w:hAnsi="Garamond" w:cs="Garamond"/>
                <w:b/>
                <w:bCs/>
                <w:sz w:val="24"/>
              </w:rPr>
              <w:t>Pathogen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071FFADB" w14:textId="77777777" w:rsidR="005E4118" w:rsidRPr="00F63C38" w:rsidRDefault="00F63C38">
            <w:pPr>
              <w:jc w:val="center"/>
              <w:rPr>
                <w:rFonts w:ascii="Garamond" w:hAnsi="Garamond" w:cs="Garamond"/>
                <w:b/>
                <w:bCs/>
                <w:sz w:val="24"/>
              </w:rPr>
            </w:pPr>
            <w:r w:rsidRPr="00F63C38">
              <w:rPr>
                <w:rFonts w:ascii="Garamond" w:hAnsi="Garamond" w:cs="Garamond"/>
                <w:b/>
                <w:bCs/>
                <w:sz w:val="24"/>
              </w:rPr>
              <w:t>Phase 1</w:t>
            </w:r>
          </w:p>
          <w:p w14:paraId="594DA355" w14:textId="77777777" w:rsidR="005E4118" w:rsidRPr="00F63C38" w:rsidRDefault="00F63C38">
            <w:pPr>
              <w:jc w:val="center"/>
              <w:rPr>
                <w:rFonts w:ascii="Garamond" w:hAnsi="Garamond" w:cs="Garamond"/>
                <w:b/>
                <w:bCs/>
                <w:sz w:val="24"/>
              </w:rPr>
            </w:pPr>
            <w:r w:rsidRPr="00F63C38">
              <w:rPr>
                <w:rFonts w:ascii="Garamond" w:hAnsi="Garamond" w:cs="Garamond"/>
                <w:b/>
                <w:bCs/>
                <w:sz w:val="24"/>
              </w:rPr>
              <w:t>(n=129)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56F23324" w14:textId="77777777" w:rsidR="005E4118" w:rsidRPr="00F63C38" w:rsidRDefault="00F63C38">
            <w:pPr>
              <w:jc w:val="center"/>
              <w:rPr>
                <w:rFonts w:ascii="Garamond" w:hAnsi="Garamond" w:cs="Garamond"/>
                <w:b/>
                <w:bCs/>
                <w:sz w:val="24"/>
              </w:rPr>
            </w:pPr>
            <w:r w:rsidRPr="00F63C38">
              <w:rPr>
                <w:rFonts w:ascii="Garamond" w:hAnsi="Garamond" w:cs="Garamond"/>
                <w:b/>
                <w:bCs/>
                <w:sz w:val="24"/>
              </w:rPr>
              <w:t>Phase 2</w:t>
            </w:r>
          </w:p>
          <w:p w14:paraId="0D399240" w14:textId="77777777" w:rsidR="005E4118" w:rsidRPr="00F63C38" w:rsidRDefault="00F63C38">
            <w:pPr>
              <w:jc w:val="center"/>
              <w:rPr>
                <w:rFonts w:ascii="Garamond" w:hAnsi="Garamond" w:cs="Garamond"/>
                <w:b/>
                <w:bCs/>
                <w:sz w:val="24"/>
              </w:rPr>
            </w:pPr>
            <w:r w:rsidRPr="00F63C38">
              <w:rPr>
                <w:rFonts w:ascii="Garamond" w:hAnsi="Garamond" w:cs="Garamond"/>
                <w:b/>
                <w:bCs/>
                <w:sz w:val="24"/>
              </w:rPr>
              <w:t>(n=121)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301BB2ED" w14:textId="77777777" w:rsidR="005E4118" w:rsidRPr="00F63C38" w:rsidRDefault="00F63C38">
            <w:pPr>
              <w:jc w:val="center"/>
              <w:rPr>
                <w:rFonts w:ascii="Garamond" w:hAnsi="Garamond" w:cs="Garamond"/>
                <w:b/>
                <w:bCs/>
                <w:sz w:val="24"/>
              </w:rPr>
            </w:pPr>
            <w:r w:rsidRPr="00F63C38">
              <w:rPr>
                <w:rFonts w:ascii="Garamond" w:hAnsi="Garamond" w:cs="Garamond"/>
                <w:b/>
                <w:bCs/>
                <w:sz w:val="24"/>
              </w:rPr>
              <w:t>Phase 3</w:t>
            </w:r>
          </w:p>
          <w:p w14:paraId="3F151D3A" w14:textId="77777777" w:rsidR="005E4118" w:rsidRPr="00F63C38" w:rsidRDefault="00F63C38">
            <w:pPr>
              <w:jc w:val="center"/>
              <w:rPr>
                <w:rFonts w:ascii="Garamond" w:hAnsi="Garamond" w:cs="Garamond"/>
                <w:b/>
                <w:bCs/>
                <w:sz w:val="24"/>
              </w:rPr>
            </w:pPr>
            <w:r w:rsidRPr="00F63C38">
              <w:rPr>
                <w:rFonts w:ascii="Garamond" w:hAnsi="Garamond" w:cs="Garamond"/>
                <w:b/>
                <w:bCs/>
                <w:sz w:val="24"/>
              </w:rPr>
              <w:t>(n=160)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49B14A2C" w14:textId="77777777" w:rsidR="005E4118" w:rsidRPr="00F63C38" w:rsidRDefault="00F63C38">
            <w:pPr>
              <w:jc w:val="center"/>
              <w:rPr>
                <w:rFonts w:ascii="Garamond" w:hAnsi="Garamond" w:cs="Garamond"/>
                <w:b/>
                <w:bCs/>
                <w:sz w:val="24"/>
              </w:rPr>
            </w:pPr>
            <w:r w:rsidRPr="00F63C38">
              <w:rPr>
                <w:rFonts w:ascii="Garamond" w:hAnsi="Garamond" w:cs="Garamond"/>
                <w:b/>
                <w:bCs/>
                <w:sz w:val="24"/>
              </w:rPr>
              <w:t>Phase 4</w:t>
            </w:r>
          </w:p>
          <w:p w14:paraId="5C47837D" w14:textId="77777777" w:rsidR="005E4118" w:rsidRPr="00F63C38" w:rsidRDefault="00F63C38">
            <w:pPr>
              <w:jc w:val="center"/>
              <w:rPr>
                <w:rFonts w:ascii="Garamond" w:hAnsi="Garamond" w:cs="Garamond"/>
                <w:b/>
                <w:bCs/>
                <w:sz w:val="24"/>
              </w:rPr>
            </w:pPr>
            <w:r w:rsidRPr="00F63C38">
              <w:rPr>
                <w:rFonts w:ascii="Garamond" w:hAnsi="Garamond" w:cs="Garamond"/>
                <w:b/>
                <w:bCs/>
                <w:sz w:val="24"/>
              </w:rPr>
              <w:t>(n=150)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73FE6F07" w14:textId="77777777" w:rsidR="005E4118" w:rsidRPr="00F63C38" w:rsidRDefault="00F63C38">
            <w:pPr>
              <w:jc w:val="center"/>
              <w:rPr>
                <w:rFonts w:ascii="Garamond" w:hAnsi="Garamond" w:cs="Garamond"/>
                <w:b/>
                <w:bCs/>
                <w:sz w:val="24"/>
              </w:rPr>
            </w:pPr>
            <w:r w:rsidRPr="00F63C38">
              <w:rPr>
                <w:rFonts w:ascii="Garamond" w:hAnsi="Garamond" w:cs="Garamond"/>
                <w:b/>
                <w:bCs/>
                <w:sz w:val="24"/>
              </w:rPr>
              <w:t>Overall (n=560)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14:paraId="6BDC091C" w14:textId="77777777" w:rsidR="005E4118" w:rsidRPr="00F63C38" w:rsidRDefault="00F63C38">
            <w:pPr>
              <w:jc w:val="center"/>
              <w:rPr>
                <w:rFonts w:ascii="Garamond" w:hAnsi="Garamond" w:cs="Garamond"/>
                <w:b/>
                <w:bCs/>
                <w:sz w:val="24"/>
              </w:rPr>
            </w:pPr>
            <w:r w:rsidRPr="00F63C38">
              <w:rPr>
                <w:rFonts w:ascii="Garamond" w:hAnsi="Garamond" w:cs="Garamond" w:hint="eastAsia"/>
                <w:b/>
                <w:bCs/>
                <w:i/>
                <w:iCs/>
                <w:sz w:val="24"/>
              </w:rPr>
              <w:t>P</w:t>
            </w:r>
            <w:r w:rsidRPr="00F63C38">
              <w:rPr>
                <w:rFonts w:ascii="Garamond" w:hAnsi="Garamond" w:cs="Garamond" w:hint="eastAsia"/>
                <w:b/>
                <w:bCs/>
                <w:sz w:val="24"/>
              </w:rPr>
              <w:t xml:space="preserve"> for trend</w:t>
            </w:r>
            <w:r w:rsidRPr="00F63C38">
              <w:rPr>
                <w:rFonts w:ascii="Garamond" w:hAnsi="Garamond" w:cs="Garamond"/>
                <w:b/>
                <w:bCs/>
                <w:sz w:val="24"/>
                <w:vertAlign w:val="superscript"/>
              </w:rPr>
              <w:t>1</w:t>
            </w:r>
          </w:p>
        </w:tc>
      </w:tr>
      <w:tr w:rsidR="00F63C38" w:rsidRPr="00F63C38" w14:paraId="7817CE07" w14:textId="77777777"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14:paraId="25163148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/>
                <w:sz w:val="24"/>
              </w:rPr>
              <w:t>CRAB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F0A2107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12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159F603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5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956372A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3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59EC24A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64B5B6B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21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vAlign w:val="center"/>
          </w:tcPr>
          <w:p w14:paraId="6932BB7E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/>
                <w:sz w:val="24"/>
              </w:rPr>
              <w:t>&lt;0.001</w:t>
            </w:r>
          </w:p>
        </w:tc>
      </w:tr>
      <w:tr w:rsidR="00F63C38" w:rsidRPr="00F63C38" w14:paraId="79A0EC2D" w14:textId="77777777">
        <w:trPr>
          <w:trHeight w:val="327"/>
        </w:trPr>
        <w:tc>
          <w:tcPr>
            <w:tcW w:w="1420" w:type="dxa"/>
            <w:vAlign w:val="center"/>
          </w:tcPr>
          <w:p w14:paraId="076592B6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/>
                <w:sz w:val="24"/>
              </w:rPr>
              <w:t>CRKP</w:t>
            </w:r>
          </w:p>
        </w:tc>
        <w:tc>
          <w:tcPr>
            <w:tcW w:w="1160" w:type="dxa"/>
            <w:vAlign w:val="center"/>
          </w:tcPr>
          <w:p w14:paraId="695C8DA2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4</w:t>
            </w:r>
          </w:p>
        </w:tc>
        <w:tc>
          <w:tcPr>
            <w:tcW w:w="1160" w:type="dxa"/>
            <w:vAlign w:val="center"/>
          </w:tcPr>
          <w:p w14:paraId="65C67E28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3</w:t>
            </w:r>
          </w:p>
        </w:tc>
        <w:tc>
          <w:tcPr>
            <w:tcW w:w="1160" w:type="dxa"/>
            <w:vAlign w:val="center"/>
          </w:tcPr>
          <w:p w14:paraId="377B0C93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1</w:t>
            </w:r>
          </w:p>
        </w:tc>
        <w:tc>
          <w:tcPr>
            <w:tcW w:w="1160" w:type="dxa"/>
            <w:vAlign w:val="center"/>
          </w:tcPr>
          <w:p w14:paraId="05382A85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2</w:t>
            </w:r>
          </w:p>
        </w:tc>
        <w:tc>
          <w:tcPr>
            <w:tcW w:w="1160" w:type="dxa"/>
            <w:vAlign w:val="center"/>
          </w:tcPr>
          <w:p w14:paraId="6ED14B3C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10</w:t>
            </w:r>
          </w:p>
        </w:tc>
        <w:tc>
          <w:tcPr>
            <w:tcW w:w="1163" w:type="dxa"/>
            <w:vAlign w:val="center"/>
          </w:tcPr>
          <w:p w14:paraId="77EBCEA3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/>
                <w:sz w:val="24"/>
              </w:rPr>
              <w:t>0.159</w:t>
            </w:r>
          </w:p>
        </w:tc>
      </w:tr>
      <w:tr w:rsidR="00F63C38" w:rsidRPr="00F63C38" w14:paraId="4DD0BF48" w14:textId="77777777">
        <w:tc>
          <w:tcPr>
            <w:tcW w:w="1420" w:type="dxa"/>
            <w:vAlign w:val="center"/>
          </w:tcPr>
          <w:p w14:paraId="53136EB8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/>
                <w:sz w:val="24"/>
              </w:rPr>
              <w:t>MRSA</w:t>
            </w:r>
          </w:p>
        </w:tc>
        <w:tc>
          <w:tcPr>
            <w:tcW w:w="1160" w:type="dxa"/>
            <w:vAlign w:val="center"/>
          </w:tcPr>
          <w:p w14:paraId="5267975C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3</w:t>
            </w:r>
          </w:p>
        </w:tc>
        <w:tc>
          <w:tcPr>
            <w:tcW w:w="1160" w:type="dxa"/>
            <w:vAlign w:val="center"/>
          </w:tcPr>
          <w:p w14:paraId="6938D43C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2</w:t>
            </w:r>
          </w:p>
        </w:tc>
        <w:tc>
          <w:tcPr>
            <w:tcW w:w="1160" w:type="dxa"/>
            <w:vAlign w:val="center"/>
          </w:tcPr>
          <w:p w14:paraId="309E262B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2</w:t>
            </w:r>
          </w:p>
        </w:tc>
        <w:tc>
          <w:tcPr>
            <w:tcW w:w="1160" w:type="dxa"/>
            <w:vAlign w:val="center"/>
          </w:tcPr>
          <w:p w14:paraId="3D7630BE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0</w:t>
            </w:r>
          </w:p>
        </w:tc>
        <w:tc>
          <w:tcPr>
            <w:tcW w:w="1160" w:type="dxa"/>
            <w:vAlign w:val="center"/>
          </w:tcPr>
          <w:p w14:paraId="78B41918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7</w:t>
            </w:r>
          </w:p>
        </w:tc>
        <w:tc>
          <w:tcPr>
            <w:tcW w:w="1163" w:type="dxa"/>
            <w:vAlign w:val="center"/>
          </w:tcPr>
          <w:p w14:paraId="2AC5163E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/>
                <w:sz w:val="24"/>
              </w:rPr>
              <w:t>0.079</w:t>
            </w:r>
          </w:p>
        </w:tc>
      </w:tr>
      <w:tr w:rsidR="00F63C38" w:rsidRPr="00F63C38" w14:paraId="4EBFC7DD" w14:textId="77777777">
        <w:tc>
          <w:tcPr>
            <w:tcW w:w="1420" w:type="dxa"/>
            <w:vAlign w:val="center"/>
          </w:tcPr>
          <w:p w14:paraId="70F42CA5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/>
                <w:sz w:val="24"/>
              </w:rPr>
              <w:t xml:space="preserve">Other MDROs </w:t>
            </w:r>
          </w:p>
        </w:tc>
        <w:tc>
          <w:tcPr>
            <w:tcW w:w="1160" w:type="dxa"/>
            <w:vAlign w:val="center"/>
          </w:tcPr>
          <w:p w14:paraId="4B337D57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4</w:t>
            </w:r>
          </w:p>
        </w:tc>
        <w:tc>
          <w:tcPr>
            <w:tcW w:w="1160" w:type="dxa"/>
            <w:vAlign w:val="center"/>
          </w:tcPr>
          <w:p w14:paraId="22A68E9C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1</w:t>
            </w:r>
          </w:p>
        </w:tc>
        <w:tc>
          <w:tcPr>
            <w:tcW w:w="1160" w:type="dxa"/>
            <w:vAlign w:val="center"/>
          </w:tcPr>
          <w:p w14:paraId="08D814E2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2</w:t>
            </w:r>
          </w:p>
        </w:tc>
        <w:tc>
          <w:tcPr>
            <w:tcW w:w="1160" w:type="dxa"/>
            <w:vAlign w:val="center"/>
          </w:tcPr>
          <w:p w14:paraId="59A4B605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1</w:t>
            </w:r>
          </w:p>
        </w:tc>
        <w:tc>
          <w:tcPr>
            <w:tcW w:w="1160" w:type="dxa"/>
            <w:vAlign w:val="center"/>
          </w:tcPr>
          <w:p w14:paraId="3A392A23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8</w:t>
            </w:r>
          </w:p>
        </w:tc>
        <w:tc>
          <w:tcPr>
            <w:tcW w:w="1163" w:type="dxa"/>
            <w:vAlign w:val="center"/>
          </w:tcPr>
          <w:p w14:paraId="77C2D569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/>
                <w:sz w:val="24"/>
              </w:rPr>
              <w:t>0.130</w:t>
            </w:r>
          </w:p>
        </w:tc>
      </w:tr>
      <w:tr w:rsidR="00F63C38" w:rsidRPr="00F63C38" w14:paraId="2654F9EA" w14:textId="77777777">
        <w:tc>
          <w:tcPr>
            <w:tcW w:w="1420" w:type="dxa"/>
            <w:vAlign w:val="center"/>
          </w:tcPr>
          <w:p w14:paraId="178C197E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/>
                <w:sz w:val="24"/>
              </w:rPr>
              <w:t>Overall</w:t>
            </w:r>
          </w:p>
        </w:tc>
        <w:tc>
          <w:tcPr>
            <w:tcW w:w="1160" w:type="dxa"/>
            <w:vAlign w:val="center"/>
          </w:tcPr>
          <w:p w14:paraId="63EDFEBD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23</w:t>
            </w:r>
          </w:p>
        </w:tc>
        <w:tc>
          <w:tcPr>
            <w:tcW w:w="1160" w:type="dxa"/>
            <w:vAlign w:val="center"/>
          </w:tcPr>
          <w:p w14:paraId="31D6B06E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11</w:t>
            </w:r>
          </w:p>
        </w:tc>
        <w:tc>
          <w:tcPr>
            <w:tcW w:w="1160" w:type="dxa"/>
            <w:vAlign w:val="center"/>
          </w:tcPr>
          <w:p w14:paraId="4D54296C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8</w:t>
            </w:r>
          </w:p>
        </w:tc>
        <w:tc>
          <w:tcPr>
            <w:tcW w:w="1160" w:type="dxa"/>
            <w:vAlign w:val="center"/>
          </w:tcPr>
          <w:p w14:paraId="6D4EC178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4</w:t>
            </w:r>
          </w:p>
        </w:tc>
        <w:tc>
          <w:tcPr>
            <w:tcW w:w="1160" w:type="dxa"/>
            <w:vAlign w:val="center"/>
          </w:tcPr>
          <w:p w14:paraId="3396C0D3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 w:hint="eastAsia"/>
                <w:sz w:val="24"/>
              </w:rPr>
              <w:t>46</w:t>
            </w:r>
          </w:p>
        </w:tc>
        <w:tc>
          <w:tcPr>
            <w:tcW w:w="1163" w:type="dxa"/>
            <w:vAlign w:val="center"/>
          </w:tcPr>
          <w:p w14:paraId="2F808306" w14:textId="77777777" w:rsidR="005E4118" w:rsidRPr="00F63C38" w:rsidRDefault="00F63C38">
            <w:pPr>
              <w:jc w:val="center"/>
              <w:rPr>
                <w:rFonts w:ascii="Garamond" w:hAnsi="Garamond" w:cs="Garamond"/>
                <w:sz w:val="24"/>
              </w:rPr>
            </w:pPr>
            <w:r w:rsidRPr="00F63C38">
              <w:rPr>
                <w:rFonts w:ascii="Garamond" w:hAnsi="Garamond" w:cs="Garamond"/>
                <w:sz w:val="24"/>
              </w:rPr>
              <w:t>&lt;0.001</w:t>
            </w:r>
          </w:p>
        </w:tc>
      </w:tr>
    </w:tbl>
    <w:p w14:paraId="000C0ECE" w14:textId="77777777" w:rsidR="005E4118" w:rsidRPr="00F63C38" w:rsidRDefault="00F63C38">
      <w:pPr>
        <w:rPr>
          <w:rFonts w:ascii="Garamond" w:eastAsia="SimSun" w:hAnsi="Garamond" w:cs="Garamond"/>
          <w:kern w:val="0"/>
          <w:sz w:val="24"/>
          <w:lang w:bidi="ar"/>
        </w:rPr>
      </w:pPr>
      <w:r w:rsidRPr="00F63C38">
        <w:rPr>
          <w:rFonts w:ascii="Garamond" w:hAnsi="Garamond" w:cs="Garamond"/>
          <w:b/>
          <w:bCs/>
          <w:sz w:val="24"/>
          <w:vertAlign w:val="superscript"/>
        </w:rPr>
        <w:t>1</w:t>
      </w:r>
      <w:r w:rsidRPr="00F63C38">
        <w:rPr>
          <w:rFonts w:ascii="Garamond" w:eastAsia="SimSun" w:hAnsi="Garamond" w:cs="Garamond"/>
          <w:i/>
          <w:iCs/>
          <w:kern w:val="0"/>
          <w:sz w:val="24"/>
          <w:lang w:bidi="ar"/>
        </w:rPr>
        <w:t>P</w:t>
      </w:r>
      <w:r w:rsidRPr="00F63C38">
        <w:rPr>
          <w:rFonts w:ascii="Garamond" w:eastAsia="SimSun" w:hAnsi="Garamond" w:cs="Garamond"/>
          <w:kern w:val="0"/>
          <w:sz w:val="24"/>
          <w:lang w:bidi="ar"/>
        </w:rPr>
        <w:t xml:space="preserve"> for trend was calculated using the Cochran–Armitage trend test across ordered study phases.</w:t>
      </w:r>
    </w:p>
    <w:p w14:paraId="57200347" w14:textId="77777777" w:rsidR="005E4118" w:rsidRPr="00F63C38" w:rsidRDefault="00F63C38">
      <w:pPr>
        <w:rPr>
          <w:rFonts w:ascii="Garamond" w:eastAsia="SimSun" w:hAnsi="Garamond" w:cs="Garamond"/>
          <w:kern w:val="0"/>
          <w:sz w:val="24"/>
          <w:lang w:bidi="ar"/>
        </w:rPr>
      </w:pPr>
      <w:r w:rsidRPr="00F63C38">
        <w:rPr>
          <w:rFonts w:ascii="Garamond" w:eastAsia="SimSun" w:hAnsi="Garamond" w:cs="Garamond"/>
          <w:kern w:val="0"/>
          <w:sz w:val="24"/>
          <w:lang w:bidi="ar"/>
        </w:rPr>
        <w:t xml:space="preserve">Abbreviations: MDRO-HAI, multidrug-resistant organism </w:t>
      </w:r>
      <w:r w:rsidRPr="00F63C38">
        <w:rPr>
          <w:rFonts w:ascii="Garamond" w:eastAsia="SimSun" w:hAnsi="Garamond" w:cs="Garamond"/>
          <w:kern w:val="0"/>
          <w:sz w:val="24"/>
          <w:lang w:bidi="ar"/>
        </w:rPr>
        <w:t xml:space="preserve">healthcare-associated infection; CRAB, </w:t>
      </w:r>
      <w:proofErr w:type="spellStart"/>
      <w:r w:rsidRPr="00F63C38">
        <w:rPr>
          <w:rFonts w:ascii="Garamond" w:eastAsia="SimSun" w:hAnsi="Garamond" w:cs="Garamond"/>
          <w:kern w:val="0"/>
          <w:sz w:val="24"/>
          <w:lang w:bidi="ar"/>
        </w:rPr>
        <w:t>carbapenem</w:t>
      </w:r>
      <w:proofErr w:type="spellEnd"/>
      <w:r w:rsidRPr="00F63C38">
        <w:rPr>
          <w:rFonts w:ascii="Garamond" w:eastAsia="SimSun" w:hAnsi="Garamond" w:cs="Garamond"/>
          <w:kern w:val="0"/>
          <w:sz w:val="24"/>
          <w:lang w:bidi="ar"/>
        </w:rPr>
        <w:t xml:space="preserve">-resistant Acinetobacter </w:t>
      </w:r>
      <w:proofErr w:type="spellStart"/>
      <w:r w:rsidRPr="00F63C38">
        <w:rPr>
          <w:rFonts w:ascii="Garamond" w:eastAsia="SimSun" w:hAnsi="Garamond" w:cs="Garamond"/>
          <w:kern w:val="0"/>
          <w:sz w:val="24"/>
          <w:lang w:bidi="ar"/>
        </w:rPr>
        <w:t>baumannii</w:t>
      </w:r>
      <w:proofErr w:type="spellEnd"/>
      <w:r w:rsidRPr="00F63C38">
        <w:rPr>
          <w:rFonts w:ascii="Garamond" w:eastAsia="SimSun" w:hAnsi="Garamond" w:cs="Garamond"/>
          <w:kern w:val="0"/>
          <w:sz w:val="24"/>
          <w:lang w:bidi="ar"/>
        </w:rPr>
        <w:t xml:space="preserve">; CRKP, </w:t>
      </w:r>
      <w:proofErr w:type="spellStart"/>
      <w:r w:rsidRPr="00F63C38">
        <w:rPr>
          <w:rFonts w:ascii="Garamond" w:eastAsia="SimSun" w:hAnsi="Garamond" w:cs="Garamond"/>
          <w:kern w:val="0"/>
          <w:sz w:val="24"/>
          <w:lang w:bidi="ar"/>
        </w:rPr>
        <w:t>carbapenem</w:t>
      </w:r>
      <w:proofErr w:type="spellEnd"/>
      <w:r w:rsidRPr="00F63C38">
        <w:rPr>
          <w:rFonts w:ascii="Garamond" w:eastAsia="SimSun" w:hAnsi="Garamond" w:cs="Garamond"/>
          <w:kern w:val="0"/>
          <w:sz w:val="24"/>
          <w:lang w:bidi="ar"/>
        </w:rPr>
        <w:t xml:space="preserve">-resistant </w:t>
      </w:r>
      <w:proofErr w:type="spellStart"/>
      <w:r w:rsidRPr="00F63C38">
        <w:rPr>
          <w:rFonts w:ascii="Garamond" w:eastAsia="SimSun" w:hAnsi="Garamond" w:cs="Garamond"/>
          <w:kern w:val="0"/>
          <w:sz w:val="24"/>
          <w:lang w:bidi="ar"/>
        </w:rPr>
        <w:t>Klebsiella</w:t>
      </w:r>
      <w:proofErr w:type="spellEnd"/>
      <w:r w:rsidRPr="00F63C38">
        <w:rPr>
          <w:rFonts w:ascii="Garamond" w:eastAsia="SimSun" w:hAnsi="Garamond" w:cs="Garamond"/>
          <w:kern w:val="0"/>
          <w:sz w:val="24"/>
          <w:lang w:bidi="ar"/>
        </w:rPr>
        <w:t xml:space="preserve"> pneumoniae; MRSA, methicillin-resistant Staphylococcus aureus.</w:t>
      </w:r>
    </w:p>
    <w:p w14:paraId="07296A50" w14:textId="77777777" w:rsidR="005E4118" w:rsidRPr="00F63C38" w:rsidRDefault="005E4118">
      <w:pPr>
        <w:rPr>
          <w:rFonts w:ascii="Garamond" w:eastAsia="SimSun" w:hAnsi="Garamond" w:cs="Garamond"/>
          <w:kern w:val="0"/>
          <w:sz w:val="24"/>
          <w:lang w:bidi="ar"/>
        </w:rPr>
      </w:pPr>
    </w:p>
    <w:p w14:paraId="1690733C" w14:textId="77777777" w:rsidR="005E4118" w:rsidRPr="00F63C38" w:rsidRDefault="005E4118">
      <w:pPr>
        <w:rPr>
          <w:rFonts w:ascii="Garamond" w:eastAsia="SimSun" w:hAnsi="Garamond" w:cs="Garamond"/>
          <w:kern w:val="0"/>
          <w:sz w:val="24"/>
          <w:lang w:bidi="ar"/>
        </w:rPr>
      </w:pPr>
      <w:bookmarkStart w:id="0" w:name="_GoBack"/>
      <w:bookmarkEnd w:id="0"/>
    </w:p>
    <w:sectPr w:rsidR="005E4118" w:rsidRPr="00F63C38" w:rsidSect="00F63C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118"/>
    <w:rsid w:val="005E4118"/>
    <w:rsid w:val="00F63C38"/>
    <w:rsid w:val="1DC11561"/>
    <w:rsid w:val="5D504448"/>
    <w:rsid w:val="6B7E3807"/>
    <w:rsid w:val="77AF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D3A5E33-45A2-4F01-8734-4B0A0C670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basedOn w:val="DefaultParagraphFont"/>
    <w:qFormat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Vijay Bhuvaneshwari Kaliyaperumal</cp:lastModifiedBy>
  <cp:revision>2</cp:revision>
  <dcterms:created xsi:type="dcterms:W3CDTF">2026-03-16T13:29:00Z</dcterms:created>
  <dcterms:modified xsi:type="dcterms:W3CDTF">2026-04-05T00:22:00Z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eyJoZGlkIjoiZTQ4ODQwNThiYTg4YTBlNDhkZDRmNGNiNWM5NWE1YzAiLCJ1c2VySWQiOiI2MDE1NDY5NDAifQ==</vt:lpwstr>
  </property>
  <property fmtid="{D5CDD505-2E9C-101B-9397-08002B2CF9AE}" pid="4" name="ICV">
    <vt:lpwstr>5FFD7D8F2495422C9B201AFFB0B9F41E_13</vt:lpwstr>
  </property>
</Properties>
</file>