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6D2A2" w14:textId="1F72D22A" w:rsidR="00F91D9F" w:rsidRPr="00F96A73" w:rsidRDefault="00F96A73" w:rsidP="00F96A73">
      <w:pPr>
        <w:bidi w:val="0"/>
        <w:jc w:val="center"/>
        <w:rPr>
          <w:rFonts w:asciiTheme="majorBidi" w:hAnsiTheme="majorBidi" w:cstheme="majorBidi"/>
          <w:sz w:val="20"/>
          <w:szCs w:val="20"/>
        </w:rPr>
      </w:pPr>
      <w:r w:rsidRPr="00F96A73">
        <w:rPr>
          <w:rFonts w:asciiTheme="majorBidi" w:hAnsiTheme="majorBidi" w:cstheme="majorBidi"/>
          <w:sz w:val="20"/>
          <w:szCs w:val="20"/>
        </w:rPr>
        <w:t xml:space="preserve">Supplementary </w:t>
      </w:r>
      <w:r>
        <w:rPr>
          <w:rFonts w:asciiTheme="majorBidi" w:hAnsiTheme="majorBidi" w:cstheme="majorBidi"/>
          <w:sz w:val="20"/>
          <w:szCs w:val="20"/>
        </w:rPr>
        <w:t>T</w:t>
      </w:r>
      <w:r w:rsidRPr="00F96A73">
        <w:rPr>
          <w:rFonts w:asciiTheme="majorBidi" w:hAnsiTheme="majorBidi" w:cstheme="majorBidi"/>
          <w:sz w:val="20"/>
          <w:szCs w:val="20"/>
        </w:rPr>
        <w:t xml:space="preserve">able </w:t>
      </w:r>
      <w:r w:rsidR="00CF075D">
        <w:rPr>
          <w:rFonts w:asciiTheme="majorBidi" w:hAnsiTheme="majorBidi" w:cstheme="majorBidi"/>
          <w:sz w:val="20"/>
          <w:szCs w:val="20"/>
        </w:rPr>
        <w:t>S</w:t>
      </w:r>
      <w:r w:rsidRPr="00F96A73">
        <w:rPr>
          <w:rFonts w:asciiTheme="majorBidi" w:hAnsiTheme="majorBidi" w:cstheme="majorBidi"/>
          <w:sz w:val="20"/>
          <w:szCs w:val="20"/>
        </w:rPr>
        <w:t>2. Characteristics of the included studies</w:t>
      </w:r>
    </w:p>
    <w:tbl>
      <w:tblPr>
        <w:tblStyle w:val="TableGrid"/>
        <w:bidiVisual/>
        <w:tblW w:w="5000" w:type="pct"/>
        <w:jc w:val="center"/>
        <w:tblLayout w:type="fixed"/>
        <w:tblLook w:val="04A0" w:firstRow="1" w:lastRow="0" w:firstColumn="1" w:lastColumn="0" w:noHBand="0" w:noVBand="1"/>
      </w:tblPr>
      <w:tblGrid>
        <w:gridCol w:w="2213"/>
        <w:gridCol w:w="2268"/>
        <w:gridCol w:w="1843"/>
        <w:gridCol w:w="1702"/>
        <w:gridCol w:w="1699"/>
        <w:gridCol w:w="1277"/>
        <w:gridCol w:w="1133"/>
        <w:gridCol w:w="991"/>
        <w:gridCol w:w="2262"/>
      </w:tblGrid>
      <w:tr w:rsidR="00F521BA" w:rsidRPr="002A63D0" w14:paraId="0F668AFB" w14:textId="77777777" w:rsidTr="004541B0">
        <w:trPr>
          <w:tblHeader/>
          <w:jc w:val="center"/>
        </w:trPr>
        <w:tc>
          <w:tcPr>
            <w:tcW w:w="719" w:type="pct"/>
            <w:shd w:val="clear" w:color="auto" w:fill="F2F2F2" w:themeFill="background1" w:themeFillShade="F2"/>
            <w:vAlign w:val="center"/>
          </w:tcPr>
          <w:p w14:paraId="1554D1A0" w14:textId="77777777" w:rsidR="00F521BA" w:rsidRPr="002A63D0" w:rsidRDefault="00F521BA" w:rsidP="004541B0">
            <w:pPr>
              <w:bidi w:val="0"/>
              <w:jc w:val="center"/>
              <w:rPr>
                <w:rFonts w:asciiTheme="majorBidi" w:hAnsiTheme="majorBidi" w:cstheme="majorBidi"/>
                <w:b/>
                <w:bCs/>
                <w:sz w:val="16"/>
                <w:szCs w:val="16"/>
                <w:rtl/>
              </w:rPr>
            </w:pPr>
            <w:r w:rsidRPr="002A63D0">
              <w:rPr>
                <w:rFonts w:asciiTheme="majorBidi" w:hAnsiTheme="majorBidi" w:cstheme="majorBidi"/>
                <w:b/>
                <w:bCs/>
                <w:sz w:val="16"/>
                <w:szCs w:val="16"/>
              </w:rPr>
              <w:t>Recommendations</w:t>
            </w:r>
          </w:p>
        </w:tc>
        <w:tc>
          <w:tcPr>
            <w:tcW w:w="737" w:type="pct"/>
            <w:shd w:val="clear" w:color="auto" w:fill="F2F2F2" w:themeFill="background1" w:themeFillShade="F2"/>
            <w:vAlign w:val="center"/>
          </w:tcPr>
          <w:p w14:paraId="71FA9594" w14:textId="77777777" w:rsidR="00F521BA" w:rsidRPr="002A63D0" w:rsidRDefault="00F521BA" w:rsidP="004541B0">
            <w:pPr>
              <w:bidi w:val="0"/>
              <w:jc w:val="center"/>
              <w:rPr>
                <w:rFonts w:asciiTheme="majorBidi" w:hAnsiTheme="majorBidi" w:cstheme="majorBidi"/>
                <w:b/>
                <w:bCs/>
                <w:sz w:val="16"/>
                <w:szCs w:val="16"/>
                <w:rtl/>
              </w:rPr>
            </w:pPr>
            <w:r w:rsidRPr="002A63D0">
              <w:rPr>
                <w:rFonts w:asciiTheme="majorBidi" w:hAnsiTheme="majorBidi" w:cstheme="majorBidi"/>
                <w:b/>
                <w:bCs/>
                <w:sz w:val="16"/>
                <w:szCs w:val="16"/>
              </w:rPr>
              <w:t>Identified Barriers in the Reprocessing Process</w:t>
            </w:r>
          </w:p>
        </w:tc>
        <w:tc>
          <w:tcPr>
            <w:tcW w:w="599" w:type="pct"/>
            <w:shd w:val="clear" w:color="auto" w:fill="F2F2F2" w:themeFill="background1" w:themeFillShade="F2"/>
          </w:tcPr>
          <w:p w14:paraId="35494048" w14:textId="77777777" w:rsidR="00F521BA" w:rsidRPr="002A63D0" w:rsidRDefault="00F521BA" w:rsidP="004541B0">
            <w:pPr>
              <w:bidi w:val="0"/>
              <w:jc w:val="center"/>
              <w:rPr>
                <w:rFonts w:asciiTheme="majorBidi" w:hAnsiTheme="majorBidi" w:cstheme="majorBidi"/>
                <w:b/>
                <w:bCs/>
                <w:sz w:val="16"/>
                <w:szCs w:val="16"/>
                <w:rtl/>
              </w:rPr>
            </w:pPr>
            <w:r w:rsidRPr="002A63D0">
              <w:rPr>
                <w:rFonts w:asciiTheme="majorBidi" w:hAnsiTheme="majorBidi" w:cstheme="majorBidi"/>
                <w:b/>
                <w:bCs/>
                <w:sz w:val="16"/>
                <w:szCs w:val="16"/>
              </w:rPr>
              <w:t>Type of Crisis or Emergency Condition</w:t>
            </w:r>
          </w:p>
        </w:tc>
        <w:tc>
          <w:tcPr>
            <w:tcW w:w="553" w:type="pct"/>
            <w:shd w:val="clear" w:color="auto" w:fill="F2F2F2" w:themeFill="background1" w:themeFillShade="F2"/>
          </w:tcPr>
          <w:p w14:paraId="5633EB30" w14:textId="77777777" w:rsidR="00F521BA" w:rsidRPr="002A63D0" w:rsidRDefault="00F521BA" w:rsidP="004541B0">
            <w:pPr>
              <w:bidi w:val="0"/>
              <w:jc w:val="center"/>
              <w:rPr>
                <w:rFonts w:asciiTheme="majorBidi" w:hAnsiTheme="majorBidi" w:cstheme="majorBidi"/>
                <w:b/>
                <w:bCs/>
                <w:sz w:val="16"/>
                <w:szCs w:val="16"/>
                <w:rtl/>
              </w:rPr>
            </w:pPr>
            <w:r w:rsidRPr="002A63D0">
              <w:rPr>
                <w:rFonts w:asciiTheme="majorBidi" w:hAnsiTheme="majorBidi" w:cstheme="majorBidi"/>
                <w:b/>
                <w:bCs/>
                <w:sz w:val="16"/>
                <w:szCs w:val="16"/>
              </w:rPr>
              <w:t>Type of Surgical Equipment</w:t>
            </w:r>
          </w:p>
        </w:tc>
        <w:tc>
          <w:tcPr>
            <w:tcW w:w="552" w:type="pct"/>
            <w:shd w:val="clear" w:color="auto" w:fill="F2F2F2" w:themeFill="background1" w:themeFillShade="F2"/>
          </w:tcPr>
          <w:p w14:paraId="20D272E5" w14:textId="77777777" w:rsidR="00F521BA" w:rsidRPr="002A63D0" w:rsidRDefault="00F521BA" w:rsidP="004541B0">
            <w:pPr>
              <w:bidi w:val="0"/>
              <w:jc w:val="center"/>
              <w:rPr>
                <w:rFonts w:asciiTheme="majorBidi" w:hAnsiTheme="majorBidi" w:cstheme="majorBidi"/>
                <w:b/>
                <w:bCs/>
                <w:sz w:val="16"/>
                <w:szCs w:val="16"/>
                <w:rtl/>
              </w:rPr>
            </w:pPr>
            <w:r w:rsidRPr="002A63D0">
              <w:rPr>
                <w:rFonts w:asciiTheme="majorBidi" w:hAnsiTheme="majorBidi" w:cstheme="majorBidi"/>
                <w:b/>
                <w:bCs/>
                <w:sz w:val="16"/>
                <w:szCs w:val="16"/>
              </w:rPr>
              <w:t>Study Population</w:t>
            </w:r>
          </w:p>
        </w:tc>
        <w:tc>
          <w:tcPr>
            <w:tcW w:w="415" w:type="pct"/>
            <w:shd w:val="clear" w:color="auto" w:fill="F2F2F2" w:themeFill="background1" w:themeFillShade="F2"/>
            <w:vAlign w:val="center"/>
          </w:tcPr>
          <w:p w14:paraId="448E8898" w14:textId="77777777" w:rsidR="00F521BA" w:rsidRPr="002A63D0" w:rsidRDefault="00F521BA" w:rsidP="004541B0">
            <w:pPr>
              <w:bidi w:val="0"/>
              <w:jc w:val="center"/>
              <w:rPr>
                <w:rFonts w:asciiTheme="majorBidi" w:hAnsiTheme="majorBidi" w:cstheme="majorBidi"/>
                <w:b/>
                <w:bCs/>
                <w:sz w:val="16"/>
                <w:szCs w:val="16"/>
                <w:rtl/>
              </w:rPr>
            </w:pPr>
            <w:r w:rsidRPr="002A63D0">
              <w:rPr>
                <w:rFonts w:asciiTheme="majorBidi" w:hAnsiTheme="majorBidi" w:cstheme="majorBidi"/>
                <w:b/>
                <w:bCs/>
                <w:sz w:val="16"/>
                <w:szCs w:val="16"/>
              </w:rPr>
              <w:t>Study Design</w:t>
            </w:r>
          </w:p>
        </w:tc>
        <w:tc>
          <w:tcPr>
            <w:tcW w:w="368" w:type="pct"/>
            <w:shd w:val="clear" w:color="auto" w:fill="F2F2F2" w:themeFill="background1" w:themeFillShade="F2"/>
            <w:vAlign w:val="center"/>
          </w:tcPr>
          <w:p w14:paraId="2B1AFB0C" w14:textId="77777777" w:rsidR="00F521BA" w:rsidRPr="002A63D0" w:rsidRDefault="00F521BA" w:rsidP="004541B0">
            <w:pPr>
              <w:bidi w:val="0"/>
              <w:jc w:val="center"/>
              <w:rPr>
                <w:rFonts w:asciiTheme="majorBidi" w:hAnsiTheme="majorBidi" w:cstheme="majorBidi"/>
                <w:b/>
                <w:bCs/>
                <w:sz w:val="16"/>
                <w:szCs w:val="16"/>
                <w:rtl/>
              </w:rPr>
            </w:pPr>
            <w:r w:rsidRPr="002A63D0">
              <w:rPr>
                <w:rFonts w:asciiTheme="majorBidi" w:hAnsiTheme="majorBidi" w:cstheme="majorBidi"/>
                <w:b/>
                <w:bCs/>
                <w:sz w:val="16"/>
                <w:szCs w:val="16"/>
              </w:rPr>
              <w:t>Country</w:t>
            </w:r>
          </w:p>
        </w:tc>
        <w:tc>
          <w:tcPr>
            <w:tcW w:w="322" w:type="pct"/>
            <w:shd w:val="clear" w:color="auto" w:fill="F2F2F2" w:themeFill="background1" w:themeFillShade="F2"/>
            <w:vAlign w:val="center"/>
          </w:tcPr>
          <w:p w14:paraId="451DCE4E" w14:textId="77777777" w:rsidR="00F521BA" w:rsidRPr="002A63D0" w:rsidRDefault="00F521BA" w:rsidP="004541B0">
            <w:pPr>
              <w:bidi w:val="0"/>
              <w:jc w:val="center"/>
              <w:rPr>
                <w:rFonts w:asciiTheme="majorBidi" w:hAnsiTheme="majorBidi" w:cstheme="majorBidi"/>
                <w:b/>
                <w:bCs/>
                <w:sz w:val="16"/>
                <w:szCs w:val="16"/>
                <w:rtl/>
              </w:rPr>
            </w:pPr>
            <w:r w:rsidRPr="002A63D0">
              <w:rPr>
                <w:rFonts w:asciiTheme="majorBidi" w:hAnsiTheme="majorBidi" w:cstheme="majorBidi"/>
                <w:b/>
                <w:bCs/>
                <w:sz w:val="16"/>
                <w:szCs w:val="16"/>
              </w:rPr>
              <w:t>Author (Year)</w:t>
            </w:r>
          </w:p>
        </w:tc>
        <w:tc>
          <w:tcPr>
            <w:tcW w:w="735" w:type="pct"/>
            <w:shd w:val="clear" w:color="auto" w:fill="F2F2F2" w:themeFill="background1" w:themeFillShade="F2"/>
            <w:vAlign w:val="center"/>
          </w:tcPr>
          <w:p w14:paraId="23806319" w14:textId="77777777" w:rsidR="00F521BA" w:rsidRPr="002A63D0" w:rsidRDefault="00F521BA" w:rsidP="004541B0">
            <w:pPr>
              <w:bidi w:val="0"/>
              <w:jc w:val="center"/>
              <w:rPr>
                <w:rFonts w:asciiTheme="majorBidi" w:hAnsiTheme="majorBidi" w:cstheme="majorBidi"/>
                <w:b/>
                <w:bCs/>
                <w:sz w:val="16"/>
                <w:szCs w:val="16"/>
                <w:rtl/>
              </w:rPr>
            </w:pPr>
            <w:r w:rsidRPr="002A63D0">
              <w:rPr>
                <w:rFonts w:asciiTheme="majorBidi" w:hAnsiTheme="majorBidi" w:cstheme="majorBidi"/>
                <w:b/>
                <w:bCs/>
                <w:sz w:val="16"/>
                <w:szCs w:val="16"/>
              </w:rPr>
              <w:t>Study Title</w:t>
            </w:r>
          </w:p>
        </w:tc>
      </w:tr>
      <w:tr w:rsidR="00F521BA" w:rsidRPr="002A63D0" w14:paraId="60441126" w14:textId="77777777" w:rsidTr="004541B0">
        <w:trPr>
          <w:jc w:val="center"/>
        </w:trPr>
        <w:tc>
          <w:tcPr>
            <w:tcW w:w="719" w:type="pct"/>
          </w:tcPr>
          <w:p w14:paraId="6BEE6AF0" w14:textId="77777777" w:rsidR="00F521BA" w:rsidRPr="002A63D0" w:rsidRDefault="00F521BA" w:rsidP="004541B0">
            <w:pPr>
              <w:bidi w:val="0"/>
              <w:jc w:val="both"/>
              <w:rPr>
                <w:rFonts w:asciiTheme="majorBidi" w:hAnsiTheme="majorBidi" w:cstheme="majorBidi"/>
                <w:sz w:val="16"/>
                <w:szCs w:val="16"/>
                <w:rtl/>
              </w:rPr>
            </w:pPr>
            <w:r w:rsidRPr="00C74776">
              <w:rPr>
                <w:rFonts w:asciiTheme="majorBidi" w:hAnsiTheme="majorBidi" w:cstheme="majorBidi"/>
                <w:sz w:val="16"/>
                <w:szCs w:val="16"/>
              </w:rPr>
              <w:t>Strengthening health surveillance in border regions, increasing international collaboration in the management of cross-border events, and implementing educational, regulatory, and inspection programs focused on medical tourism to prevent similar incidents.</w:t>
            </w:r>
          </w:p>
        </w:tc>
        <w:tc>
          <w:tcPr>
            <w:tcW w:w="737" w:type="pct"/>
          </w:tcPr>
          <w:p w14:paraId="34897C63" w14:textId="77777777" w:rsidR="00F521BA" w:rsidRPr="002A63D0" w:rsidRDefault="00F521BA" w:rsidP="004541B0">
            <w:pPr>
              <w:bidi w:val="0"/>
              <w:jc w:val="both"/>
              <w:rPr>
                <w:rFonts w:asciiTheme="majorBidi" w:hAnsiTheme="majorBidi" w:cstheme="majorBidi"/>
                <w:sz w:val="16"/>
                <w:szCs w:val="16"/>
              </w:rPr>
            </w:pPr>
            <w:r w:rsidRPr="00C74776">
              <w:rPr>
                <w:rFonts w:asciiTheme="majorBidi" w:hAnsiTheme="majorBidi" w:cstheme="majorBidi"/>
                <w:sz w:val="16"/>
                <w:szCs w:val="16"/>
              </w:rPr>
              <w:t>Weaknesses in cleaning and sterilization protocols, inappropriate management of infectious waste, disorder and contamination in the sterile room, inadequate maintenance of the ventilation system, absence of an isolation room, incorrect labeling of sterile instruments, and replacement of personnel responsible for instrument cleaning.</w:t>
            </w:r>
          </w:p>
        </w:tc>
        <w:tc>
          <w:tcPr>
            <w:tcW w:w="599" w:type="pct"/>
          </w:tcPr>
          <w:p w14:paraId="1975BDE8" w14:textId="77777777" w:rsidR="00F521BA" w:rsidRPr="002A63D0" w:rsidRDefault="00F521BA" w:rsidP="004541B0">
            <w:pPr>
              <w:bidi w:val="0"/>
              <w:jc w:val="center"/>
              <w:rPr>
                <w:rFonts w:asciiTheme="majorBidi" w:hAnsiTheme="majorBidi" w:cstheme="majorBidi"/>
                <w:sz w:val="16"/>
                <w:szCs w:val="16"/>
                <w:rtl/>
              </w:rPr>
            </w:pPr>
            <w:r w:rsidRPr="00C74776">
              <w:rPr>
                <w:rFonts w:asciiTheme="majorBidi" w:hAnsiTheme="majorBidi" w:cstheme="majorBidi"/>
                <w:sz w:val="16"/>
                <w:szCs w:val="16"/>
              </w:rPr>
              <w:t>Occurrence of a localized outbreak of Mycobacterium abscessus infections following cosmetic surgery.</w:t>
            </w:r>
          </w:p>
        </w:tc>
        <w:tc>
          <w:tcPr>
            <w:tcW w:w="553" w:type="pct"/>
          </w:tcPr>
          <w:p w14:paraId="55031BE3" w14:textId="77777777" w:rsidR="00F521BA" w:rsidRPr="002A63D0" w:rsidRDefault="00F521BA" w:rsidP="004541B0">
            <w:pPr>
              <w:bidi w:val="0"/>
              <w:jc w:val="center"/>
              <w:rPr>
                <w:rFonts w:asciiTheme="majorBidi" w:hAnsiTheme="majorBidi" w:cstheme="majorBidi"/>
                <w:sz w:val="16"/>
                <w:szCs w:val="16"/>
                <w:rtl/>
              </w:rPr>
            </w:pPr>
            <w:r w:rsidRPr="00C74776">
              <w:rPr>
                <w:rFonts w:asciiTheme="majorBidi" w:hAnsiTheme="majorBidi" w:cstheme="majorBidi"/>
                <w:sz w:val="16"/>
                <w:szCs w:val="16"/>
              </w:rPr>
              <w:t>Liposuction cannulas and other reusable cosmetic surgical instruments requiring cleaning and sterilization.</w:t>
            </w:r>
          </w:p>
        </w:tc>
        <w:tc>
          <w:tcPr>
            <w:tcW w:w="552" w:type="pct"/>
          </w:tcPr>
          <w:p w14:paraId="7351AC8D" w14:textId="77777777" w:rsidR="00F521BA" w:rsidRPr="002A63D0" w:rsidRDefault="00F521BA" w:rsidP="004541B0">
            <w:pPr>
              <w:bidi w:val="0"/>
              <w:jc w:val="center"/>
              <w:rPr>
                <w:rFonts w:asciiTheme="majorBidi" w:hAnsiTheme="majorBidi" w:cstheme="majorBidi"/>
                <w:sz w:val="16"/>
                <w:szCs w:val="16"/>
                <w:rtl/>
              </w:rPr>
            </w:pPr>
            <w:r w:rsidRPr="00C74776">
              <w:rPr>
                <w:rFonts w:asciiTheme="majorBidi" w:hAnsiTheme="majorBidi" w:cstheme="majorBidi"/>
                <w:sz w:val="16"/>
                <w:szCs w:val="16"/>
              </w:rPr>
              <w:t>Individuals who underwent cosmetic surgery between August 1, 2021, and April 30, 2022, in a private hospital in Pedro Juan Caballero (n = 108).</w:t>
            </w:r>
          </w:p>
        </w:tc>
        <w:tc>
          <w:tcPr>
            <w:tcW w:w="415" w:type="pct"/>
          </w:tcPr>
          <w:p w14:paraId="1F559C4E" w14:textId="77777777" w:rsidR="00F521BA" w:rsidRPr="002A63D0" w:rsidRDefault="00F521BA" w:rsidP="004541B0">
            <w:pPr>
              <w:bidi w:val="0"/>
              <w:jc w:val="center"/>
              <w:rPr>
                <w:rFonts w:asciiTheme="majorBidi" w:hAnsiTheme="majorBidi" w:cstheme="majorBidi"/>
                <w:sz w:val="16"/>
                <w:szCs w:val="16"/>
                <w:rtl/>
              </w:rPr>
            </w:pPr>
            <w:r w:rsidRPr="001D61CF">
              <w:rPr>
                <w:rFonts w:asciiTheme="majorBidi" w:hAnsiTheme="majorBidi" w:cstheme="majorBidi"/>
                <w:sz w:val="16"/>
                <w:szCs w:val="16"/>
              </w:rPr>
              <w:t>Cohort study</w:t>
            </w:r>
          </w:p>
        </w:tc>
        <w:tc>
          <w:tcPr>
            <w:tcW w:w="368" w:type="pct"/>
          </w:tcPr>
          <w:p w14:paraId="325A1236" w14:textId="77777777" w:rsidR="00F521BA" w:rsidRPr="002A63D0" w:rsidRDefault="00F521BA" w:rsidP="004541B0">
            <w:pPr>
              <w:bidi w:val="0"/>
              <w:jc w:val="center"/>
              <w:rPr>
                <w:rFonts w:asciiTheme="majorBidi" w:hAnsiTheme="majorBidi" w:cstheme="majorBidi"/>
                <w:sz w:val="16"/>
                <w:szCs w:val="16"/>
                <w:rtl/>
              </w:rPr>
            </w:pPr>
            <w:r w:rsidRPr="00C74776">
              <w:rPr>
                <w:rFonts w:asciiTheme="majorBidi" w:hAnsiTheme="majorBidi" w:cstheme="majorBidi"/>
                <w:sz w:val="16"/>
                <w:szCs w:val="16"/>
              </w:rPr>
              <w:t>Brazil and Paraguay</w:t>
            </w:r>
          </w:p>
        </w:tc>
        <w:tc>
          <w:tcPr>
            <w:tcW w:w="322" w:type="pct"/>
          </w:tcPr>
          <w:p w14:paraId="44796C19" w14:textId="77777777" w:rsidR="00F521BA" w:rsidRPr="002A63D0" w:rsidRDefault="00F521BA" w:rsidP="004541B0">
            <w:pPr>
              <w:bidi w:val="0"/>
              <w:jc w:val="center"/>
              <w:rPr>
                <w:rFonts w:asciiTheme="majorBidi" w:hAnsiTheme="majorBidi" w:cstheme="majorBidi"/>
                <w:sz w:val="16"/>
                <w:szCs w:val="16"/>
                <w:rtl/>
              </w:rPr>
            </w:pPr>
            <w:r w:rsidRPr="00C729E7">
              <w:rPr>
                <w:rFonts w:asciiTheme="majorBidi" w:hAnsiTheme="majorBidi" w:cstheme="majorBidi"/>
                <w:sz w:val="16"/>
                <w:szCs w:val="16"/>
              </w:rPr>
              <w:t>M. P. V. Glehn (2025)</w:t>
            </w:r>
          </w:p>
        </w:tc>
        <w:tc>
          <w:tcPr>
            <w:tcW w:w="735" w:type="pct"/>
          </w:tcPr>
          <w:p w14:paraId="0134C3B1" w14:textId="77777777" w:rsidR="00F521BA" w:rsidRPr="002A63D0" w:rsidRDefault="00F521BA" w:rsidP="004541B0">
            <w:pPr>
              <w:bidi w:val="0"/>
              <w:jc w:val="center"/>
              <w:rPr>
                <w:rFonts w:asciiTheme="majorBidi" w:hAnsiTheme="majorBidi" w:cstheme="majorBidi"/>
                <w:sz w:val="16"/>
                <w:szCs w:val="16"/>
                <w:rtl/>
              </w:rPr>
            </w:pPr>
            <w:r w:rsidRPr="002A63D0">
              <w:rPr>
                <w:rFonts w:asciiTheme="majorBidi" w:hAnsiTheme="majorBidi" w:cstheme="majorBidi"/>
                <w:sz w:val="16"/>
                <w:szCs w:val="16"/>
              </w:rPr>
              <w:t xml:space="preserve">Outbreak of infections by Mycobacterium abscessus subsp. abscessus associated with cosmetic surgeries in the Brazil/Paraguay border: a binational cohort study, 2021-2022 </w:t>
            </w:r>
            <w:r w:rsidRPr="002A63D0">
              <w:rPr>
                <w:rFonts w:asciiTheme="majorBidi" w:hAnsiTheme="majorBidi" w:cstheme="majorBidi"/>
                <w:sz w:val="16"/>
                <w:szCs w:val="16"/>
              </w:rPr>
              <w:fldChar w:fldCharType="begin">
                <w:fldData xml:space="preserve">PEVuZE5vdGU+PENpdGU+PEF1dGhvcj5HbGVobjwvQXV0aG9yPjxZZWFyPjIwMjU8L1llYXI+PFJl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==
</w:fldData>
              </w:fldChar>
            </w:r>
            <w:r w:rsidRPr="002A63D0">
              <w:rPr>
                <w:rFonts w:asciiTheme="majorBidi" w:hAnsiTheme="majorBidi" w:cstheme="majorBidi"/>
                <w:sz w:val="16"/>
                <w:szCs w:val="16"/>
              </w:rPr>
              <w:instrText xml:space="preserve"> ADDIN EN.CITE </w:instrText>
            </w:r>
            <w:r w:rsidRPr="002A63D0">
              <w:rPr>
                <w:rFonts w:asciiTheme="majorBidi" w:hAnsiTheme="majorBidi" w:cstheme="majorBidi"/>
                <w:sz w:val="16"/>
                <w:szCs w:val="16"/>
              </w:rPr>
              <w:fldChar w:fldCharType="begin">
                <w:fldData xml:space="preserve">PEVuZE5vdGU+PENpdGU+PEF1dGhvcj5HbGVobjwvQXV0aG9yPjxZZWFyPjIwMjU8L1llYXI+PFJl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==
</w:fldData>
              </w:fldChar>
            </w:r>
            <w:r w:rsidRPr="002A63D0">
              <w:rPr>
                <w:rFonts w:asciiTheme="majorBidi" w:hAnsiTheme="majorBidi" w:cstheme="majorBidi"/>
                <w:sz w:val="16"/>
                <w:szCs w:val="16"/>
              </w:rPr>
              <w:instrText xml:space="preserve"> ADDIN EN.CITE.DATA </w:instrText>
            </w:r>
            <w:r w:rsidRPr="002A63D0">
              <w:rPr>
                <w:rFonts w:asciiTheme="majorBidi" w:hAnsiTheme="majorBidi" w:cstheme="majorBidi"/>
                <w:sz w:val="16"/>
                <w:szCs w:val="16"/>
              </w:rPr>
            </w:r>
            <w:r w:rsidRPr="002A63D0">
              <w:rPr>
                <w:rFonts w:asciiTheme="majorBidi" w:hAnsiTheme="majorBidi" w:cstheme="majorBidi"/>
                <w:sz w:val="16"/>
                <w:szCs w:val="16"/>
              </w:rPr>
              <w:fldChar w:fldCharType="end"/>
            </w:r>
            <w:r w:rsidRPr="002A63D0">
              <w:rPr>
                <w:rFonts w:asciiTheme="majorBidi" w:hAnsiTheme="majorBidi" w:cstheme="majorBidi"/>
                <w:sz w:val="16"/>
                <w:szCs w:val="16"/>
              </w:rPr>
            </w:r>
            <w:r w:rsidRPr="002A63D0">
              <w:rPr>
                <w:rFonts w:asciiTheme="majorBidi" w:hAnsiTheme="majorBidi" w:cstheme="majorBidi"/>
                <w:sz w:val="16"/>
                <w:szCs w:val="16"/>
              </w:rPr>
              <w:fldChar w:fldCharType="separate"/>
            </w:r>
            <w:r w:rsidRPr="002A63D0">
              <w:rPr>
                <w:rFonts w:asciiTheme="majorBidi" w:hAnsiTheme="majorBidi" w:cstheme="majorBidi"/>
                <w:noProof/>
                <w:sz w:val="16"/>
                <w:szCs w:val="16"/>
              </w:rPr>
              <w:t>(1)</w:t>
            </w:r>
            <w:r w:rsidRPr="002A63D0">
              <w:rPr>
                <w:rFonts w:asciiTheme="majorBidi" w:hAnsiTheme="majorBidi" w:cstheme="majorBidi"/>
                <w:sz w:val="16"/>
                <w:szCs w:val="16"/>
              </w:rPr>
              <w:fldChar w:fldCharType="end"/>
            </w:r>
          </w:p>
        </w:tc>
      </w:tr>
      <w:tr w:rsidR="00F521BA" w:rsidRPr="002A63D0" w14:paraId="7F29258D" w14:textId="77777777" w:rsidTr="004541B0">
        <w:trPr>
          <w:jc w:val="center"/>
        </w:trPr>
        <w:tc>
          <w:tcPr>
            <w:tcW w:w="719" w:type="pct"/>
          </w:tcPr>
          <w:p w14:paraId="2E52D352" w14:textId="77777777" w:rsidR="00F521BA" w:rsidRPr="00C74776" w:rsidRDefault="00F521BA" w:rsidP="004541B0">
            <w:pPr>
              <w:bidi w:val="0"/>
              <w:jc w:val="both"/>
              <w:rPr>
                <w:rFonts w:asciiTheme="majorBidi" w:hAnsiTheme="majorBidi" w:cstheme="majorBidi"/>
                <w:sz w:val="16"/>
                <w:szCs w:val="16"/>
              </w:rPr>
            </w:pPr>
            <w:r w:rsidRPr="00F543ED">
              <w:rPr>
                <w:rFonts w:asciiTheme="majorBidi" w:hAnsiTheme="majorBidi" w:cstheme="majorBidi"/>
                <w:sz w:val="16"/>
                <w:szCs w:val="16"/>
              </w:rPr>
              <w:t>Strengthening environmental management in the decontamination area; improving staff emergency-response capabilities; ensuring adequate emergency equipment reserves; and enhancing information management and full-process traceability to reduce the risk of hospital-acquired infections and maintain healthcare service quality.</w:t>
            </w:r>
          </w:p>
        </w:tc>
        <w:tc>
          <w:tcPr>
            <w:tcW w:w="737" w:type="pct"/>
          </w:tcPr>
          <w:p w14:paraId="3A81C10A" w14:textId="77777777" w:rsidR="00F521BA" w:rsidRPr="00C74776" w:rsidRDefault="00F521BA" w:rsidP="004541B0">
            <w:pPr>
              <w:bidi w:val="0"/>
              <w:jc w:val="both"/>
              <w:rPr>
                <w:rFonts w:asciiTheme="majorBidi" w:hAnsiTheme="majorBidi" w:cstheme="majorBidi"/>
                <w:sz w:val="16"/>
                <w:szCs w:val="16"/>
              </w:rPr>
            </w:pPr>
            <w:r w:rsidRPr="00F543ED">
              <w:rPr>
                <w:rFonts w:asciiTheme="majorBidi" w:hAnsiTheme="majorBidi" w:cstheme="majorBidi"/>
                <w:sz w:val="16"/>
                <w:szCs w:val="16"/>
              </w:rPr>
              <w:t>Only 19.91% of hospitals had independent pre-sterilization rooms for contaminated instruments. Only 9.50% performed daily management of emergency equipment. Staff emergency-response knowledge was assessed in 53.39% of hospitals. In 50.90% of hospitals, a fully closed-loop information tracking system was available. The results indicated that lack of pretreatment, absence of emergency equipment storage and management, inadequate staff knowledge assessment, absence of standardized guidelines, and lack of a complete closed-loop tracking system affected satisfaction with emergency disposal management.</w:t>
            </w:r>
          </w:p>
        </w:tc>
        <w:tc>
          <w:tcPr>
            <w:tcW w:w="599" w:type="pct"/>
          </w:tcPr>
          <w:p w14:paraId="1ED764B7" w14:textId="77777777" w:rsidR="00F521BA" w:rsidRPr="00C74776" w:rsidRDefault="00F521BA" w:rsidP="004541B0">
            <w:pPr>
              <w:bidi w:val="0"/>
              <w:jc w:val="center"/>
              <w:rPr>
                <w:rFonts w:asciiTheme="majorBidi" w:hAnsiTheme="majorBidi" w:cstheme="majorBidi"/>
                <w:sz w:val="16"/>
                <w:szCs w:val="16"/>
              </w:rPr>
            </w:pPr>
            <w:r w:rsidRPr="00F543ED">
              <w:rPr>
                <w:rFonts w:asciiTheme="majorBidi" w:hAnsiTheme="majorBidi" w:cstheme="majorBidi"/>
                <w:sz w:val="16"/>
                <w:szCs w:val="16"/>
              </w:rPr>
              <w:t>Emerging infectious disease outbreaks.</w:t>
            </w:r>
          </w:p>
        </w:tc>
        <w:tc>
          <w:tcPr>
            <w:tcW w:w="553" w:type="pct"/>
          </w:tcPr>
          <w:p w14:paraId="483F9047" w14:textId="77777777" w:rsidR="00F521BA" w:rsidRPr="00C74776" w:rsidRDefault="00F521BA" w:rsidP="004541B0">
            <w:pPr>
              <w:bidi w:val="0"/>
              <w:jc w:val="center"/>
              <w:rPr>
                <w:rFonts w:asciiTheme="majorBidi" w:hAnsiTheme="majorBidi" w:cstheme="majorBidi"/>
                <w:sz w:val="16"/>
                <w:szCs w:val="16"/>
              </w:rPr>
            </w:pPr>
            <w:r w:rsidRPr="00F543ED">
              <w:rPr>
                <w:rFonts w:asciiTheme="majorBidi" w:hAnsiTheme="majorBidi" w:cstheme="majorBidi"/>
                <w:sz w:val="16"/>
                <w:szCs w:val="16"/>
              </w:rPr>
              <w:t>Devices or equipment associated with emerging infectious diseases; the exact type of equipment was not specified.</w:t>
            </w:r>
          </w:p>
        </w:tc>
        <w:tc>
          <w:tcPr>
            <w:tcW w:w="552" w:type="pct"/>
          </w:tcPr>
          <w:p w14:paraId="498EDECA" w14:textId="77777777" w:rsidR="00F521BA" w:rsidRPr="00C74776" w:rsidRDefault="00F521BA" w:rsidP="004541B0">
            <w:pPr>
              <w:bidi w:val="0"/>
              <w:jc w:val="center"/>
              <w:rPr>
                <w:rFonts w:asciiTheme="majorBidi" w:hAnsiTheme="majorBidi" w:cstheme="majorBidi"/>
                <w:sz w:val="16"/>
                <w:szCs w:val="16"/>
              </w:rPr>
            </w:pPr>
            <w:r w:rsidRPr="00F543ED">
              <w:rPr>
                <w:rFonts w:asciiTheme="majorBidi" w:hAnsiTheme="majorBidi" w:cstheme="majorBidi"/>
                <w:sz w:val="16"/>
                <w:szCs w:val="16"/>
              </w:rPr>
              <w:t>CSSD departments in 447 hospitals surveyed from June to December 2023; a total of 442 valid questionnaires were analyzed.</w:t>
            </w:r>
          </w:p>
        </w:tc>
        <w:tc>
          <w:tcPr>
            <w:tcW w:w="415" w:type="pct"/>
          </w:tcPr>
          <w:p w14:paraId="0905D3E9" w14:textId="77777777" w:rsidR="00F521BA" w:rsidRPr="00C74776" w:rsidRDefault="00F521BA" w:rsidP="004541B0">
            <w:pPr>
              <w:bidi w:val="0"/>
              <w:jc w:val="center"/>
              <w:rPr>
                <w:rFonts w:asciiTheme="majorBidi" w:hAnsiTheme="majorBidi" w:cstheme="majorBidi"/>
                <w:sz w:val="16"/>
                <w:szCs w:val="16"/>
              </w:rPr>
            </w:pPr>
            <w:r w:rsidRPr="001D61CF">
              <w:rPr>
                <w:rFonts w:asciiTheme="majorBidi" w:hAnsiTheme="majorBidi" w:cstheme="majorBidi"/>
                <w:sz w:val="16"/>
                <w:szCs w:val="16"/>
              </w:rPr>
              <w:t>Cross-sectional Study</w:t>
            </w:r>
          </w:p>
        </w:tc>
        <w:tc>
          <w:tcPr>
            <w:tcW w:w="368" w:type="pct"/>
          </w:tcPr>
          <w:p w14:paraId="3F9F5408" w14:textId="77777777" w:rsidR="00F521BA" w:rsidRPr="00C74776" w:rsidRDefault="00F521BA" w:rsidP="004541B0">
            <w:pPr>
              <w:bidi w:val="0"/>
              <w:jc w:val="center"/>
              <w:rPr>
                <w:rFonts w:asciiTheme="majorBidi" w:hAnsiTheme="majorBidi" w:cstheme="majorBidi"/>
                <w:sz w:val="16"/>
                <w:szCs w:val="16"/>
              </w:rPr>
            </w:pPr>
            <w:r w:rsidRPr="00F543ED">
              <w:rPr>
                <w:rFonts w:asciiTheme="majorBidi" w:hAnsiTheme="majorBidi" w:cstheme="majorBidi"/>
                <w:sz w:val="16"/>
                <w:szCs w:val="16"/>
              </w:rPr>
              <w:t>China</w:t>
            </w:r>
          </w:p>
        </w:tc>
        <w:tc>
          <w:tcPr>
            <w:tcW w:w="322" w:type="pct"/>
          </w:tcPr>
          <w:p w14:paraId="5E678E32" w14:textId="77777777" w:rsidR="00F521BA" w:rsidRPr="00C729E7" w:rsidRDefault="00F521BA" w:rsidP="004541B0">
            <w:pPr>
              <w:bidi w:val="0"/>
              <w:jc w:val="center"/>
              <w:rPr>
                <w:rFonts w:asciiTheme="majorBidi" w:hAnsiTheme="majorBidi" w:cstheme="majorBidi"/>
                <w:sz w:val="16"/>
                <w:szCs w:val="16"/>
              </w:rPr>
            </w:pPr>
            <w:r w:rsidRPr="00F543ED">
              <w:rPr>
                <w:rFonts w:asciiTheme="majorBidi" w:hAnsiTheme="majorBidi" w:cstheme="majorBidi"/>
                <w:sz w:val="16"/>
                <w:szCs w:val="16"/>
              </w:rPr>
              <w:t>J. Shi (2025)</w:t>
            </w:r>
          </w:p>
        </w:tc>
        <w:tc>
          <w:tcPr>
            <w:tcW w:w="735" w:type="pct"/>
          </w:tcPr>
          <w:p w14:paraId="45C70575" w14:textId="77777777" w:rsidR="00F521BA" w:rsidRPr="002A63D0" w:rsidRDefault="00F521BA" w:rsidP="004541B0">
            <w:pPr>
              <w:bidi w:val="0"/>
              <w:jc w:val="center"/>
              <w:rPr>
                <w:rFonts w:asciiTheme="majorBidi" w:hAnsiTheme="majorBidi" w:cstheme="majorBidi"/>
                <w:sz w:val="16"/>
                <w:szCs w:val="16"/>
              </w:rPr>
            </w:pPr>
            <w:r w:rsidRPr="00F543ED">
              <w:rPr>
                <w:rFonts w:asciiTheme="majorBidi" w:hAnsiTheme="majorBidi" w:cstheme="majorBidi"/>
                <w:sz w:val="16"/>
                <w:szCs w:val="16"/>
              </w:rPr>
              <w:t xml:space="preserve">Survey on the current situation of management of sterilization and supply centers in response to emerging and outbreaks of infectious diseases in 442 hospitals and analysis of influencing factors </w:t>
            </w:r>
            <w:r>
              <w:rPr>
                <w:rFonts w:asciiTheme="majorBidi" w:hAnsiTheme="majorBidi" w:cstheme="majorBidi"/>
                <w:sz w:val="16"/>
                <w:szCs w:val="16"/>
              </w:rPr>
              <w:fldChar w:fldCharType="begin"/>
            </w:r>
            <w:r>
              <w:rPr>
                <w:rFonts w:asciiTheme="majorBidi" w:hAnsiTheme="majorBidi" w:cstheme="majorBidi"/>
                <w:sz w:val="16"/>
                <w:szCs w:val="16"/>
              </w:rPr>
              <w:instrText xml:space="preserve"> ADDIN EN.CITE &lt;EndNote&gt;&lt;Cite&gt;&lt;Author&gt;Shi&lt;/Author&gt;&lt;Year&gt;2025&lt;/Year&gt;&lt;RecNum&gt;251&lt;/RecNum&gt;&lt;DisplayText&gt;(2)&lt;/DisplayText&gt;&lt;record&gt;&lt;rec-number&gt;251&lt;/rec-number&gt;&lt;foreign-keys&gt;&lt;key app="EN" db-id="fpp0ax2do05ff8er0aa5xtw9dt5wp5x2fwfs" timestamp="1762773682"&gt;251&lt;/key&gt;&lt;/foreign-keys&gt;&lt;ref-type name="Journal Article"&gt;17&lt;/ref-type&gt;&lt;contributors&gt;&lt;authors&gt;&lt;author&gt;Shi, J.&lt;/author&gt;&lt;author&gt;Mo, J.&lt;/author&gt;&lt;author&gt;Lu, L.&lt;/author&gt;&lt;author&gt;Chen, Y.&lt;/author&gt;&lt;/authors&gt;&lt;/contributors&gt;&lt;titles&gt;&lt;title&gt;Survey on the current situation of management of sterilization and supply centers in response to emerging and outbreaks of infectious diseases in 442 hospitals and analysis of influencing factors&lt;/title&gt;&lt;secondary-title&gt;Chinese Journal of Nursing&lt;/secondary-title&gt;&lt;short-title&gt;442</w:instrText>
            </w:r>
            <w:r>
              <w:rPr>
                <w:rFonts w:ascii="MS Gothic" w:eastAsia="MS Gothic" w:hAnsi="MS Gothic" w:cs="MS Gothic" w:hint="eastAsia"/>
                <w:sz w:val="16"/>
                <w:szCs w:val="16"/>
              </w:rPr>
              <w:instrText>所消毒供</w:instrText>
            </w:r>
            <w:r>
              <w:rPr>
                <w:rFonts w:ascii="Microsoft JhengHei" w:eastAsia="Microsoft JhengHei" w:hAnsi="Microsoft JhengHei" w:cs="Microsoft JhengHei" w:hint="eastAsia"/>
                <w:sz w:val="16"/>
                <w:szCs w:val="16"/>
              </w:rPr>
              <w:instrText>应中心应对新发突发传染病应急处置管理现状及影响因素分析</w:instrText>
            </w:r>
            <w:r>
              <w:rPr>
                <w:rFonts w:asciiTheme="majorBidi" w:hAnsiTheme="majorBidi" w:cstheme="majorBidi"/>
                <w:sz w:val="16"/>
                <w:szCs w:val="16"/>
              </w:rPr>
              <w:instrText>&lt;/short-title&gt;&lt;/titles&gt;&lt;periodical&gt;&lt;full-title&gt;Chinese Journal of Nursing&lt;/full-title&gt;&lt;/periodical&gt;&lt;pages&gt;589-595&lt;/pages&gt;&lt;volume&gt;60&lt;/volume&gt;&lt;number&gt;5&lt;/number&gt;&lt;keywords&gt;&lt;keyword&gt;Central Supply&lt;/keyword&gt;&lt;keyword&gt;Emergency Response&lt;/keyword&gt;&lt;keyword&gt;Hospital&lt;/keyword&gt;&lt;keyword&gt;Infection Control&lt;/keyword&gt;&lt;keyword&gt;New Outbreaks of Infectious Diseases&lt;/keyword&gt;&lt;keyword&gt;Nursing Administration Research&lt;/keyword&gt;&lt;/keywords&gt;&lt;dates&gt;&lt;year&gt;2025&lt;/year&gt;&lt;/dates&gt;&lt;work-type&gt;Article&lt;/work-type&gt;&lt;urls&gt;&lt;related-urls&gt;&lt;url&gt;https://www.scopus.com/inward/record.uri?eid=2-s2.0-86000448882&amp;amp;doi=10.3761%2Fj.issn.0254-1769.2025.05.012&amp;amp;partnerID=40&amp;amp;md5=36df66c778e3a1bbedfe2c3f1c35e6fb&lt;/url&gt;&lt;/related-urls&gt;&lt;/urls&gt;&lt;electronic-resource-num&gt;10.3761/j.issn.0254-1769.2025.05.012&lt;/electronic-resource-num&gt;&lt;remote-database-name&gt;Scopus&lt;/remote-database-name&gt;&lt;/record&gt;&lt;/Cite&gt;&lt;/EndNote&gt;</w:instrText>
            </w:r>
            <w:r>
              <w:rPr>
                <w:rFonts w:asciiTheme="majorBidi" w:hAnsiTheme="majorBidi" w:cstheme="majorBidi"/>
                <w:sz w:val="16"/>
                <w:szCs w:val="16"/>
              </w:rPr>
              <w:fldChar w:fldCharType="separate"/>
            </w:r>
            <w:r>
              <w:rPr>
                <w:rFonts w:asciiTheme="majorBidi" w:hAnsiTheme="majorBidi" w:cstheme="majorBidi"/>
                <w:noProof/>
                <w:sz w:val="16"/>
                <w:szCs w:val="16"/>
              </w:rPr>
              <w:t>(2)</w:t>
            </w:r>
            <w:r>
              <w:rPr>
                <w:rFonts w:asciiTheme="majorBidi" w:hAnsiTheme="majorBidi" w:cstheme="majorBidi"/>
                <w:sz w:val="16"/>
                <w:szCs w:val="16"/>
              </w:rPr>
              <w:fldChar w:fldCharType="end"/>
            </w:r>
          </w:p>
        </w:tc>
      </w:tr>
      <w:tr w:rsidR="00F521BA" w:rsidRPr="002A63D0" w14:paraId="64E4882D" w14:textId="77777777" w:rsidTr="004541B0">
        <w:trPr>
          <w:jc w:val="center"/>
        </w:trPr>
        <w:tc>
          <w:tcPr>
            <w:tcW w:w="719" w:type="pct"/>
          </w:tcPr>
          <w:p w14:paraId="6892A06F" w14:textId="77777777" w:rsidR="00F521BA" w:rsidRPr="00F543ED" w:rsidRDefault="00F521BA" w:rsidP="004541B0">
            <w:pPr>
              <w:bidi w:val="0"/>
              <w:jc w:val="both"/>
              <w:rPr>
                <w:rFonts w:asciiTheme="majorBidi" w:hAnsiTheme="majorBidi" w:cstheme="majorBidi"/>
                <w:sz w:val="16"/>
                <w:szCs w:val="16"/>
              </w:rPr>
            </w:pPr>
            <w:r w:rsidRPr="003A7291">
              <w:rPr>
                <w:rFonts w:asciiTheme="majorBidi" w:hAnsiTheme="majorBidi" w:cstheme="majorBidi"/>
                <w:sz w:val="16"/>
                <w:szCs w:val="16"/>
              </w:rPr>
              <w:t xml:space="preserve">Use of provisional chemical reprocessing with hydrogen peroxide (3% for 150 minutes or 7.5% for 30 minutes) when necessitated by logistical failures; adoption of a multilayered approach including hygiene measures and antibiotic stewardship to reduce the risk of surgical site infections; equipping field hospitals exclusively with reusable surgical instruments; development of standard operating procedures and comprehensive staff training for all processing stages; and </w:t>
            </w:r>
            <w:r w:rsidRPr="003A7291">
              <w:rPr>
                <w:rFonts w:asciiTheme="majorBidi" w:hAnsiTheme="majorBidi" w:cstheme="majorBidi"/>
                <w:sz w:val="16"/>
                <w:szCs w:val="16"/>
              </w:rPr>
              <w:lastRenderedPageBreak/>
              <w:t>consideration of logistical aspects related to the selection and storage of disinfectants such as hydrogen peroxide. The study also recommended involving hospital hygiene and antibiotic stewardship experts in field hospitals.</w:t>
            </w:r>
          </w:p>
        </w:tc>
        <w:tc>
          <w:tcPr>
            <w:tcW w:w="737" w:type="pct"/>
          </w:tcPr>
          <w:p w14:paraId="5C21B93C" w14:textId="77777777" w:rsidR="00F521BA" w:rsidRPr="00F543ED" w:rsidRDefault="00F521BA" w:rsidP="004541B0">
            <w:pPr>
              <w:bidi w:val="0"/>
              <w:jc w:val="both"/>
              <w:rPr>
                <w:rFonts w:asciiTheme="majorBidi" w:hAnsiTheme="majorBidi" w:cstheme="majorBidi"/>
                <w:sz w:val="16"/>
                <w:szCs w:val="16"/>
              </w:rPr>
            </w:pPr>
            <w:r w:rsidRPr="003A7291">
              <w:rPr>
                <w:rFonts w:asciiTheme="majorBidi" w:hAnsiTheme="majorBidi" w:cstheme="majorBidi"/>
                <w:sz w:val="16"/>
                <w:szCs w:val="16"/>
              </w:rPr>
              <w:lastRenderedPageBreak/>
              <w:t xml:space="preserve">Absence or unexpected failure of the sterile processing department (SPD) in field hospitals; inability to meet the structural, technical, personnel, and procedural requirements necessary for full sterilization under field conditions (e.g., tents or basements); and logistical limitations in supplying disposable materials or returning used instruments to larger centers for processing. Additionally, the absence of standardized test contaminants and the lack of antiviral efficacy </w:t>
            </w:r>
            <w:r w:rsidRPr="003A7291">
              <w:rPr>
                <w:rFonts w:asciiTheme="majorBidi" w:hAnsiTheme="majorBidi" w:cstheme="majorBidi"/>
                <w:sz w:val="16"/>
                <w:szCs w:val="16"/>
              </w:rPr>
              <w:lastRenderedPageBreak/>
              <w:t>assessment were reported as study limitations.</w:t>
            </w:r>
          </w:p>
        </w:tc>
        <w:tc>
          <w:tcPr>
            <w:tcW w:w="599" w:type="pct"/>
          </w:tcPr>
          <w:p w14:paraId="14CC16C1" w14:textId="77777777" w:rsidR="00F521BA" w:rsidRPr="00F543ED" w:rsidRDefault="00F521BA" w:rsidP="004541B0">
            <w:pPr>
              <w:bidi w:val="0"/>
              <w:jc w:val="center"/>
              <w:rPr>
                <w:rFonts w:asciiTheme="majorBidi" w:hAnsiTheme="majorBidi" w:cstheme="majorBidi"/>
                <w:sz w:val="16"/>
                <w:szCs w:val="16"/>
              </w:rPr>
            </w:pPr>
            <w:r w:rsidRPr="003A7291">
              <w:rPr>
                <w:rFonts w:asciiTheme="majorBidi" w:hAnsiTheme="majorBidi" w:cstheme="majorBidi"/>
                <w:sz w:val="16"/>
                <w:szCs w:val="16"/>
              </w:rPr>
              <w:lastRenderedPageBreak/>
              <w:t>Logistic breakdowns and the need for immediate patient treatment in field hospitals.</w:t>
            </w:r>
          </w:p>
        </w:tc>
        <w:tc>
          <w:tcPr>
            <w:tcW w:w="553" w:type="pct"/>
          </w:tcPr>
          <w:p w14:paraId="7491A96D" w14:textId="77777777" w:rsidR="00F521BA" w:rsidRPr="00F543ED" w:rsidRDefault="00F521BA" w:rsidP="004541B0">
            <w:pPr>
              <w:bidi w:val="0"/>
              <w:jc w:val="center"/>
              <w:rPr>
                <w:rFonts w:asciiTheme="majorBidi" w:hAnsiTheme="majorBidi" w:cstheme="majorBidi"/>
                <w:sz w:val="16"/>
                <w:szCs w:val="16"/>
              </w:rPr>
            </w:pPr>
            <w:r w:rsidRPr="003A7291">
              <w:rPr>
                <w:rFonts w:asciiTheme="majorBidi" w:hAnsiTheme="majorBidi" w:cstheme="majorBidi"/>
                <w:sz w:val="16"/>
                <w:szCs w:val="16"/>
              </w:rPr>
              <w:t>Reusable surgical instruments, including challenging devices such as scissors, toothed forceps, and grooved surgical spoons.</w:t>
            </w:r>
          </w:p>
        </w:tc>
        <w:tc>
          <w:tcPr>
            <w:tcW w:w="552" w:type="pct"/>
          </w:tcPr>
          <w:p w14:paraId="131DA719" w14:textId="77777777" w:rsidR="00F521BA" w:rsidRPr="00F543ED" w:rsidRDefault="00F521BA" w:rsidP="004541B0">
            <w:pPr>
              <w:bidi w:val="0"/>
              <w:jc w:val="center"/>
              <w:rPr>
                <w:rFonts w:asciiTheme="majorBidi" w:hAnsiTheme="majorBidi" w:cstheme="majorBidi"/>
                <w:sz w:val="16"/>
                <w:szCs w:val="16"/>
              </w:rPr>
            </w:pPr>
            <w:r w:rsidRPr="003A7291">
              <w:rPr>
                <w:rFonts w:asciiTheme="majorBidi" w:hAnsiTheme="majorBidi" w:cstheme="majorBidi"/>
                <w:sz w:val="16"/>
                <w:szCs w:val="16"/>
              </w:rPr>
              <w:t>Reusable surgical instruments (Reusable SIs) of various shapes and sizes.</w:t>
            </w:r>
          </w:p>
        </w:tc>
        <w:tc>
          <w:tcPr>
            <w:tcW w:w="415" w:type="pct"/>
          </w:tcPr>
          <w:p w14:paraId="73A01E28" w14:textId="77777777" w:rsidR="00F521BA" w:rsidRPr="00F543ED" w:rsidRDefault="00F521BA" w:rsidP="004541B0">
            <w:pPr>
              <w:bidi w:val="0"/>
              <w:jc w:val="center"/>
              <w:rPr>
                <w:rFonts w:asciiTheme="majorBidi" w:hAnsiTheme="majorBidi" w:cstheme="majorBidi"/>
                <w:sz w:val="16"/>
                <w:szCs w:val="16"/>
              </w:rPr>
            </w:pPr>
            <w:r w:rsidRPr="001D61CF">
              <w:rPr>
                <w:rFonts w:asciiTheme="majorBidi" w:hAnsiTheme="majorBidi" w:cstheme="majorBidi"/>
                <w:sz w:val="16"/>
                <w:szCs w:val="16"/>
              </w:rPr>
              <w:t>Quasi-Experimental Study</w:t>
            </w:r>
          </w:p>
        </w:tc>
        <w:tc>
          <w:tcPr>
            <w:tcW w:w="368" w:type="pct"/>
          </w:tcPr>
          <w:p w14:paraId="60B1C796" w14:textId="77777777" w:rsidR="00F521BA" w:rsidRPr="00F543ED" w:rsidRDefault="00F521BA" w:rsidP="004541B0">
            <w:pPr>
              <w:bidi w:val="0"/>
              <w:jc w:val="center"/>
              <w:rPr>
                <w:rFonts w:asciiTheme="majorBidi" w:hAnsiTheme="majorBidi" w:cstheme="majorBidi"/>
                <w:sz w:val="16"/>
                <w:szCs w:val="16"/>
              </w:rPr>
            </w:pPr>
            <w:r w:rsidRPr="003A7291">
              <w:rPr>
                <w:rFonts w:asciiTheme="majorBidi" w:hAnsiTheme="majorBidi" w:cstheme="majorBidi"/>
                <w:sz w:val="16"/>
                <w:szCs w:val="16"/>
              </w:rPr>
              <w:t>Germany</w:t>
            </w:r>
          </w:p>
        </w:tc>
        <w:tc>
          <w:tcPr>
            <w:tcW w:w="322" w:type="pct"/>
          </w:tcPr>
          <w:p w14:paraId="1F42A46E" w14:textId="77777777" w:rsidR="00F521BA" w:rsidRPr="00F543ED" w:rsidRDefault="00F521BA" w:rsidP="004541B0">
            <w:pPr>
              <w:bidi w:val="0"/>
              <w:jc w:val="center"/>
              <w:rPr>
                <w:rFonts w:asciiTheme="majorBidi" w:hAnsiTheme="majorBidi" w:cstheme="majorBidi"/>
                <w:sz w:val="16"/>
                <w:szCs w:val="16"/>
              </w:rPr>
            </w:pPr>
            <w:r w:rsidRPr="003A7291">
              <w:rPr>
                <w:rFonts w:asciiTheme="majorBidi" w:hAnsiTheme="majorBidi" w:cstheme="majorBidi"/>
                <w:sz w:val="16"/>
                <w:szCs w:val="16"/>
              </w:rPr>
              <w:t>U. Bailey-Monje (2025)</w:t>
            </w:r>
          </w:p>
        </w:tc>
        <w:tc>
          <w:tcPr>
            <w:tcW w:w="735" w:type="pct"/>
          </w:tcPr>
          <w:p w14:paraId="5AAAC8C1" w14:textId="77777777" w:rsidR="00F521BA" w:rsidRPr="00F543ED" w:rsidRDefault="00F521BA" w:rsidP="004541B0">
            <w:pPr>
              <w:bidi w:val="0"/>
              <w:jc w:val="center"/>
              <w:rPr>
                <w:rFonts w:asciiTheme="majorBidi" w:hAnsiTheme="majorBidi" w:cstheme="majorBidi"/>
                <w:sz w:val="16"/>
                <w:szCs w:val="16"/>
              </w:rPr>
            </w:pPr>
            <w:r w:rsidRPr="003A7291">
              <w:rPr>
                <w:rFonts w:asciiTheme="majorBidi" w:hAnsiTheme="majorBidi" w:cstheme="majorBidi"/>
                <w:sz w:val="16"/>
                <w:szCs w:val="16"/>
              </w:rPr>
              <w:t xml:space="preserve">Provisional Reprocessing of Medical Devices in Field Hospitals: Evaluation of Chemical Approaches for Feasibility and Effectiveness </w:t>
            </w:r>
            <w:r>
              <w:rPr>
                <w:rFonts w:asciiTheme="majorBidi" w:hAnsiTheme="majorBidi" w:cstheme="majorBidi"/>
                <w:sz w:val="16"/>
                <w:szCs w:val="16"/>
              </w:rPr>
              <w:fldChar w:fldCharType="begin"/>
            </w:r>
            <w:r>
              <w:rPr>
                <w:rFonts w:asciiTheme="majorBidi" w:hAnsiTheme="majorBidi" w:cstheme="majorBidi"/>
                <w:sz w:val="16"/>
                <w:szCs w:val="16"/>
              </w:rPr>
              <w:instrText xml:space="preserve"> ADDIN EN.CITE &lt;EndNote&gt;&lt;Cite&gt;&lt;Author&gt;Bailey-Monje&lt;/Author&gt;&lt;Year&gt;2025&lt;/Year&gt;&lt;RecNum&gt;377&lt;/RecNum&gt;&lt;DisplayText&gt;(3)&lt;/DisplayText&gt;&lt;record&gt;&lt;rec-number&gt;377&lt;/rec-number&gt;&lt;foreign-keys&gt;&lt;key app="EN" db-id="fpp0ax2do05ff8er0aa5xtw9dt5wp5x2fwfs" timestamp="1762773752"&gt;377&lt;/key&gt;&lt;/foreign-keys&gt;&lt;ref-type name="Journal Article"&gt;17&lt;/ref-type&gt;&lt;contributors&gt;&lt;authors&gt;&lt;author&gt;Bailey-Monje, U.&lt;/author&gt;&lt;author&gt;Becker, E.&lt;/author&gt;&lt;author&gt;Funke, S.&lt;/author&gt;&lt;author&gt;Gubajdulin, E.&lt;/author&gt;&lt;author&gt;Hagen, R. M.&lt;/author&gt;&lt;author&gt;Kirmse, G.&lt;/author&gt;&lt;author&gt;Lütz, K.&lt;/author&gt;&lt;author&gt;Mutters, N. T.&lt;/author&gt;&lt;author&gt;Schmithausen, R. M.&lt;/author&gt;&lt;author&gt;Weppler, R.&lt;/author&gt;&lt;author&gt;Döhla, M.&lt;/author&gt;&lt;/authors&gt;&lt;/contributors&gt;&lt;titles&gt;&lt;title&gt;Provisional Reprocessing of Medical Devices in Field Hospitals: Evaluation of Chemical Approaches for Feasibility and Effectiveness&lt;/title&gt;&lt;secondary-title&gt;DISASTER MEDICINE AND PUBLIC HEALTH PREPAREDNESS&lt;/secondary-title&gt;&lt;/titles&gt;&lt;periodical&gt;&lt;full-title&gt;DISASTER MEDICINE AND PUBLIC HEALTH PREPAREDNESS&lt;/full-title&gt;&lt;/periodical&gt;&lt;volume&gt;19&lt;/volume&gt;&lt;dates&gt;&lt;year&gt;2025&lt;/year&gt;&lt;pub-dates&gt;&lt;date&gt;AUG 19&lt;/date&gt;&lt;/pub-dates&gt;&lt;/dates&gt;&lt;isbn&gt;1935-7893&amp;#xD;1938-744X&lt;/isbn&gt;&lt;accession-num&gt;WOS:001551821700001&lt;/accession-num&gt;&lt;urls&gt;&lt;/urls&gt;&lt;custom7&gt;e239&lt;/custom7&gt;&lt;electronic-resource-num&gt;10.1017/dmp.2025.10173&lt;/electronic-resource-num&gt;&lt;/record&gt;&lt;/Cite&gt;&lt;/EndNote&gt;</w:instrText>
            </w:r>
            <w:r>
              <w:rPr>
                <w:rFonts w:asciiTheme="majorBidi" w:hAnsiTheme="majorBidi" w:cstheme="majorBidi"/>
                <w:sz w:val="16"/>
                <w:szCs w:val="16"/>
              </w:rPr>
              <w:fldChar w:fldCharType="separate"/>
            </w:r>
            <w:r>
              <w:rPr>
                <w:rFonts w:asciiTheme="majorBidi" w:hAnsiTheme="majorBidi" w:cstheme="majorBidi"/>
                <w:noProof/>
                <w:sz w:val="16"/>
                <w:szCs w:val="16"/>
              </w:rPr>
              <w:t>(3)</w:t>
            </w:r>
            <w:r>
              <w:rPr>
                <w:rFonts w:asciiTheme="majorBidi" w:hAnsiTheme="majorBidi" w:cstheme="majorBidi"/>
                <w:sz w:val="16"/>
                <w:szCs w:val="16"/>
              </w:rPr>
              <w:fldChar w:fldCharType="end"/>
            </w:r>
          </w:p>
        </w:tc>
      </w:tr>
      <w:tr w:rsidR="00F521BA" w:rsidRPr="002A63D0" w14:paraId="3C5383D9" w14:textId="77777777" w:rsidTr="004541B0">
        <w:trPr>
          <w:jc w:val="center"/>
        </w:trPr>
        <w:tc>
          <w:tcPr>
            <w:tcW w:w="719" w:type="pct"/>
          </w:tcPr>
          <w:p w14:paraId="2E490E0D" w14:textId="77777777" w:rsidR="00F521BA" w:rsidRPr="003A7291" w:rsidRDefault="00F521BA" w:rsidP="004541B0">
            <w:pPr>
              <w:bidi w:val="0"/>
              <w:jc w:val="both"/>
              <w:rPr>
                <w:rFonts w:asciiTheme="majorBidi" w:hAnsiTheme="majorBidi" w:cstheme="majorBidi"/>
                <w:sz w:val="16"/>
                <w:szCs w:val="16"/>
              </w:rPr>
            </w:pPr>
            <w:r w:rsidRPr="00ED68E9">
              <w:rPr>
                <w:rFonts w:asciiTheme="majorBidi" w:hAnsiTheme="majorBidi" w:cstheme="majorBidi"/>
                <w:sz w:val="16"/>
                <w:szCs w:val="16"/>
              </w:rPr>
              <w:t>Development of comprehensive and targeted emergency plans tailored to regional conditions; strengthening training and conducting regular practical drills for CSSD staff; and increasing monitoring and evaluation of teams, equipment, and emergency reserves to ensure rapid implementation of planned measures during crises.</w:t>
            </w:r>
          </w:p>
        </w:tc>
        <w:tc>
          <w:tcPr>
            <w:tcW w:w="737" w:type="pct"/>
          </w:tcPr>
          <w:p w14:paraId="43ACCB2F" w14:textId="77777777" w:rsidR="00F521BA" w:rsidRPr="003A7291" w:rsidRDefault="00F521BA" w:rsidP="004541B0">
            <w:pPr>
              <w:bidi w:val="0"/>
              <w:jc w:val="both"/>
              <w:rPr>
                <w:rFonts w:asciiTheme="majorBidi" w:hAnsiTheme="majorBidi" w:cstheme="majorBidi"/>
                <w:sz w:val="16"/>
                <w:szCs w:val="16"/>
              </w:rPr>
            </w:pPr>
            <w:r w:rsidRPr="00ED68E9">
              <w:rPr>
                <w:rFonts w:asciiTheme="majorBidi" w:hAnsiTheme="majorBidi" w:cstheme="majorBidi"/>
                <w:sz w:val="16"/>
                <w:szCs w:val="16"/>
              </w:rPr>
              <w:t>Deficiencies in the structure of crisis management teams, lack of clearly defined responsibilities for emergency management, insufficient regular training, shortage of emergency boxes in some CSSD centers, and emergency plans designed without sufficient consideration of regional characteristics. Emergency drills were often superficial and had limited effectiveness in identifying real problems and improving practical response capacity.</w:t>
            </w:r>
          </w:p>
        </w:tc>
        <w:tc>
          <w:tcPr>
            <w:tcW w:w="599" w:type="pct"/>
          </w:tcPr>
          <w:p w14:paraId="56FBA855" w14:textId="77777777" w:rsidR="00F521BA" w:rsidRPr="003A7291" w:rsidRDefault="00F521BA" w:rsidP="004541B0">
            <w:pPr>
              <w:bidi w:val="0"/>
              <w:jc w:val="center"/>
              <w:rPr>
                <w:rFonts w:asciiTheme="majorBidi" w:hAnsiTheme="majorBidi" w:cstheme="majorBidi"/>
                <w:sz w:val="16"/>
                <w:szCs w:val="16"/>
              </w:rPr>
            </w:pPr>
            <w:r w:rsidRPr="00ED68E9">
              <w:rPr>
                <w:rFonts w:asciiTheme="majorBidi" w:hAnsiTheme="majorBidi" w:cstheme="majorBidi"/>
                <w:sz w:val="16"/>
                <w:szCs w:val="16"/>
              </w:rPr>
              <w:t>Emergency situations and public health disasters, including natural disasters, accidents, fires, chemical leaks, and other emergency events.</w:t>
            </w:r>
          </w:p>
        </w:tc>
        <w:tc>
          <w:tcPr>
            <w:tcW w:w="553" w:type="pct"/>
          </w:tcPr>
          <w:p w14:paraId="0F75B20D" w14:textId="77777777" w:rsidR="00F521BA" w:rsidRPr="003A7291" w:rsidRDefault="00F521BA" w:rsidP="004541B0">
            <w:pPr>
              <w:bidi w:val="0"/>
              <w:jc w:val="center"/>
              <w:rPr>
                <w:rFonts w:asciiTheme="majorBidi" w:hAnsiTheme="majorBidi" w:cstheme="majorBidi"/>
                <w:sz w:val="16"/>
                <w:szCs w:val="16"/>
              </w:rPr>
            </w:pPr>
            <w:r w:rsidRPr="00ED68E9">
              <w:rPr>
                <w:rFonts w:asciiTheme="majorBidi" w:hAnsiTheme="majorBidi" w:cstheme="majorBidi"/>
                <w:sz w:val="16"/>
                <w:szCs w:val="16"/>
              </w:rPr>
              <w:t>Reusable medical instruments and devices processed, disinfected, and sterilized in CSSD departments; no specific instrument type was identified.</w:t>
            </w:r>
          </w:p>
        </w:tc>
        <w:tc>
          <w:tcPr>
            <w:tcW w:w="552" w:type="pct"/>
          </w:tcPr>
          <w:p w14:paraId="313C6927" w14:textId="77777777" w:rsidR="00F521BA" w:rsidRPr="003A7291" w:rsidRDefault="00F521BA" w:rsidP="004541B0">
            <w:pPr>
              <w:bidi w:val="0"/>
              <w:jc w:val="center"/>
              <w:rPr>
                <w:rFonts w:asciiTheme="majorBidi" w:hAnsiTheme="majorBidi" w:cstheme="majorBidi"/>
                <w:sz w:val="16"/>
                <w:szCs w:val="16"/>
              </w:rPr>
            </w:pPr>
            <w:r w:rsidRPr="00ED68E9">
              <w:rPr>
                <w:rFonts w:asciiTheme="majorBidi" w:hAnsiTheme="majorBidi" w:cstheme="majorBidi"/>
                <w:sz w:val="16"/>
                <w:szCs w:val="16"/>
              </w:rPr>
              <w:t>A total of 165 CSSD nurses from 55 hospitals across 15 provinces in China.</w:t>
            </w:r>
          </w:p>
        </w:tc>
        <w:tc>
          <w:tcPr>
            <w:tcW w:w="415" w:type="pct"/>
          </w:tcPr>
          <w:p w14:paraId="759ABB21" w14:textId="77777777" w:rsidR="00F521BA" w:rsidRPr="003A7291" w:rsidRDefault="00F521BA" w:rsidP="004541B0">
            <w:pPr>
              <w:bidi w:val="0"/>
              <w:jc w:val="center"/>
              <w:rPr>
                <w:rFonts w:asciiTheme="majorBidi" w:hAnsiTheme="majorBidi" w:cstheme="majorBidi"/>
                <w:sz w:val="16"/>
                <w:szCs w:val="16"/>
              </w:rPr>
            </w:pPr>
            <w:r w:rsidRPr="001D61CF">
              <w:rPr>
                <w:rFonts w:asciiTheme="majorBidi" w:hAnsiTheme="majorBidi" w:cstheme="majorBidi"/>
                <w:sz w:val="16"/>
                <w:szCs w:val="16"/>
              </w:rPr>
              <w:t>Cross-sectional Study</w:t>
            </w:r>
          </w:p>
        </w:tc>
        <w:tc>
          <w:tcPr>
            <w:tcW w:w="368" w:type="pct"/>
          </w:tcPr>
          <w:p w14:paraId="4C09E982" w14:textId="77777777" w:rsidR="00F521BA" w:rsidRPr="003A7291" w:rsidRDefault="00F521BA" w:rsidP="004541B0">
            <w:pPr>
              <w:bidi w:val="0"/>
              <w:jc w:val="center"/>
              <w:rPr>
                <w:rFonts w:asciiTheme="majorBidi" w:hAnsiTheme="majorBidi" w:cstheme="majorBidi"/>
                <w:sz w:val="16"/>
                <w:szCs w:val="16"/>
              </w:rPr>
            </w:pPr>
            <w:r w:rsidRPr="00ED68E9">
              <w:rPr>
                <w:rFonts w:asciiTheme="majorBidi" w:hAnsiTheme="majorBidi" w:cstheme="majorBidi"/>
                <w:sz w:val="16"/>
                <w:szCs w:val="16"/>
              </w:rPr>
              <w:t>China</w:t>
            </w:r>
          </w:p>
        </w:tc>
        <w:tc>
          <w:tcPr>
            <w:tcW w:w="322" w:type="pct"/>
          </w:tcPr>
          <w:p w14:paraId="334FF845" w14:textId="77777777" w:rsidR="00F521BA" w:rsidRPr="003A7291" w:rsidRDefault="00F521BA" w:rsidP="004541B0">
            <w:pPr>
              <w:bidi w:val="0"/>
              <w:jc w:val="center"/>
              <w:rPr>
                <w:rFonts w:asciiTheme="majorBidi" w:hAnsiTheme="majorBidi" w:cstheme="majorBidi"/>
                <w:sz w:val="16"/>
                <w:szCs w:val="16"/>
              </w:rPr>
            </w:pPr>
            <w:r w:rsidRPr="00ED68E9">
              <w:rPr>
                <w:rFonts w:asciiTheme="majorBidi" w:hAnsiTheme="majorBidi" w:cstheme="majorBidi"/>
                <w:sz w:val="16"/>
                <w:szCs w:val="16"/>
              </w:rPr>
              <w:t>J. Liu (2024)</w:t>
            </w:r>
          </w:p>
        </w:tc>
        <w:tc>
          <w:tcPr>
            <w:tcW w:w="735" w:type="pct"/>
          </w:tcPr>
          <w:p w14:paraId="1DF432F4" w14:textId="77777777" w:rsidR="00F521BA" w:rsidRPr="003A7291" w:rsidRDefault="00F521BA" w:rsidP="004541B0">
            <w:pPr>
              <w:bidi w:val="0"/>
              <w:jc w:val="center"/>
              <w:rPr>
                <w:rFonts w:asciiTheme="majorBidi" w:hAnsiTheme="majorBidi" w:cstheme="majorBidi"/>
                <w:sz w:val="16"/>
                <w:szCs w:val="16"/>
              </w:rPr>
            </w:pPr>
            <w:r w:rsidRPr="00ED68E9">
              <w:rPr>
                <w:rFonts w:asciiTheme="majorBidi" w:hAnsiTheme="majorBidi" w:cstheme="majorBidi"/>
                <w:sz w:val="16"/>
                <w:szCs w:val="16"/>
              </w:rPr>
              <w:t>Emergency preparedness in the central sterile supply department: a multicenter cross-sectional survey</w:t>
            </w:r>
            <w:r>
              <w:rPr>
                <w:rFonts w:asciiTheme="majorBidi" w:hAnsiTheme="majorBidi" w:cstheme="majorBidi"/>
                <w:sz w:val="16"/>
                <w:szCs w:val="16"/>
              </w:rPr>
              <w:t xml:space="preserve"> </w:t>
            </w:r>
            <w:r>
              <w:rPr>
                <w:rFonts w:asciiTheme="majorBidi" w:hAnsiTheme="majorBidi" w:cstheme="majorBidi"/>
                <w:sz w:val="16"/>
                <w:szCs w:val="16"/>
              </w:rPr>
              <w:fldChar w:fldCharType="begin"/>
            </w:r>
            <w:r>
              <w:rPr>
                <w:rFonts w:asciiTheme="majorBidi" w:hAnsiTheme="majorBidi" w:cstheme="majorBidi"/>
                <w:sz w:val="16"/>
                <w:szCs w:val="16"/>
              </w:rPr>
              <w:instrText xml:space="preserve"> ADDIN EN.CITE &lt;EndNote&gt;&lt;Cite&gt;&lt;Author&gt;Liu&lt;/Author&gt;&lt;Year&gt;2024&lt;/Year&gt;&lt;RecNum&gt;530&lt;/RecNum&gt;&lt;DisplayText&gt;(4)&lt;/DisplayText&gt;&lt;record&gt;&lt;rec-number&gt;530&lt;/rec-number&gt;&lt;foreign-keys&gt;&lt;key app="EN" db-id="fpp0ax2do05ff8er0aa5xtw9dt5wp5x2fwfs" timestamp="1772243617"&gt;530&lt;/key&gt;&lt;/foreign-keys&gt;&lt;ref-type name="Journal Article"&gt;17&lt;/ref-type&gt;&lt;contributors&gt;&lt;authors&gt;&lt;author&gt;Liu, Jiawei&lt;/author&gt;&lt;author&gt;Gui, Fengliu&lt;/author&gt;&lt;author&gt;Zhang, Mengmeng&lt;/author&gt;&lt;author&gt;Chen, Hui&lt;/author&gt;&lt;/authors&gt;&lt;/contributors&gt;&lt;titles&gt;&lt;title&gt;Emergency preparedness in the central sterile supply department: a multicenter cross-sectional survey&lt;/title&gt;&lt;secondary-title&gt;BMC Emergency Medicine&lt;/secondary-title&gt;&lt;/titles&gt;&lt;periodical&gt;&lt;full-title&gt;BMC Emergency Medicine&lt;/full-title&gt;&lt;/periodical&gt;&lt;pages&gt;133&lt;/pages&gt;&lt;volume&gt;24&lt;/volume&gt;&lt;number&gt;1&lt;/number&gt;&lt;dates&gt;&lt;year&gt;2024&lt;/year&gt;&lt;pub-dates&gt;&lt;date&gt;2024/07/29&lt;/date&gt;&lt;/pub-dates&gt;&lt;/dates&gt;&lt;isbn&gt;1471-227X&lt;/isbn&gt;&lt;urls&gt;&lt;related-urls&gt;&lt;url&gt;https://doi.org/10.1186/s12873-024-01053-3&lt;/url&gt;&lt;/related-urls&gt;&lt;/urls&gt;&lt;electronic-resource-num&gt;10.1186/s12873-024-01053-3&lt;/electronic-resource-num&gt;&lt;/record&gt;&lt;/Cite&gt;&lt;/EndNote&gt;</w:instrText>
            </w:r>
            <w:r>
              <w:rPr>
                <w:rFonts w:asciiTheme="majorBidi" w:hAnsiTheme="majorBidi" w:cstheme="majorBidi"/>
                <w:sz w:val="16"/>
                <w:szCs w:val="16"/>
              </w:rPr>
              <w:fldChar w:fldCharType="separate"/>
            </w:r>
            <w:r>
              <w:rPr>
                <w:rFonts w:asciiTheme="majorBidi" w:hAnsiTheme="majorBidi" w:cstheme="majorBidi"/>
                <w:noProof/>
                <w:sz w:val="16"/>
                <w:szCs w:val="16"/>
              </w:rPr>
              <w:t>(4)</w:t>
            </w:r>
            <w:r>
              <w:rPr>
                <w:rFonts w:asciiTheme="majorBidi" w:hAnsiTheme="majorBidi" w:cstheme="majorBidi"/>
                <w:sz w:val="16"/>
                <w:szCs w:val="16"/>
              </w:rPr>
              <w:fldChar w:fldCharType="end"/>
            </w:r>
          </w:p>
        </w:tc>
      </w:tr>
      <w:tr w:rsidR="00F521BA" w:rsidRPr="002A63D0" w14:paraId="4E840FDF" w14:textId="77777777" w:rsidTr="004541B0">
        <w:trPr>
          <w:jc w:val="center"/>
        </w:trPr>
        <w:tc>
          <w:tcPr>
            <w:tcW w:w="719" w:type="pct"/>
          </w:tcPr>
          <w:p w14:paraId="6AF5E110" w14:textId="77777777" w:rsidR="00F521BA" w:rsidRPr="003A7291" w:rsidRDefault="00F521BA" w:rsidP="004541B0">
            <w:pPr>
              <w:bidi w:val="0"/>
              <w:jc w:val="both"/>
              <w:rPr>
                <w:rFonts w:asciiTheme="majorBidi" w:hAnsiTheme="majorBidi" w:cstheme="majorBidi"/>
                <w:sz w:val="16"/>
                <w:szCs w:val="16"/>
              </w:rPr>
            </w:pPr>
            <w:r w:rsidRPr="007F1998">
              <w:rPr>
                <w:rFonts w:asciiTheme="majorBidi" w:hAnsiTheme="majorBidi" w:cstheme="majorBidi"/>
                <w:sz w:val="16"/>
                <w:szCs w:val="16"/>
              </w:rPr>
              <w:t>Increasing the frequency of AER water-filter replacement from every three months to monthly significantly reduced positive culture rates. The authors recommended adjusting maintenance and filter replacement schedules according to device utilization and local water quality rather than relying solely on manufacturer-recommended fixed intervals. The study also referred to the use of newer technologies such as disposable endoscopes or sterilizable endoscopes.</w:t>
            </w:r>
          </w:p>
        </w:tc>
        <w:tc>
          <w:tcPr>
            <w:tcW w:w="737" w:type="pct"/>
          </w:tcPr>
          <w:p w14:paraId="75C81CB8" w14:textId="77777777" w:rsidR="00F521BA" w:rsidRPr="003A7291" w:rsidRDefault="00F521BA" w:rsidP="004541B0">
            <w:pPr>
              <w:bidi w:val="0"/>
              <w:jc w:val="both"/>
              <w:rPr>
                <w:rFonts w:asciiTheme="majorBidi" w:hAnsiTheme="majorBidi" w:cstheme="majorBidi"/>
                <w:sz w:val="16"/>
                <w:szCs w:val="16"/>
              </w:rPr>
            </w:pPr>
            <w:r w:rsidRPr="007F1998">
              <w:rPr>
                <w:rFonts w:asciiTheme="majorBidi" w:hAnsiTheme="majorBidi" w:cstheme="majorBidi"/>
                <w:sz w:val="16"/>
                <w:szCs w:val="16"/>
              </w:rPr>
              <w:t>No major deficiencies were identified in bronchoscope reprocessing, maintenance, or handling. However, the increased volume of bronchoscopies increased water flow through AER water filters, likely leading to premature filter failure. This failure contaminated the water used for bronchoscope rinsing, resulting in contamination of the devices themselves.</w:t>
            </w:r>
          </w:p>
        </w:tc>
        <w:tc>
          <w:tcPr>
            <w:tcW w:w="599" w:type="pct"/>
          </w:tcPr>
          <w:p w14:paraId="1902AD11" w14:textId="77777777" w:rsidR="00F521BA" w:rsidRPr="003A7291" w:rsidRDefault="00F521BA" w:rsidP="004541B0">
            <w:pPr>
              <w:bidi w:val="0"/>
              <w:jc w:val="center"/>
              <w:rPr>
                <w:rFonts w:asciiTheme="majorBidi" w:hAnsiTheme="majorBidi" w:cstheme="majorBidi"/>
                <w:sz w:val="16"/>
                <w:szCs w:val="16"/>
              </w:rPr>
            </w:pPr>
            <w:r w:rsidRPr="007F1998">
              <w:rPr>
                <w:rFonts w:asciiTheme="majorBidi" w:hAnsiTheme="majorBidi" w:cstheme="majorBidi"/>
                <w:sz w:val="16"/>
                <w:szCs w:val="16"/>
              </w:rPr>
              <w:t>A pseudo-outbreak of Mycobacterium avium associated with contamination during equipment reprocessing in a bronchoscopy clinic.</w:t>
            </w:r>
          </w:p>
        </w:tc>
        <w:tc>
          <w:tcPr>
            <w:tcW w:w="553" w:type="pct"/>
          </w:tcPr>
          <w:p w14:paraId="16B62026" w14:textId="77777777" w:rsidR="00F521BA" w:rsidRPr="003A7291" w:rsidRDefault="00F521BA" w:rsidP="004541B0">
            <w:pPr>
              <w:bidi w:val="0"/>
              <w:jc w:val="center"/>
              <w:rPr>
                <w:rFonts w:asciiTheme="majorBidi" w:hAnsiTheme="majorBidi" w:cstheme="majorBidi"/>
                <w:sz w:val="16"/>
                <w:szCs w:val="16"/>
              </w:rPr>
            </w:pPr>
            <w:r w:rsidRPr="007F1998">
              <w:rPr>
                <w:rFonts w:asciiTheme="majorBidi" w:hAnsiTheme="majorBidi" w:cstheme="majorBidi"/>
                <w:sz w:val="16"/>
                <w:szCs w:val="16"/>
              </w:rPr>
              <w:t>Bronchoscopes and automated endoscope reprocessors (AERs).</w:t>
            </w:r>
          </w:p>
        </w:tc>
        <w:tc>
          <w:tcPr>
            <w:tcW w:w="552" w:type="pct"/>
          </w:tcPr>
          <w:p w14:paraId="63FC0368" w14:textId="77777777" w:rsidR="00F521BA" w:rsidRPr="003A7291" w:rsidRDefault="00F521BA" w:rsidP="004541B0">
            <w:pPr>
              <w:bidi w:val="0"/>
              <w:jc w:val="center"/>
              <w:rPr>
                <w:rFonts w:asciiTheme="majorBidi" w:hAnsiTheme="majorBidi" w:cstheme="majorBidi"/>
                <w:sz w:val="16"/>
                <w:szCs w:val="16"/>
              </w:rPr>
            </w:pPr>
            <w:r w:rsidRPr="007F1998">
              <w:rPr>
                <w:rFonts w:asciiTheme="majorBidi" w:hAnsiTheme="majorBidi" w:cstheme="majorBidi"/>
                <w:sz w:val="16"/>
                <w:szCs w:val="16"/>
              </w:rPr>
              <w:t>Patients undergoing bronchoscopy in an outpatient clinic.</w:t>
            </w:r>
          </w:p>
        </w:tc>
        <w:tc>
          <w:tcPr>
            <w:tcW w:w="415" w:type="pct"/>
          </w:tcPr>
          <w:p w14:paraId="561B900F" w14:textId="77777777" w:rsidR="00F521BA" w:rsidRPr="003A7291" w:rsidRDefault="00F521BA" w:rsidP="004541B0">
            <w:pPr>
              <w:bidi w:val="0"/>
              <w:jc w:val="center"/>
              <w:rPr>
                <w:rFonts w:asciiTheme="majorBidi" w:hAnsiTheme="majorBidi" w:cstheme="majorBidi"/>
                <w:sz w:val="16"/>
                <w:szCs w:val="16"/>
              </w:rPr>
            </w:pPr>
            <w:r w:rsidRPr="00966FEC">
              <w:rPr>
                <w:rFonts w:asciiTheme="majorBidi" w:hAnsiTheme="majorBidi" w:cstheme="majorBidi"/>
                <w:sz w:val="16"/>
                <w:szCs w:val="16"/>
              </w:rPr>
              <w:t>Case Series</w:t>
            </w:r>
          </w:p>
        </w:tc>
        <w:tc>
          <w:tcPr>
            <w:tcW w:w="368" w:type="pct"/>
          </w:tcPr>
          <w:p w14:paraId="7A728323" w14:textId="77777777" w:rsidR="00F521BA" w:rsidRPr="003A7291" w:rsidRDefault="00F521BA" w:rsidP="004541B0">
            <w:pPr>
              <w:bidi w:val="0"/>
              <w:jc w:val="center"/>
              <w:rPr>
                <w:rFonts w:asciiTheme="majorBidi" w:hAnsiTheme="majorBidi" w:cstheme="majorBidi"/>
                <w:sz w:val="16"/>
                <w:szCs w:val="16"/>
              </w:rPr>
            </w:pPr>
            <w:r w:rsidRPr="007F1998">
              <w:rPr>
                <w:rFonts w:asciiTheme="majorBidi" w:hAnsiTheme="majorBidi" w:cstheme="majorBidi"/>
                <w:sz w:val="16"/>
                <w:szCs w:val="16"/>
              </w:rPr>
              <w:t>United States</w:t>
            </w:r>
          </w:p>
        </w:tc>
        <w:tc>
          <w:tcPr>
            <w:tcW w:w="322" w:type="pct"/>
          </w:tcPr>
          <w:p w14:paraId="161DC0F1" w14:textId="77777777" w:rsidR="00F521BA" w:rsidRPr="003A7291" w:rsidRDefault="00F521BA" w:rsidP="004541B0">
            <w:pPr>
              <w:bidi w:val="0"/>
              <w:jc w:val="center"/>
              <w:rPr>
                <w:rFonts w:asciiTheme="majorBidi" w:hAnsiTheme="majorBidi" w:cstheme="majorBidi"/>
                <w:sz w:val="16"/>
                <w:szCs w:val="16"/>
              </w:rPr>
            </w:pPr>
            <w:r w:rsidRPr="007F1998">
              <w:rPr>
                <w:rFonts w:asciiTheme="majorBidi" w:hAnsiTheme="majorBidi" w:cstheme="majorBidi"/>
                <w:sz w:val="16"/>
                <w:szCs w:val="16"/>
              </w:rPr>
              <w:t>J. L. Seidelman (2019)</w:t>
            </w:r>
          </w:p>
        </w:tc>
        <w:tc>
          <w:tcPr>
            <w:tcW w:w="735" w:type="pct"/>
          </w:tcPr>
          <w:p w14:paraId="0E7F8E55" w14:textId="77777777" w:rsidR="00F521BA" w:rsidRPr="003A7291" w:rsidRDefault="00F521BA" w:rsidP="004541B0">
            <w:pPr>
              <w:bidi w:val="0"/>
              <w:jc w:val="center"/>
              <w:rPr>
                <w:rFonts w:asciiTheme="majorBidi" w:hAnsiTheme="majorBidi" w:cstheme="majorBidi"/>
                <w:sz w:val="16"/>
                <w:szCs w:val="16"/>
              </w:rPr>
            </w:pPr>
            <w:r w:rsidRPr="007F1998">
              <w:rPr>
                <w:rFonts w:asciiTheme="majorBidi" w:hAnsiTheme="majorBidi" w:cstheme="majorBidi"/>
                <w:sz w:val="16"/>
                <w:szCs w:val="16"/>
              </w:rPr>
              <w:t>Mycobacterium avium pseudo-outbreak associated with an outpatient bronchoscopy clinic: Lessons for reprocessing</w:t>
            </w:r>
            <w:r>
              <w:rPr>
                <w:rFonts w:asciiTheme="majorBidi" w:hAnsiTheme="majorBidi" w:cstheme="majorBidi"/>
                <w:sz w:val="16"/>
                <w:szCs w:val="16"/>
              </w:rPr>
              <w:t xml:space="preserve"> </w:t>
            </w:r>
            <w:r>
              <w:rPr>
                <w:rFonts w:asciiTheme="majorBidi" w:hAnsiTheme="majorBidi" w:cstheme="majorBidi"/>
                <w:sz w:val="16"/>
                <w:szCs w:val="16"/>
              </w:rPr>
              <w:fldChar w:fldCharType="begin">
                <w:fldData xml:space="preserve">PEVuZE5vdGU+PENpdGU+PEF1dGhvcj5TZWlkZWxtYW48L0F1dGhvcj48WWVhcj4yMDE5PC9ZZWFy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</w:fldData>
              </w:fldChar>
            </w:r>
            <w:r>
              <w:rPr>
                <w:rFonts w:asciiTheme="majorBidi" w:hAnsiTheme="majorBidi" w:cstheme="majorBidi"/>
                <w:sz w:val="16"/>
                <w:szCs w:val="16"/>
              </w:rPr>
              <w:instrText xml:space="preserve"> ADDIN EN.CITE </w:instrText>
            </w:r>
            <w:r>
              <w:rPr>
                <w:rFonts w:asciiTheme="majorBidi" w:hAnsiTheme="majorBidi" w:cstheme="majorBidi"/>
                <w:sz w:val="16"/>
                <w:szCs w:val="16"/>
              </w:rPr>
              <w:fldChar w:fldCharType="begin">
                <w:fldData xml:space="preserve">PEVuZE5vdGU+PENpdGU+PEF1dGhvcj5TZWlkZWxtYW48L0F1dGhvcj48WWVhcj4yMDE5PC9ZZWFy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</w:fldData>
              </w:fldChar>
            </w:r>
            <w:r>
              <w:rPr>
                <w:rFonts w:asciiTheme="majorBidi" w:hAnsiTheme="majorBidi" w:cstheme="majorBidi"/>
                <w:sz w:val="16"/>
                <w:szCs w:val="16"/>
              </w:rPr>
              <w:instrText xml:space="preserve"> ADDIN EN.CITE.DATA </w:instrText>
            </w:r>
            <w:r>
              <w:rPr>
                <w:rFonts w:asciiTheme="majorBidi" w:hAnsiTheme="majorBidi" w:cstheme="majorBidi"/>
                <w:sz w:val="16"/>
                <w:szCs w:val="16"/>
              </w:rPr>
            </w:r>
            <w:r>
              <w:rPr>
                <w:rFonts w:asciiTheme="majorBidi" w:hAnsiTheme="majorBidi" w:cstheme="majorBidi"/>
                <w:sz w:val="16"/>
                <w:szCs w:val="16"/>
              </w:rPr>
              <w:fldChar w:fldCharType="end"/>
            </w:r>
            <w:r>
              <w:rPr>
                <w:rFonts w:asciiTheme="majorBidi" w:hAnsiTheme="majorBidi" w:cstheme="majorBidi"/>
                <w:sz w:val="16"/>
                <w:szCs w:val="16"/>
              </w:rPr>
            </w:r>
            <w:r>
              <w:rPr>
                <w:rFonts w:asciiTheme="majorBidi" w:hAnsiTheme="majorBidi" w:cstheme="majorBidi"/>
                <w:sz w:val="16"/>
                <w:szCs w:val="16"/>
              </w:rPr>
              <w:fldChar w:fldCharType="separate"/>
            </w:r>
            <w:r>
              <w:rPr>
                <w:rFonts w:asciiTheme="majorBidi" w:hAnsiTheme="majorBidi" w:cstheme="majorBidi"/>
                <w:noProof/>
                <w:sz w:val="16"/>
                <w:szCs w:val="16"/>
              </w:rPr>
              <w:t>(5)</w:t>
            </w:r>
            <w:r>
              <w:rPr>
                <w:rFonts w:asciiTheme="majorBidi" w:hAnsiTheme="majorBidi" w:cstheme="majorBidi"/>
                <w:sz w:val="16"/>
                <w:szCs w:val="16"/>
              </w:rPr>
              <w:fldChar w:fldCharType="end"/>
            </w:r>
          </w:p>
        </w:tc>
      </w:tr>
      <w:tr w:rsidR="00F521BA" w:rsidRPr="002A63D0" w14:paraId="1699D8D6" w14:textId="77777777" w:rsidTr="004541B0">
        <w:trPr>
          <w:jc w:val="center"/>
        </w:trPr>
        <w:tc>
          <w:tcPr>
            <w:tcW w:w="719" w:type="pct"/>
          </w:tcPr>
          <w:p w14:paraId="3B61B24F" w14:textId="77777777" w:rsidR="00F521BA" w:rsidRPr="003A7291" w:rsidRDefault="00F521BA" w:rsidP="004541B0">
            <w:pPr>
              <w:bidi w:val="0"/>
              <w:jc w:val="both"/>
              <w:rPr>
                <w:rFonts w:asciiTheme="majorBidi" w:hAnsiTheme="majorBidi" w:cstheme="majorBidi"/>
                <w:sz w:val="16"/>
                <w:szCs w:val="16"/>
              </w:rPr>
            </w:pPr>
            <w:r w:rsidRPr="000F21C5">
              <w:rPr>
                <w:rFonts w:asciiTheme="majorBidi" w:hAnsiTheme="majorBidi" w:cstheme="majorBidi"/>
                <w:sz w:val="16"/>
                <w:szCs w:val="16"/>
              </w:rPr>
              <w:t xml:space="preserve">Three primary strategies were proposed: repairing the facility infrastructure, using mobile sterilization trailers through purchase or lease, and outsourcing sterilization services to another center. The study reported that outsourcing was the most cost-effective option over a five-year period. It was also emphasized that strategy selection should be based on the cause of the </w:t>
            </w:r>
            <w:r w:rsidRPr="000F21C5">
              <w:rPr>
                <w:rFonts w:asciiTheme="majorBidi" w:hAnsiTheme="majorBidi" w:cstheme="majorBidi"/>
                <w:sz w:val="16"/>
                <w:szCs w:val="16"/>
              </w:rPr>
              <w:lastRenderedPageBreak/>
              <w:t>problem, anticipated duration of the crisis, institutional infrastructure capacity, and operational feasibility.</w:t>
            </w:r>
          </w:p>
        </w:tc>
        <w:tc>
          <w:tcPr>
            <w:tcW w:w="737" w:type="pct"/>
          </w:tcPr>
          <w:p w14:paraId="2E024170" w14:textId="77777777" w:rsidR="00F521BA" w:rsidRPr="003A7291" w:rsidRDefault="00F521BA" w:rsidP="004541B0">
            <w:pPr>
              <w:bidi w:val="0"/>
              <w:jc w:val="both"/>
              <w:rPr>
                <w:rFonts w:asciiTheme="majorBidi" w:hAnsiTheme="majorBidi" w:cstheme="majorBidi"/>
                <w:sz w:val="16"/>
                <w:szCs w:val="16"/>
              </w:rPr>
            </w:pPr>
            <w:r w:rsidRPr="000F21C5">
              <w:rPr>
                <w:rFonts w:asciiTheme="majorBidi" w:hAnsiTheme="majorBidi" w:cstheme="majorBidi"/>
                <w:sz w:val="16"/>
                <w:szCs w:val="16"/>
              </w:rPr>
              <w:lastRenderedPageBreak/>
              <w:t xml:space="preserve">Steam-quality problems, infrastructure challenges, instrument staining, operating room shutdowns, space and infrastructure limitations for mobile sterilization units, issues related to water and steam supply, high costs, legal and regulatory constraints, difficulty implementing solutions in rural centers, workforce shortages after shutdowns, disruption of </w:t>
            </w:r>
            <w:r w:rsidRPr="000F21C5">
              <w:rPr>
                <w:rFonts w:asciiTheme="majorBidi" w:hAnsiTheme="majorBidi" w:cstheme="majorBidi"/>
                <w:sz w:val="16"/>
                <w:szCs w:val="16"/>
              </w:rPr>
              <w:lastRenderedPageBreak/>
              <w:t>residency training programs, and reduced surgical volume.</w:t>
            </w:r>
          </w:p>
        </w:tc>
        <w:tc>
          <w:tcPr>
            <w:tcW w:w="599" w:type="pct"/>
          </w:tcPr>
          <w:p w14:paraId="27953D21" w14:textId="77777777" w:rsidR="00F521BA" w:rsidRPr="003A7291" w:rsidRDefault="00F521BA" w:rsidP="004541B0">
            <w:pPr>
              <w:bidi w:val="0"/>
              <w:jc w:val="center"/>
              <w:rPr>
                <w:rFonts w:asciiTheme="majorBidi" w:hAnsiTheme="majorBidi" w:cstheme="majorBidi"/>
                <w:sz w:val="16"/>
                <w:szCs w:val="16"/>
              </w:rPr>
            </w:pPr>
            <w:r w:rsidRPr="000F21C5">
              <w:rPr>
                <w:rFonts w:asciiTheme="majorBidi" w:hAnsiTheme="majorBidi" w:cstheme="majorBidi"/>
                <w:sz w:val="16"/>
                <w:szCs w:val="16"/>
              </w:rPr>
              <w:lastRenderedPageBreak/>
              <w:t>Crisis caused by steam-quality problems and infrastructure challenges in sterile processing services (SPS), leading to operating room shutdowns and disruption of surgical services.</w:t>
            </w:r>
          </w:p>
        </w:tc>
        <w:tc>
          <w:tcPr>
            <w:tcW w:w="553" w:type="pct"/>
          </w:tcPr>
          <w:p w14:paraId="2356F3DB" w14:textId="77777777" w:rsidR="00F521BA" w:rsidRPr="003A7291" w:rsidRDefault="00F521BA" w:rsidP="004541B0">
            <w:pPr>
              <w:bidi w:val="0"/>
              <w:jc w:val="center"/>
              <w:rPr>
                <w:rFonts w:asciiTheme="majorBidi" w:hAnsiTheme="majorBidi" w:cstheme="majorBidi"/>
                <w:sz w:val="16"/>
                <w:szCs w:val="16"/>
              </w:rPr>
            </w:pPr>
            <w:r w:rsidRPr="000F21C5">
              <w:rPr>
                <w:rFonts w:asciiTheme="majorBidi" w:hAnsiTheme="majorBidi" w:cstheme="majorBidi"/>
                <w:sz w:val="16"/>
                <w:szCs w:val="16"/>
              </w:rPr>
              <w:t>Sterile surgical instruments and reusable medical equipment requiring sterilization.</w:t>
            </w:r>
          </w:p>
        </w:tc>
        <w:tc>
          <w:tcPr>
            <w:tcW w:w="552" w:type="pct"/>
          </w:tcPr>
          <w:p w14:paraId="59D5DC5E" w14:textId="77777777" w:rsidR="00F521BA" w:rsidRPr="003A7291" w:rsidRDefault="00F521BA" w:rsidP="004541B0">
            <w:pPr>
              <w:bidi w:val="0"/>
              <w:jc w:val="center"/>
              <w:rPr>
                <w:rFonts w:asciiTheme="majorBidi" w:hAnsiTheme="majorBidi" w:cstheme="majorBidi"/>
                <w:sz w:val="16"/>
                <w:szCs w:val="16"/>
              </w:rPr>
            </w:pPr>
            <w:r w:rsidRPr="000F21C5">
              <w:rPr>
                <w:rFonts w:asciiTheme="majorBidi" w:hAnsiTheme="majorBidi" w:cstheme="majorBidi"/>
                <w:sz w:val="16"/>
                <w:szCs w:val="16"/>
              </w:rPr>
              <w:t>A high-complexity VA medical center with approximately 110 inpatient beds, 5,000 annual admissions, more than 4,000 surgeries annually, 8 operating rooms, and 12 surgical specialties.</w:t>
            </w:r>
          </w:p>
        </w:tc>
        <w:tc>
          <w:tcPr>
            <w:tcW w:w="415" w:type="pct"/>
          </w:tcPr>
          <w:p w14:paraId="7C73EABF" w14:textId="77777777" w:rsidR="00F521BA" w:rsidRPr="003A7291" w:rsidRDefault="00F521BA" w:rsidP="004541B0">
            <w:pPr>
              <w:bidi w:val="0"/>
              <w:jc w:val="center"/>
              <w:rPr>
                <w:rFonts w:asciiTheme="majorBidi" w:hAnsiTheme="majorBidi" w:cstheme="majorBidi"/>
                <w:sz w:val="16"/>
                <w:szCs w:val="16"/>
              </w:rPr>
            </w:pPr>
            <w:r w:rsidRPr="000F21C5">
              <w:rPr>
                <w:rFonts w:asciiTheme="majorBidi" w:hAnsiTheme="majorBidi" w:cstheme="majorBidi"/>
                <w:sz w:val="16"/>
                <w:szCs w:val="16"/>
              </w:rPr>
              <w:t>Economic evaluation</w:t>
            </w:r>
          </w:p>
        </w:tc>
        <w:tc>
          <w:tcPr>
            <w:tcW w:w="368" w:type="pct"/>
          </w:tcPr>
          <w:p w14:paraId="0601911C" w14:textId="77777777" w:rsidR="00F521BA" w:rsidRPr="003A7291" w:rsidRDefault="00F521BA" w:rsidP="004541B0">
            <w:pPr>
              <w:bidi w:val="0"/>
              <w:jc w:val="center"/>
              <w:rPr>
                <w:rFonts w:asciiTheme="majorBidi" w:hAnsiTheme="majorBidi" w:cstheme="majorBidi"/>
                <w:sz w:val="16"/>
                <w:szCs w:val="16"/>
              </w:rPr>
            </w:pPr>
            <w:r w:rsidRPr="000F21C5">
              <w:rPr>
                <w:rFonts w:asciiTheme="majorBidi" w:hAnsiTheme="majorBidi" w:cstheme="majorBidi"/>
                <w:sz w:val="16"/>
                <w:szCs w:val="16"/>
              </w:rPr>
              <w:t>United States</w:t>
            </w:r>
          </w:p>
        </w:tc>
        <w:tc>
          <w:tcPr>
            <w:tcW w:w="322" w:type="pct"/>
          </w:tcPr>
          <w:p w14:paraId="05288C0F" w14:textId="77777777" w:rsidR="00F521BA" w:rsidRPr="003A7291" w:rsidRDefault="00F521BA" w:rsidP="004541B0">
            <w:pPr>
              <w:bidi w:val="0"/>
              <w:jc w:val="center"/>
              <w:rPr>
                <w:rFonts w:asciiTheme="majorBidi" w:hAnsiTheme="majorBidi" w:cstheme="majorBidi"/>
                <w:sz w:val="16"/>
                <w:szCs w:val="16"/>
              </w:rPr>
            </w:pPr>
            <w:r w:rsidRPr="000F21C5">
              <w:rPr>
                <w:rFonts w:asciiTheme="majorBidi" w:hAnsiTheme="majorBidi" w:cstheme="majorBidi"/>
                <w:sz w:val="16"/>
                <w:szCs w:val="16"/>
              </w:rPr>
              <w:t>E. Mittenzwei (2017)</w:t>
            </w:r>
          </w:p>
        </w:tc>
        <w:tc>
          <w:tcPr>
            <w:tcW w:w="735" w:type="pct"/>
          </w:tcPr>
          <w:p w14:paraId="7F91C75B" w14:textId="77777777" w:rsidR="00F521BA" w:rsidRPr="003A7291" w:rsidRDefault="00F521BA" w:rsidP="004541B0">
            <w:pPr>
              <w:bidi w:val="0"/>
              <w:jc w:val="center"/>
              <w:rPr>
                <w:rFonts w:asciiTheme="majorBidi" w:hAnsiTheme="majorBidi" w:cstheme="majorBidi"/>
                <w:sz w:val="16"/>
                <w:szCs w:val="16"/>
              </w:rPr>
            </w:pPr>
            <w:r w:rsidRPr="000F21C5">
              <w:rPr>
                <w:rFonts w:asciiTheme="majorBidi" w:hAnsiTheme="majorBidi" w:cstheme="majorBidi"/>
                <w:sz w:val="16"/>
                <w:szCs w:val="16"/>
              </w:rPr>
              <w:t xml:space="preserve">When Sterile Processing Goes Down: An Economic Analysis of Alternative Strategies for Supporting the Service </w:t>
            </w:r>
            <w:r>
              <w:rPr>
                <w:rFonts w:asciiTheme="majorBidi" w:hAnsiTheme="majorBidi" w:cstheme="majorBidi"/>
                <w:sz w:val="16"/>
                <w:szCs w:val="16"/>
              </w:rPr>
              <w:fldChar w:fldCharType="begin"/>
            </w:r>
            <w:r>
              <w:rPr>
                <w:rFonts w:asciiTheme="majorBidi" w:hAnsiTheme="majorBidi" w:cstheme="majorBidi"/>
                <w:sz w:val="16"/>
                <w:szCs w:val="16"/>
              </w:rPr>
              <w:instrText xml:space="preserve"> ADDIN EN.CITE &lt;EndNote&gt;&lt;Cite&gt;&lt;Author&gt;Mittenzwei&lt;/Author&gt;&lt;Year&gt;2017&lt;/Year&gt;&lt;RecNum&gt;532&lt;/RecNum&gt;&lt;DisplayText&gt;(6)&lt;/DisplayText&gt;&lt;record&gt;&lt;rec-number&gt;532&lt;/rec-number&gt;&lt;foreign-keys&gt;&lt;key app="EN" db-id="fpp0ax2do05ff8er0aa5xtw9dt5wp5x2fwfs" timestamp="1778277812"&gt;532&lt;/key&gt;&lt;/foreign-keys&gt;&lt;ref-type name="Journal Article"&gt;17&lt;/ref-type&gt;&lt;contributors&gt;&lt;authors&gt;&lt;author&gt;Mittenzwei, S. E.&lt;/author&gt;&lt;author&gt;Topkoff, J. L.&lt;/author&gt;&lt;author&gt;Bessesen, M. T.&lt;/author&gt;&lt;author&gt;Porter, C. A.&lt;/author&gt;&lt;author&gt;Rai, G. S.&lt;/author&gt;&lt;author&gt;Branch-Elliman, W.&lt;/author&gt;&lt;/authors&gt;&lt;/contributors&gt;&lt;auth-address&gt;1Departments of Nursing, Surgery, Anesthesia, and Medicine,Veterans Affairs Eastern Colorado Health Care System,Denver,Colorado.&amp;#xD;3Division of Infectious Diseases,Department of Medicine,Boston Veterans Affairs Healthcare System,West Roxbury,Massachusetts.&lt;/auth-address&gt;&lt;titles&gt;&lt;title&gt;When Sterile Processing Goes Down: An Economic Analysis of Alternative Strategies for Supporting the Service&lt;/title&gt;&lt;secondary-title&gt;Infect Control Hosp Epidemiol&lt;/secondary-title&gt;&lt;/titles&gt;&lt;periodical&gt;&lt;full-title&gt;Infect Control Hosp Epidemiol&lt;/full-title&gt;&lt;/periodical&gt;&lt;pages&gt;1002-1004&lt;/pages&gt;&lt;volume&gt;38&lt;/volume&gt;&lt;number&gt;8&lt;/number&gt;&lt;edition&gt;20170619&lt;/edition&gt;&lt;keywords&gt;&lt;keyword&gt;*Cost-Benefit Analysis&lt;/keyword&gt;&lt;keyword&gt;Hospital Costs&lt;/keyword&gt;&lt;keyword&gt;Humans&lt;/keyword&gt;&lt;keyword&gt;Operating Rooms/economics/standards&lt;/keyword&gt;&lt;keyword&gt;Sterilization/*economics/methods&lt;/keyword&gt;&lt;keyword&gt;Surgical Instruments/economics/microbiology/standards&lt;/keyword&gt;&lt;/keywords&gt;&lt;dates&gt;&lt;year&gt;2017&lt;/year&gt;&lt;pub-dates&gt;&lt;date&gt;Aug&lt;/date&gt;&lt;/pub-dates&gt;&lt;/dates&gt;&lt;isbn&gt;0899-823x&lt;/isbn&gt;&lt;accession-num&gt;28625181&lt;/accession-num&gt;&lt;urls&gt;&lt;/urls&gt;&lt;electronic-resource-num&gt;10.1017/ice.2017.104&lt;/electronic-resource-num&gt;&lt;remote-database-provider&gt;NLM&lt;/remote-database-provider&gt;&lt;language&gt;eng&lt;/language&gt;&lt;/record&gt;&lt;/Cite&gt;&lt;/EndNote&gt;</w:instrText>
            </w:r>
            <w:r>
              <w:rPr>
                <w:rFonts w:asciiTheme="majorBidi" w:hAnsiTheme="majorBidi" w:cstheme="majorBidi"/>
                <w:sz w:val="16"/>
                <w:szCs w:val="16"/>
              </w:rPr>
              <w:fldChar w:fldCharType="separate"/>
            </w:r>
            <w:r>
              <w:rPr>
                <w:rFonts w:asciiTheme="majorBidi" w:hAnsiTheme="majorBidi" w:cstheme="majorBidi"/>
                <w:noProof/>
                <w:sz w:val="16"/>
                <w:szCs w:val="16"/>
              </w:rPr>
              <w:t>(6)</w:t>
            </w:r>
            <w:r>
              <w:rPr>
                <w:rFonts w:asciiTheme="majorBidi" w:hAnsiTheme="majorBidi" w:cstheme="majorBidi"/>
                <w:sz w:val="16"/>
                <w:szCs w:val="16"/>
              </w:rPr>
              <w:fldChar w:fldCharType="end"/>
            </w:r>
          </w:p>
        </w:tc>
      </w:tr>
      <w:tr w:rsidR="00F521BA" w:rsidRPr="002A63D0" w14:paraId="7435FA08" w14:textId="77777777" w:rsidTr="004541B0">
        <w:trPr>
          <w:jc w:val="center"/>
        </w:trPr>
        <w:tc>
          <w:tcPr>
            <w:tcW w:w="719" w:type="pct"/>
          </w:tcPr>
          <w:p w14:paraId="27203713" w14:textId="77777777" w:rsidR="00F521BA" w:rsidRPr="003A7291" w:rsidRDefault="00F521BA" w:rsidP="004541B0">
            <w:pPr>
              <w:bidi w:val="0"/>
              <w:jc w:val="both"/>
              <w:rPr>
                <w:rFonts w:asciiTheme="majorBidi" w:hAnsiTheme="majorBidi" w:cstheme="majorBidi"/>
                <w:sz w:val="16"/>
                <w:szCs w:val="16"/>
              </w:rPr>
            </w:pPr>
            <w:r w:rsidRPr="001F457A">
              <w:rPr>
                <w:rFonts w:asciiTheme="majorBidi" w:hAnsiTheme="majorBidi" w:cstheme="majorBidi"/>
                <w:sz w:val="16"/>
                <w:szCs w:val="16"/>
              </w:rPr>
              <w:t>The study proposed a self-contained container-based sterilization unit as a solution. The unit included independent water and electricity supplies, areas for receiving contaminated instruments, decontamination, non-electric steam sterilization, and secure storage space. This solution may be beneficial for low-resource healthcare facilities, off-grid centers, maternal and neonatal care, oral health services, and post-disaster settings.</w:t>
            </w:r>
          </w:p>
        </w:tc>
        <w:tc>
          <w:tcPr>
            <w:tcW w:w="737" w:type="pct"/>
          </w:tcPr>
          <w:p w14:paraId="19EDA99F" w14:textId="77777777" w:rsidR="00F521BA" w:rsidRPr="003A7291" w:rsidRDefault="00F521BA" w:rsidP="004541B0">
            <w:pPr>
              <w:bidi w:val="0"/>
              <w:jc w:val="both"/>
              <w:rPr>
                <w:rFonts w:asciiTheme="majorBidi" w:hAnsiTheme="majorBidi" w:cstheme="majorBidi"/>
                <w:sz w:val="16"/>
                <w:szCs w:val="16"/>
              </w:rPr>
            </w:pPr>
            <w:r w:rsidRPr="001F457A">
              <w:rPr>
                <w:rFonts w:asciiTheme="majorBidi" w:hAnsiTheme="majorBidi" w:cstheme="majorBidi"/>
                <w:sz w:val="16"/>
                <w:szCs w:val="16"/>
              </w:rPr>
              <w:t>Lack of access to sterilization equipment, equipment failure or inadequate maintenance, insufficient electricity supply for equipment operation, weak protocols, inadequate inventory quality control, and improper separation of contaminated and sterile instruments. Challenges, costs, and the need for a network of reliable partners were also reported, along with the requirement for consumables and skilled personnel to maintain solar panels and batteries.</w:t>
            </w:r>
          </w:p>
        </w:tc>
        <w:tc>
          <w:tcPr>
            <w:tcW w:w="599" w:type="pct"/>
          </w:tcPr>
          <w:p w14:paraId="4D910ACF" w14:textId="77777777" w:rsidR="00F521BA" w:rsidRPr="003A7291" w:rsidRDefault="00F521BA" w:rsidP="004541B0">
            <w:pPr>
              <w:bidi w:val="0"/>
              <w:jc w:val="center"/>
              <w:rPr>
                <w:rFonts w:asciiTheme="majorBidi" w:hAnsiTheme="majorBidi" w:cstheme="majorBidi"/>
                <w:sz w:val="16"/>
                <w:szCs w:val="16"/>
              </w:rPr>
            </w:pPr>
            <w:r w:rsidRPr="001F457A">
              <w:rPr>
                <w:rFonts w:asciiTheme="majorBidi" w:hAnsiTheme="majorBidi" w:cstheme="majorBidi"/>
                <w:sz w:val="16"/>
                <w:szCs w:val="16"/>
              </w:rPr>
              <w:t>The study was conducted under routine conditions and focused on low-resource settings and structural challenges.</w:t>
            </w:r>
          </w:p>
        </w:tc>
        <w:tc>
          <w:tcPr>
            <w:tcW w:w="553" w:type="pct"/>
          </w:tcPr>
          <w:p w14:paraId="50587D11" w14:textId="77777777" w:rsidR="00F521BA" w:rsidRPr="003A7291" w:rsidRDefault="00F521BA" w:rsidP="004541B0">
            <w:pPr>
              <w:bidi w:val="0"/>
              <w:jc w:val="center"/>
              <w:rPr>
                <w:rFonts w:asciiTheme="majorBidi" w:hAnsiTheme="majorBidi" w:cstheme="majorBidi"/>
                <w:sz w:val="16"/>
                <w:szCs w:val="16"/>
              </w:rPr>
            </w:pPr>
            <w:r w:rsidRPr="00B05724">
              <w:rPr>
                <w:rFonts w:asciiTheme="majorBidi" w:hAnsiTheme="majorBidi" w:cstheme="majorBidi"/>
                <w:sz w:val="16"/>
                <w:szCs w:val="16"/>
              </w:rPr>
              <w:t>Stainless-steel surgical instruments. The evaluated reprocessing unit was a shipping-container-based sterilization unit equipped with a non-electric steam sterilizer.</w:t>
            </w:r>
          </w:p>
        </w:tc>
        <w:tc>
          <w:tcPr>
            <w:tcW w:w="552" w:type="pct"/>
          </w:tcPr>
          <w:p w14:paraId="6DC2D528" w14:textId="77777777" w:rsidR="00F521BA" w:rsidRPr="003A7291" w:rsidRDefault="00F521BA" w:rsidP="004541B0">
            <w:pPr>
              <w:bidi w:val="0"/>
              <w:jc w:val="center"/>
              <w:rPr>
                <w:rFonts w:asciiTheme="majorBidi" w:hAnsiTheme="majorBidi" w:cstheme="majorBidi"/>
                <w:sz w:val="16"/>
                <w:szCs w:val="16"/>
              </w:rPr>
            </w:pPr>
            <w:r w:rsidRPr="00B05724">
              <w:rPr>
                <w:rFonts w:asciiTheme="majorBidi" w:hAnsiTheme="majorBidi" w:cstheme="majorBidi"/>
                <w:sz w:val="16"/>
                <w:szCs w:val="16"/>
              </w:rPr>
              <w:t>Contaminated medical/surgical instruments. Specifically, each test included six stainless-steel surgical instruments, including Mayo scissors, Halsted mosquito forceps, and Backhaus towel clamps.</w:t>
            </w:r>
          </w:p>
        </w:tc>
        <w:tc>
          <w:tcPr>
            <w:tcW w:w="415" w:type="pct"/>
          </w:tcPr>
          <w:p w14:paraId="66785385" w14:textId="77777777" w:rsidR="00F521BA" w:rsidRPr="003A7291" w:rsidRDefault="00F521BA" w:rsidP="004541B0">
            <w:pPr>
              <w:bidi w:val="0"/>
              <w:jc w:val="center"/>
              <w:rPr>
                <w:rFonts w:asciiTheme="majorBidi" w:hAnsiTheme="majorBidi" w:cstheme="majorBidi"/>
                <w:sz w:val="16"/>
                <w:szCs w:val="16"/>
              </w:rPr>
            </w:pPr>
            <w:r>
              <w:rPr>
                <w:rFonts w:asciiTheme="majorBidi" w:hAnsiTheme="majorBidi" w:cstheme="majorBidi"/>
                <w:sz w:val="16"/>
                <w:szCs w:val="16"/>
              </w:rPr>
              <w:t>Quasi-</w:t>
            </w:r>
            <w:r w:rsidRPr="00B05724">
              <w:rPr>
                <w:rFonts w:asciiTheme="majorBidi" w:hAnsiTheme="majorBidi" w:cstheme="majorBidi"/>
                <w:sz w:val="16"/>
                <w:szCs w:val="16"/>
              </w:rPr>
              <w:t>Experimental study</w:t>
            </w:r>
          </w:p>
        </w:tc>
        <w:tc>
          <w:tcPr>
            <w:tcW w:w="368" w:type="pct"/>
          </w:tcPr>
          <w:p w14:paraId="3128F60D" w14:textId="77777777" w:rsidR="00F521BA" w:rsidRPr="003A7291" w:rsidRDefault="00F521BA" w:rsidP="004541B0">
            <w:pPr>
              <w:bidi w:val="0"/>
              <w:jc w:val="center"/>
              <w:rPr>
                <w:rFonts w:asciiTheme="majorBidi" w:hAnsiTheme="majorBidi" w:cstheme="majorBidi"/>
                <w:sz w:val="16"/>
                <w:szCs w:val="16"/>
              </w:rPr>
            </w:pPr>
            <w:r w:rsidRPr="00B05724">
              <w:rPr>
                <w:rFonts w:asciiTheme="majorBidi" w:hAnsiTheme="majorBidi" w:cstheme="majorBidi"/>
                <w:sz w:val="16"/>
                <w:szCs w:val="16"/>
              </w:rPr>
              <w:t>United States</w:t>
            </w:r>
          </w:p>
        </w:tc>
        <w:tc>
          <w:tcPr>
            <w:tcW w:w="322" w:type="pct"/>
          </w:tcPr>
          <w:p w14:paraId="0B74174F" w14:textId="77777777" w:rsidR="00F521BA" w:rsidRPr="003A7291" w:rsidRDefault="00F521BA" w:rsidP="004541B0">
            <w:pPr>
              <w:bidi w:val="0"/>
              <w:jc w:val="center"/>
              <w:rPr>
                <w:rFonts w:asciiTheme="majorBidi" w:hAnsiTheme="majorBidi" w:cstheme="majorBidi"/>
                <w:sz w:val="16"/>
                <w:szCs w:val="16"/>
              </w:rPr>
            </w:pPr>
            <w:r w:rsidRPr="00B05724">
              <w:rPr>
                <w:rFonts w:asciiTheme="majorBidi" w:hAnsiTheme="majorBidi" w:cstheme="majorBidi"/>
                <w:sz w:val="16"/>
                <w:szCs w:val="16"/>
              </w:rPr>
              <w:t>Boubour J (2016)</w:t>
            </w:r>
          </w:p>
        </w:tc>
        <w:tc>
          <w:tcPr>
            <w:tcW w:w="735" w:type="pct"/>
          </w:tcPr>
          <w:p w14:paraId="7FAEE938" w14:textId="77777777" w:rsidR="00F521BA" w:rsidRPr="003A7291" w:rsidRDefault="00F521BA" w:rsidP="004541B0">
            <w:pPr>
              <w:bidi w:val="0"/>
              <w:jc w:val="center"/>
              <w:rPr>
                <w:rFonts w:asciiTheme="majorBidi" w:hAnsiTheme="majorBidi" w:cstheme="majorBidi"/>
                <w:sz w:val="16"/>
                <w:szCs w:val="16"/>
              </w:rPr>
            </w:pPr>
            <w:r w:rsidRPr="00B05724">
              <w:rPr>
                <w:rFonts w:asciiTheme="majorBidi" w:hAnsiTheme="majorBidi" w:cstheme="majorBidi"/>
                <w:sz w:val="16"/>
                <w:szCs w:val="16"/>
              </w:rPr>
              <w:t xml:space="preserve">A Shipping Container-Based Sterile Processing Unit for Low Resources Settings </w:t>
            </w:r>
            <w:r>
              <w:rPr>
                <w:rFonts w:asciiTheme="majorBidi" w:hAnsiTheme="majorBidi" w:cstheme="majorBidi"/>
                <w:sz w:val="16"/>
                <w:szCs w:val="16"/>
              </w:rPr>
              <w:fldChar w:fldCharType="begin"/>
            </w:r>
            <w:r>
              <w:rPr>
                <w:rFonts w:asciiTheme="majorBidi" w:hAnsiTheme="majorBidi" w:cstheme="majorBidi"/>
                <w:sz w:val="16"/>
                <w:szCs w:val="16"/>
              </w:rPr>
              <w:instrText xml:space="preserve"> ADDIN EN.CITE &lt;EndNote&gt;&lt;Cite&gt;&lt;Author&gt;Boubour&lt;/Author&gt;&lt;Year&gt;2016&lt;/Year&gt;&lt;RecNum&gt;527&lt;/RecNum&gt;&lt;DisplayText&gt;(7)&lt;/DisplayText&gt;&lt;record&gt;&lt;rec-number&gt;527&lt;/rec-number&gt;&lt;foreign-keys&gt;&lt;key app="EN" db-id="fpp0ax2do05ff8er0aa5xtw9dt5wp5x2fwfs" timestamp="1772241741"&gt;527&lt;/key&gt;&lt;/foreign-keys&gt;&lt;ref-type name="Journal Article"&gt;17&lt;/ref-type&gt;&lt;contributors&gt;&lt;authors&gt;&lt;author&gt;Boubour, Jean&lt;/author&gt;&lt;author&gt;Jenson, Katherine&lt;/author&gt;&lt;author&gt;Richter, Hannah&lt;/author&gt;&lt;author&gt;Yarbrough, Josiah&lt;/author&gt;&lt;author&gt;Oden, Z. Maria&lt;/author&gt;&lt;author&gt;Schuler, Douglas A.&lt;/author&gt;&lt;/authors&gt;&lt;/contributors&gt;&lt;titles&gt;&lt;title&gt;A Shipping Container-Based Sterile Processing Unit for Low Resources Settings&lt;/title&gt;&lt;secondary-title&gt;PLOS ONE&lt;/secondary-title&gt;&lt;/titles&gt;&lt;periodical&gt;&lt;full-title&gt;PLoS One&lt;/full-title&gt;&lt;/periodical&gt;&lt;pages&gt;e0149624&lt;/pages&gt;&lt;volume&gt;11&lt;/volume&gt;&lt;number&gt;3&lt;/number&gt;&lt;dates&gt;&lt;year&gt;2016&lt;/year&gt;&lt;/dates&gt;&lt;publisher&gt;Public Library of Science&lt;/publisher&gt;&lt;urls&gt;&lt;related-urls&gt;&lt;url&gt;https://doi.org/10.1371/journal.pone.0149624&lt;/url&gt;&lt;/related-urls&gt;&lt;/urls&gt;&lt;electronic-resource-num&gt;10.1371/journal.pone.0149624&lt;/electronic-resource-num&gt;&lt;/record&gt;&lt;/Cite&gt;&lt;/EndNote&gt;</w:instrText>
            </w:r>
            <w:r>
              <w:rPr>
                <w:rFonts w:asciiTheme="majorBidi" w:hAnsiTheme="majorBidi" w:cstheme="majorBidi"/>
                <w:sz w:val="16"/>
                <w:szCs w:val="16"/>
              </w:rPr>
              <w:fldChar w:fldCharType="separate"/>
            </w:r>
            <w:r>
              <w:rPr>
                <w:rFonts w:asciiTheme="majorBidi" w:hAnsiTheme="majorBidi" w:cstheme="majorBidi"/>
                <w:noProof/>
                <w:sz w:val="16"/>
                <w:szCs w:val="16"/>
              </w:rPr>
              <w:t>(7)</w:t>
            </w:r>
            <w:r>
              <w:rPr>
                <w:rFonts w:asciiTheme="majorBidi" w:hAnsiTheme="majorBidi" w:cstheme="majorBidi"/>
                <w:sz w:val="16"/>
                <w:szCs w:val="16"/>
              </w:rPr>
              <w:fldChar w:fldCharType="end"/>
            </w:r>
          </w:p>
        </w:tc>
      </w:tr>
      <w:tr w:rsidR="00F521BA" w:rsidRPr="002A63D0" w14:paraId="5361DA91" w14:textId="77777777" w:rsidTr="004541B0">
        <w:trPr>
          <w:jc w:val="center"/>
        </w:trPr>
        <w:tc>
          <w:tcPr>
            <w:tcW w:w="719" w:type="pct"/>
          </w:tcPr>
          <w:p w14:paraId="55C60C4D" w14:textId="77777777" w:rsidR="00F521BA" w:rsidRPr="003A7291" w:rsidRDefault="00F521BA" w:rsidP="004541B0">
            <w:pPr>
              <w:bidi w:val="0"/>
              <w:jc w:val="both"/>
              <w:rPr>
                <w:rFonts w:asciiTheme="majorBidi" w:hAnsiTheme="majorBidi" w:cstheme="majorBidi"/>
                <w:sz w:val="16"/>
                <w:szCs w:val="16"/>
              </w:rPr>
            </w:pPr>
            <w:r w:rsidRPr="00D20A80">
              <w:rPr>
                <w:rFonts w:asciiTheme="majorBidi" w:hAnsiTheme="majorBidi" w:cstheme="majorBidi"/>
                <w:sz w:val="16"/>
                <w:szCs w:val="16"/>
              </w:rPr>
              <w:t>Following intervention, the reprocessing procedure was standardized. After surgery, instruments were disassembled, rinsed under water, and cleaned using dedicated brushes, then immersed in enzymatic solution and transferred to the CSS department after rinsing. Instruments were subsequently dried, packaged, and sterilized using an autoclave. Strict monitoring of sterilization processes and avoidance of glutaraldehyde for sterilization of video-surgery instruments were also recommended. The study additionally suggested the use of disposable trocars and enhanced oversight by health authorities on surgical instrument sterilization processes.</w:t>
            </w:r>
          </w:p>
        </w:tc>
        <w:tc>
          <w:tcPr>
            <w:tcW w:w="737" w:type="pct"/>
          </w:tcPr>
          <w:p w14:paraId="29D2C881" w14:textId="77777777" w:rsidR="00F521BA" w:rsidRPr="003A7291" w:rsidRDefault="00F521BA" w:rsidP="004541B0">
            <w:pPr>
              <w:bidi w:val="0"/>
              <w:jc w:val="both"/>
              <w:rPr>
                <w:rFonts w:asciiTheme="majorBidi" w:hAnsiTheme="majorBidi" w:cstheme="majorBidi"/>
                <w:sz w:val="16"/>
                <w:szCs w:val="16"/>
              </w:rPr>
            </w:pPr>
            <w:r w:rsidRPr="00D20A80">
              <w:rPr>
                <w:rFonts w:asciiTheme="majorBidi" w:hAnsiTheme="majorBidi" w:cstheme="majorBidi"/>
                <w:sz w:val="16"/>
                <w:szCs w:val="16"/>
              </w:rPr>
              <w:t>Multiple problems were reported in equipment reprocessing. The surgical instruments did not belong to the hospital, and their reprocessing did not comply with ANVISA regulations. Following mechanical washing in the purge area, the equipment was immersed in 2% glutaraldehyde solution for approximately 30–60 minutes. This method continued despite the prohibition of glutaraldehyde use for sterilizing video-surgery equipment. The same glutaraldehyde container was repeatedly used between surgeries, with two sets of instruments immersed simultaneously. In addition, the purge area was not separated from the operating room and lacked traffic control.</w:t>
            </w:r>
          </w:p>
        </w:tc>
        <w:tc>
          <w:tcPr>
            <w:tcW w:w="599" w:type="pct"/>
          </w:tcPr>
          <w:p w14:paraId="1662D13C" w14:textId="77777777" w:rsidR="00F521BA" w:rsidRPr="003A7291" w:rsidRDefault="00F521BA" w:rsidP="004541B0">
            <w:pPr>
              <w:bidi w:val="0"/>
              <w:jc w:val="center"/>
              <w:rPr>
                <w:rFonts w:asciiTheme="majorBidi" w:hAnsiTheme="majorBidi" w:cstheme="majorBidi"/>
                <w:sz w:val="16"/>
                <w:szCs w:val="16"/>
              </w:rPr>
            </w:pPr>
            <w:r w:rsidRPr="00D20A80">
              <w:rPr>
                <w:rFonts w:asciiTheme="majorBidi" w:hAnsiTheme="majorBidi" w:cstheme="majorBidi"/>
                <w:sz w:val="16"/>
                <w:szCs w:val="16"/>
              </w:rPr>
              <w:t>Outbreak of Mycobacterium abscessus subsp. bolletii infection following laparoscopic surgery in a hospital setting.</w:t>
            </w:r>
          </w:p>
        </w:tc>
        <w:tc>
          <w:tcPr>
            <w:tcW w:w="553" w:type="pct"/>
          </w:tcPr>
          <w:p w14:paraId="6801B280" w14:textId="77777777" w:rsidR="00F521BA" w:rsidRPr="003A7291" w:rsidRDefault="00F521BA" w:rsidP="004541B0">
            <w:pPr>
              <w:bidi w:val="0"/>
              <w:jc w:val="center"/>
              <w:rPr>
                <w:rFonts w:asciiTheme="majorBidi" w:hAnsiTheme="majorBidi" w:cstheme="majorBidi"/>
                <w:sz w:val="16"/>
                <w:szCs w:val="16"/>
              </w:rPr>
            </w:pPr>
            <w:r w:rsidRPr="00D20A80">
              <w:rPr>
                <w:rFonts w:asciiTheme="majorBidi" w:hAnsiTheme="majorBidi" w:cstheme="majorBidi"/>
                <w:sz w:val="16"/>
                <w:szCs w:val="16"/>
              </w:rPr>
              <w:t>Laparoscopic surgical instruments used in video-assisted surgeries.</w:t>
            </w:r>
          </w:p>
        </w:tc>
        <w:tc>
          <w:tcPr>
            <w:tcW w:w="552" w:type="pct"/>
          </w:tcPr>
          <w:p w14:paraId="2429D230" w14:textId="77777777" w:rsidR="00F521BA" w:rsidRPr="003A7291" w:rsidRDefault="00F521BA" w:rsidP="004541B0">
            <w:pPr>
              <w:bidi w:val="0"/>
              <w:jc w:val="center"/>
              <w:rPr>
                <w:rFonts w:asciiTheme="majorBidi" w:hAnsiTheme="majorBidi" w:cstheme="majorBidi"/>
                <w:sz w:val="16"/>
                <w:szCs w:val="16"/>
              </w:rPr>
            </w:pPr>
            <w:r w:rsidRPr="00D20A80">
              <w:rPr>
                <w:rFonts w:asciiTheme="majorBidi" w:hAnsiTheme="majorBidi" w:cstheme="majorBidi"/>
                <w:sz w:val="16"/>
                <w:szCs w:val="16"/>
              </w:rPr>
              <w:t>The study population included 222 patients who underwent laparoscopic surgery performed by a single surgical team between July 2009 and August 2010.</w:t>
            </w:r>
          </w:p>
        </w:tc>
        <w:tc>
          <w:tcPr>
            <w:tcW w:w="415" w:type="pct"/>
          </w:tcPr>
          <w:p w14:paraId="73712E50" w14:textId="77777777" w:rsidR="00F521BA" w:rsidRPr="003A7291" w:rsidRDefault="00F521BA" w:rsidP="004541B0">
            <w:pPr>
              <w:bidi w:val="0"/>
              <w:jc w:val="center"/>
              <w:rPr>
                <w:rFonts w:asciiTheme="majorBidi" w:hAnsiTheme="majorBidi" w:cstheme="majorBidi"/>
                <w:sz w:val="16"/>
                <w:szCs w:val="16"/>
              </w:rPr>
            </w:pPr>
            <w:r w:rsidRPr="001D61CF">
              <w:rPr>
                <w:rFonts w:asciiTheme="majorBidi" w:hAnsiTheme="majorBidi" w:cstheme="majorBidi"/>
                <w:sz w:val="16"/>
                <w:szCs w:val="16"/>
              </w:rPr>
              <w:t>Cohort study</w:t>
            </w:r>
          </w:p>
        </w:tc>
        <w:tc>
          <w:tcPr>
            <w:tcW w:w="368" w:type="pct"/>
          </w:tcPr>
          <w:p w14:paraId="580A99B7" w14:textId="77777777" w:rsidR="00F521BA" w:rsidRPr="003A7291" w:rsidRDefault="00F521BA" w:rsidP="004541B0">
            <w:pPr>
              <w:bidi w:val="0"/>
              <w:jc w:val="center"/>
              <w:rPr>
                <w:rFonts w:asciiTheme="majorBidi" w:hAnsiTheme="majorBidi" w:cstheme="majorBidi"/>
                <w:sz w:val="16"/>
                <w:szCs w:val="16"/>
              </w:rPr>
            </w:pPr>
            <w:r w:rsidRPr="00D20A80">
              <w:rPr>
                <w:rFonts w:asciiTheme="majorBidi" w:hAnsiTheme="majorBidi" w:cstheme="majorBidi"/>
                <w:sz w:val="16"/>
                <w:szCs w:val="16"/>
              </w:rPr>
              <w:t>Brazil</w:t>
            </w:r>
          </w:p>
        </w:tc>
        <w:tc>
          <w:tcPr>
            <w:tcW w:w="322" w:type="pct"/>
          </w:tcPr>
          <w:p w14:paraId="29B7D5A0" w14:textId="77777777" w:rsidR="00F521BA" w:rsidRPr="003A7291" w:rsidRDefault="00F521BA" w:rsidP="004541B0">
            <w:pPr>
              <w:bidi w:val="0"/>
              <w:jc w:val="center"/>
              <w:rPr>
                <w:rFonts w:asciiTheme="majorBidi" w:hAnsiTheme="majorBidi" w:cstheme="majorBidi"/>
                <w:sz w:val="16"/>
                <w:szCs w:val="16"/>
              </w:rPr>
            </w:pPr>
            <w:r w:rsidRPr="00D20A80">
              <w:rPr>
                <w:rFonts w:asciiTheme="majorBidi" w:hAnsiTheme="majorBidi" w:cstheme="majorBidi"/>
                <w:sz w:val="16"/>
                <w:szCs w:val="16"/>
              </w:rPr>
              <w:t>G. Baruque Villar (2015)</w:t>
            </w:r>
          </w:p>
        </w:tc>
        <w:tc>
          <w:tcPr>
            <w:tcW w:w="735" w:type="pct"/>
          </w:tcPr>
          <w:p w14:paraId="0C8B344B" w14:textId="77777777" w:rsidR="00F521BA" w:rsidRPr="003A7291" w:rsidRDefault="00F521BA" w:rsidP="004541B0">
            <w:pPr>
              <w:bidi w:val="0"/>
              <w:jc w:val="center"/>
              <w:rPr>
                <w:rFonts w:asciiTheme="majorBidi" w:hAnsiTheme="majorBidi" w:cstheme="majorBidi"/>
                <w:sz w:val="16"/>
                <w:szCs w:val="16"/>
              </w:rPr>
            </w:pPr>
            <w:r w:rsidRPr="00D20A80">
              <w:rPr>
                <w:rFonts w:asciiTheme="majorBidi" w:hAnsiTheme="majorBidi" w:cstheme="majorBidi"/>
                <w:sz w:val="16"/>
                <w:szCs w:val="16"/>
              </w:rPr>
              <w:t xml:space="preserve">Risk Factors for Mycobacterium abscessus subsp. bolletii Infection After Laparoscopic Surgery During an Outbreak in Brazil </w:t>
            </w:r>
            <w:r>
              <w:rPr>
                <w:rFonts w:asciiTheme="majorBidi" w:hAnsiTheme="majorBidi" w:cstheme="majorBidi"/>
                <w:sz w:val="16"/>
                <w:szCs w:val="16"/>
              </w:rPr>
              <w:fldChar w:fldCharType="begin">
                <w:fldData xml:space="preserve">PEVuZE5vdGU+PENpdGU+PEF1dGhvcj5CYXJ1cXVlIFZpbGxhcjwvQXV0aG9yPjxZZWFyPjIwMTU8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</w:fldData>
              </w:fldChar>
            </w:r>
            <w:r>
              <w:rPr>
                <w:rFonts w:asciiTheme="majorBidi" w:hAnsiTheme="majorBidi" w:cstheme="majorBidi"/>
                <w:sz w:val="16"/>
                <w:szCs w:val="16"/>
              </w:rPr>
              <w:instrText xml:space="preserve"> ADDIN EN.CITE </w:instrText>
            </w:r>
            <w:r>
              <w:rPr>
                <w:rFonts w:asciiTheme="majorBidi" w:hAnsiTheme="majorBidi" w:cstheme="majorBidi"/>
                <w:sz w:val="16"/>
                <w:szCs w:val="16"/>
              </w:rPr>
              <w:fldChar w:fldCharType="begin">
                <w:fldData xml:space="preserve">PEVuZE5vdGU+PENpdGU+PEF1dGhvcj5CYXJ1cXVlIFZpbGxhcjwvQXV0aG9yPjxZZWFyPjIwMTU8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</w:fldData>
              </w:fldChar>
            </w:r>
            <w:r>
              <w:rPr>
                <w:rFonts w:asciiTheme="majorBidi" w:hAnsiTheme="majorBidi" w:cstheme="majorBidi"/>
                <w:sz w:val="16"/>
                <w:szCs w:val="16"/>
              </w:rPr>
              <w:instrText xml:space="preserve"> ADDIN EN.CITE.DATA </w:instrText>
            </w:r>
            <w:r>
              <w:rPr>
                <w:rFonts w:asciiTheme="majorBidi" w:hAnsiTheme="majorBidi" w:cstheme="majorBidi"/>
                <w:sz w:val="16"/>
                <w:szCs w:val="16"/>
              </w:rPr>
            </w:r>
            <w:r>
              <w:rPr>
                <w:rFonts w:asciiTheme="majorBidi" w:hAnsiTheme="majorBidi" w:cstheme="majorBidi"/>
                <w:sz w:val="16"/>
                <w:szCs w:val="16"/>
              </w:rPr>
              <w:fldChar w:fldCharType="end"/>
            </w:r>
            <w:r>
              <w:rPr>
                <w:rFonts w:asciiTheme="majorBidi" w:hAnsiTheme="majorBidi" w:cstheme="majorBidi"/>
                <w:sz w:val="16"/>
                <w:szCs w:val="16"/>
              </w:rPr>
            </w:r>
            <w:r>
              <w:rPr>
                <w:rFonts w:asciiTheme="majorBidi" w:hAnsiTheme="majorBidi" w:cstheme="majorBidi"/>
                <w:sz w:val="16"/>
                <w:szCs w:val="16"/>
              </w:rPr>
              <w:fldChar w:fldCharType="separate"/>
            </w:r>
            <w:r>
              <w:rPr>
                <w:rFonts w:asciiTheme="majorBidi" w:hAnsiTheme="majorBidi" w:cstheme="majorBidi"/>
                <w:noProof/>
                <w:sz w:val="16"/>
                <w:szCs w:val="16"/>
              </w:rPr>
              <w:t>(8)</w:t>
            </w:r>
            <w:r>
              <w:rPr>
                <w:rFonts w:asciiTheme="majorBidi" w:hAnsiTheme="majorBidi" w:cstheme="majorBidi"/>
                <w:sz w:val="16"/>
                <w:szCs w:val="16"/>
              </w:rPr>
              <w:fldChar w:fldCharType="end"/>
            </w:r>
          </w:p>
        </w:tc>
      </w:tr>
      <w:tr w:rsidR="00F521BA" w:rsidRPr="002A63D0" w14:paraId="349D017A" w14:textId="77777777" w:rsidTr="004541B0">
        <w:trPr>
          <w:jc w:val="center"/>
        </w:trPr>
        <w:tc>
          <w:tcPr>
            <w:tcW w:w="719" w:type="pct"/>
          </w:tcPr>
          <w:p w14:paraId="6C0AC4CA" w14:textId="77777777" w:rsidR="00F521BA" w:rsidRPr="003A7291" w:rsidRDefault="00F521BA" w:rsidP="004541B0">
            <w:pPr>
              <w:bidi w:val="0"/>
              <w:jc w:val="both"/>
              <w:rPr>
                <w:rFonts w:asciiTheme="majorBidi" w:hAnsiTheme="majorBidi" w:cstheme="majorBidi"/>
                <w:sz w:val="16"/>
                <w:szCs w:val="16"/>
              </w:rPr>
            </w:pPr>
            <w:r w:rsidRPr="000C585B">
              <w:rPr>
                <w:rFonts w:asciiTheme="majorBidi" w:hAnsiTheme="majorBidi" w:cstheme="majorBidi"/>
                <w:sz w:val="16"/>
                <w:szCs w:val="16"/>
              </w:rPr>
              <w:t xml:space="preserve">Routine endoscopic evaluation of shaver lumens; use of lint-free brushes for cannulas; immersion of instruments in enzymatic solution for 10–15 minutes; capping of optical and camera instrument ends before washing; avoiding storage of instruments outside designated </w:t>
            </w:r>
            <w:r w:rsidRPr="000C585B">
              <w:rPr>
                <w:rFonts w:asciiTheme="majorBidi" w:hAnsiTheme="majorBidi" w:cstheme="majorBidi"/>
                <w:sz w:val="16"/>
                <w:szCs w:val="16"/>
              </w:rPr>
              <w:lastRenderedPageBreak/>
              <w:t>storage rooms; restricting flash autoclaving to essential situations only; redesigning the decontamination room; annual staff training and certification; implementation of an instrument tracking system; and replacement of equipment with more rigid suction tubing.</w:t>
            </w:r>
          </w:p>
        </w:tc>
        <w:tc>
          <w:tcPr>
            <w:tcW w:w="737" w:type="pct"/>
          </w:tcPr>
          <w:p w14:paraId="742C6A99" w14:textId="77777777" w:rsidR="00F521BA" w:rsidRPr="003A7291" w:rsidRDefault="00F521BA" w:rsidP="004541B0">
            <w:pPr>
              <w:bidi w:val="0"/>
              <w:jc w:val="both"/>
              <w:rPr>
                <w:rFonts w:asciiTheme="majorBidi" w:hAnsiTheme="majorBidi" w:cstheme="majorBidi"/>
                <w:sz w:val="16"/>
                <w:szCs w:val="16"/>
              </w:rPr>
            </w:pPr>
            <w:r w:rsidRPr="000C585B">
              <w:rPr>
                <w:rFonts w:asciiTheme="majorBidi" w:hAnsiTheme="majorBidi" w:cstheme="majorBidi"/>
                <w:sz w:val="16"/>
                <w:szCs w:val="16"/>
              </w:rPr>
              <w:lastRenderedPageBreak/>
              <w:t xml:space="preserve">Presence of tissue residue and contamination in shaver and cannula lumens; inadequate brushing during cannula cleaning; use of lint-producing brushes that left residual particles; insufficient immersion in enzymatic solution; deficiencies in </w:t>
            </w:r>
            <w:r w:rsidRPr="000C585B">
              <w:rPr>
                <w:rFonts w:asciiTheme="majorBidi" w:hAnsiTheme="majorBidi" w:cstheme="majorBidi"/>
                <w:sz w:val="16"/>
                <w:szCs w:val="16"/>
              </w:rPr>
              <w:lastRenderedPageBreak/>
              <w:t>sterilization indicator documentation; occasional inappropriate use of flash autoclaving; storage of instruments outside standard storage areas; possible contamination from used brushes; and contamination of the decontamination unit sink.</w:t>
            </w:r>
          </w:p>
        </w:tc>
        <w:tc>
          <w:tcPr>
            <w:tcW w:w="599" w:type="pct"/>
          </w:tcPr>
          <w:p w14:paraId="67025B1A" w14:textId="77777777" w:rsidR="00F521BA" w:rsidRPr="003A7291" w:rsidRDefault="00F521BA" w:rsidP="004541B0">
            <w:pPr>
              <w:bidi w:val="0"/>
              <w:jc w:val="center"/>
              <w:rPr>
                <w:rFonts w:asciiTheme="majorBidi" w:hAnsiTheme="majorBidi" w:cstheme="majorBidi"/>
                <w:sz w:val="16"/>
                <w:szCs w:val="16"/>
              </w:rPr>
            </w:pPr>
            <w:r w:rsidRPr="000C585B">
              <w:rPr>
                <w:rFonts w:asciiTheme="majorBidi" w:hAnsiTheme="majorBidi" w:cstheme="majorBidi"/>
                <w:sz w:val="16"/>
                <w:szCs w:val="16"/>
              </w:rPr>
              <w:lastRenderedPageBreak/>
              <w:t>Occurrence of an infectious outbreak.</w:t>
            </w:r>
          </w:p>
        </w:tc>
        <w:tc>
          <w:tcPr>
            <w:tcW w:w="553" w:type="pct"/>
          </w:tcPr>
          <w:p w14:paraId="606DE775" w14:textId="77777777" w:rsidR="00F521BA" w:rsidRPr="003A7291" w:rsidRDefault="00F521BA" w:rsidP="004541B0">
            <w:pPr>
              <w:bidi w:val="0"/>
              <w:jc w:val="center"/>
              <w:rPr>
                <w:rFonts w:asciiTheme="majorBidi" w:hAnsiTheme="majorBidi" w:cstheme="majorBidi"/>
                <w:sz w:val="16"/>
                <w:szCs w:val="16"/>
              </w:rPr>
            </w:pPr>
            <w:r w:rsidRPr="000C585B">
              <w:rPr>
                <w:rFonts w:asciiTheme="majorBidi" w:hAnsiTheme="majorBidi" w:cstheme="majorBidi"/>
                <w:sz w:val="16"/>
                <w:szCs w:val="16"/>
              </w:rPr>
              <w:t>Arthroscopic inflow/outflow cannulae, arthroscopic shaver handpieces, arthroscopes, suction tubing, camera/power cords, and light cords.</w:t>
            </w:r>
          </w:p>
        </w:tc>
        <w:tc>
          <w:tcPr>
            <w:tcW w:w="552" w:type="pct"/>
          </w:tcPr>
          <w:p w14:paraId="73556CBC" w14:textId="77777777" w:rsidR="00F521BA" w:rsidRPr="003A7291" w:rsidRDefault="00F521BA" w:rsidP="004541B0">
            <w:pPr>
              <w:bidi w:val="0"/>
              <w:jc w:val="center"/>
              <w:rPr>
                <w:rFonts w:asciiTheme="majorBidi" w:hAnsiTheme="majorBidi" w:cstheme="majorBidi"/>
                <w:sz w:val="16"/>
                <w:szCs w:val="16"/>
              </w:rPr>
            </w:pPr>
            <w:r w:rsidRPr="00344FF1">
              <w:rPr>
                <w:rFonts w:asciiTheme="majorBidi" w:hAnsiTheme="majorBidi" w:cstheme="majorBidi"/>
                <w:sz w:val="16"/>
                <w:szCs w:val="16"/>
              </w:rPr>
              <w:t>Individuals who underwent knee or shoulder arthroscopy at Hospital X between April 22 and May 7, 2009.</w:t>
            </w:r>
          </w:p>
        </w:tc>
        <w:tc>
          <w:tcPr>
            <w:tcW w:w="415" w:type="pct"/>
          </w:tcPr>
          <w:p w14:paraId="2F396474" w14:textId="77777777" w:rsidR="00F521BA" w:rsidRPr="003A7291" w:rsidRDefault="00F521BA" w:rsidP="004541B0">
            <w:pPr>
              <w:bidi w:val="0"/>
              <w:jc w:val="center"/>
              <w:rPr>
                <w:rFonts w:asciiTheme="majorBidi" w:hAnsiTheme="majorBidi" w:cstheme="majorBidi"/>
                <w:sz w:val="16"/>
                <w:szCs w:val="16"/>
              </w:rPr>
            </w:pPr>
            <w:r w:rsidRPr="00344FF1">
              <w:rPr>
                <w:rFonts w:asciiTheme="majorBidi" w:hAnsiTheme="majorBidi" w:cstheme="majorBidi"/>
                <w:sz w:val="16"/>
                <w:szCs w:val="16"/>
              </w:rPr>
              <w:t>Case-control study</w:t>
            </w:r>
          </w:p>
        </w:tc>
        <w:tc>
          <w:tcPr>
            <w:tcW w:w="368" w:type="pct"/>
          </w:tcPr>
          <w:p w14:paraId="47CF8F3B" w14:textId="77777777" w:rsidR="00F521BA" w:rsidRPr="003A7291" w:rsidRDefault="00F521BA" w:rsidP="004541B0">
            <w:pPr>
              <w:bidi w:val="0"/>
              <w:jc w:val="center"/>
              <w:rPr>
                <w:rFonts w:asciiTheme="majorBidi" w:hAnsiTheme="majorBidi" w:cstheme="majorBidi"/>
                <w:sz w:val="16"/>
                <w:szCs w:val="16"/>
              </w:rPr>
            </w:pPr>
            <w:r w:rsidRPr="00344FF1">
              <w:rPr>
                <w:rFonts w:asciiTheme="majorBidi" w:hAnsiTheme="majorBidi" w:cstheme="majorBidi"/>
                <w:sz w:val="16"/>
                <w:szCs w:val="16"/>
              </w:rPr>
              <w:t>United States</w:t>
            </w:r>
          </w:p>
        </w:tc>
        <w:tc>
          <w:tcPr>
            <w:tcW w:w="322" w:type="pct"/>
          </w:tcPr>
          <w:p w14:paraId="00B6A327" w14:textId="77777777" w:rsidR="00F521BA" w:rsidRPr="003A7291" w:rsidRDefault="00F521BA" w:rsidP="004541B0">
            <w:pPr>
              <w:bidi w:val="0"/>
              <w:jc w:val="center"/>
              <w:rPr>
                <w:rFonts w:asciiTheme="majorBidi" w:hAnsiTheme="majorBidi" w:cstheme="majorBidi"/>
                <w:sz w:val="16"/>
                <w:szCs w:val="16"/>
              </w:rPr>
            </w:pPr>
            <w:r w:rsidRPr="00344FF1">
              <w:rPr>
                <w:rFonts w:asciiTheme="majorBidi" w:hAnsiTheme="majorBidi" w:cstheme="majorBidi"/>
                <w:sz w:val="16"/>
                <w:szCs w:val="16"/>
              </w:rPr>
              <w:t>P. K. Tosh (2011)</w:t>
            </w:r>
          </w:p>
        </w:tc>
        <w:tc>
          <w:tcPr>
            <w:tcW w:w="735" w:type="pct"/>
          </w:tcPr>
          <w:p w14:paraId="799DC50A" w14:textId="77777777" w:rsidR="00F521BA" w:rsidRPr="003A7291" w:rsidRDefault="00F521BA" w:rsidP="004541B0">
            <w:pPr>
              <w:bidi w:val="0"/>
              <w:jc w:val="center"/>
              <w:rPr>
                <w:rFonts w:asciiTheme="majorBidi" w:hAnsiTheme="majorBidi" w:cstheme="majorBidi"/>
                <w:sz w:val="16"/>
                <w:szCs w:val="16"/>
              </w:rPr>
            </w:pPr>
            <w:r w:rsidRPr="00344FF1">
              <w:rPr>
                <w:rFonts w:asciiTheme="majorBidi" w:hAnsiTheme="majorBidi" w:cstheme="majorBidi"/>
                <w:sz w:val="16"/>
                <w:szCs w:val="16"/>
              </w:rPr>
              <w:t xml:space="preserve">Outbreak of Pseudomonas aeruginosa Surgical Site Infections after Arthroscopic Procedures </w:t>
            </w:r>
            <w:r>
              <w:rPr>
                <w:rFonts w:asciiTheme="majorBidi" w:hAnsiTheme="majorBidi" w:cstheme="majorBidi"/>
                <w:sz w:val="16"/>
                <w:szCs w:val="16"/>
              </w:rPr>
              <w:fldChar w:fldCharType="begin">
                <w:fldData xml:space="preserve">PEVuZE5vdGU+PENpdGU+PEF1dGhvcj5Ub3NoPC9BdXRob3I+PFllYXI+MjAxMTwvWWVhcj48UmVj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</w:fldData>
              </w:fldChar>
            </w:r>
            <w:r>
              <w:rPr>
                <w:rFonts w:asciiTheme="majorBidi" w:hAnsiTheme="majorBidi" w:cstheme="majorBidi"/>
                <w:sz w:val="16"/>
                <w:szCs w:val="16"/>
              </w:rPr>
              <w:instrText xml:space="preserve"> ADDIN EN.CITE </w:instrText>
            </w:r>
            <w:r>
              <w:rPr>
                <w:rFonts w:asciiTheme="majorBidi" w:hAnsiTheme="majorBidi" w:cstheme="majorBidi"/>
                <w:sz w:val="16"/>
                <w:szCs w:val="16"/>
              </w:rPr>
              <w:fldChar w:fldCharType="begin">
                <w:fldData xml:space="preserve">PEVuZE5vdGU+PENpdGU+PEF1dGhvcj5Ub3NoPC9BdXRob3I+PFllYXI+MjAxMTwvWWVhcj48UmVj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</w:fldData>
              </w:fldChar>
            </w:r>
            <w:r>
              <w:rPr>
                <w:rFonts w:asciiTheme="majorBidi" w:hAnsiTheme="majorBidi" w:cstheme="majorBidi"/>
                <w:sz w:val="16"/>
                <w:szCs w:val="16"/>
              </w:rPr>
              <w:instrText xml:space="preserve"> ADDIN EN.CITE.DATA </w:instrText>
            </w:r>
            <w:r>
              <w:rPr>
                <w:rFonts w:asciiTheme="majorBidi" w:hAnsiTheme="majorBidi" w:cstheme="majorBidi"/>
                <w:sz w:val="16"/>
                <w:szCs w:val="16"/>
              </w:rPr>
            </w:r>
            <w:r>
              <w:rPr>
                <w:rFonts w:asciiTheme="majorBidi" w:hAnsiTheme="majorBidi" w:cstheme="majorBidi"/>
                <w:sz w:val="16"/>
                <w:szCs w:val="16"/>
              </w:rPr>
              <w:fldChar w:fldCharType="end"/>
            </w:r>
            <w:r>
              <w:rPr>
                <w:rFonts w:asciiTheme="majorBidi" w:hAnsiTheme="majorBidi" w:cstheme="majorBidi"/>
                <w:sz w:val="16"/>
                <w:szCs w:val="16"/>
              </w:rPr>
            </w:r>
            <w:r>
              <w:rPr>
                <w:rFonts w:asciiTheme="majorBidi" w:hAnsiTheme="majorBidi" w:cstheme="majorBidi"/>
                <w:sz w:val="16"/>
                <w:szCs w:val="16"/>
              </w:rPr>
              <w:fldChar w:fldCharType="separate"/>
            </w:r>
            <w:r>
              <w:rPr>
                <w:rFonts w:asciiTheme="majorBidi" w:hAnsiTheme="majorBidi" w:cstheme="majorBidi"/>
                <w:noProof/>
                <w:sz w:val="16"/>
                <w:szCs w:val="16"/>
              </w:rPr>
              <w:t>(9)</w:t>
            </w:r>
            <w:r>
              <w:rPr>
                <w:rFonts w:asciiTheme="majorBidi" w:hAnsiTheme="majorBidi" w:cstheme="majorBidi"/>
                <w:sz w:val="16"/>
                <w:szCs w:val="16"/>
              </w:rPr>
              <w:fldChar w:fldCharType="end"/>
            </w:r>
          </w:p>
        </w:tc>
      </w:tr>
      <w:tr w:rsidR="00F521BA" w:rsidRPr="002A63D0" w14:paraId="2F350FA4" w14:textId="77777777" w:rsidTr="004541B0">
        <w:trPr>
          <w:jc w:val="center"/>
        </w:trPr>
        <w:tc>
          <w:tcPr>
            <w:tcW w:w="719" w:type="pct"/>
          </w:tcPr>
          <w:p w14:paraId="064E7978" w14:textId="77777777" w:rsidR="00F521BA" w:rsidRPr="003A7291" w:rsidRDefault="00F521BA" w:rsidP="004541B0">
            <w:pPr>
              <w:bidi w:val="0"/>
              <w:jc w:val="both"/>
              <w:rPr>
                <w:rFonts w:asciiTheme="majorBidi" w:hAnsiTheme="majorBidi" w:cstheme="majorBidi"/>
                <w:sz w:val="16"/>
                <w:szCs w:val="16"/>
              </w:rPr>
            </w:pPr>
            <w:r w:rsidRPr="007B6ECC">
              <w:rPr>
                <w:rFonts w:asciiTheme="majorBidi" w:hAnsiTheme="majorBidi" w:cstheme="majorBidi"/>
                <w:sz w:val="16"/>
                <w:szCs w:val="16"/>
              </w:rPr>
              <w:t>To control the outbreak, all bronchoscopes were disinfected, and the AER was cleaned and redesigned. The detergent reservoir was externally mounted to allow replacement. The study also emphasized strict adherence to all stages of endoscope reprocessing, including meticulous mechanical cleaning, high-level disinfection, adequate rinsing, air drying, and proper storage.</w:t>
            </w:r>
          </w:p>
        </w:tc>
        <w:tc>
          <w:tcPr>
            <w:tcW w:w="737" w:type="pct"/>
          </w:tcPr>
          <w:p w14:paraId="0B96A366" w14:textId="77777777" w:rsidR="00F521BA" w:rsidRPr="003A7291" w:rsidRDefault="00F521BA" w:rsidP="004541B0">
            <w:pPr>
              <w:bidi w:val="0"/>
              <w:jc w:val="both"/>
              <w:rPr>
                <w:rFonts w:asciiTheme="majorBidi" w:hAnsiTheme="majorBidi" w:cstheme="majorBidi"/>
                <w:sz w:val="16"/>
                <w:szCs w:val="16"/>
              </w:rPr>
            </w:pPr>
            <w:r w:rsidRPr="007B6ECC">
              <w:rPr>
                <w:rFonts w:asciiTheme="majorBidi" w:hAnsiTheme="majorBidi" w:cstheme="majorBidi"/>
                <w:sz w:val="16"/>
                <w:szCs w:val="16"/>
              </w:rPr>
              <w:t>Several problems were reported in the reprocessing procedure. In some cases, initial cleaning steps such as brushing internal channels or final alcohol rinsing were omitted. Bronchoscopes were occasionally left uncleaned beside anesthesia beds and reused in multiple surgeries. In addition, a technical defect in the AER prevented the detergent reservoir and inlet lines from being exposed to disinfectant solution; therefore, once contaminated, they were difficult or impossible to disinfect. Consequently, the detergent reservoir became contaminated with Pseudomonas aeruginosa and served as the source of infection transmission.</w:t>
            </w:r>
          </w:p>
        </w:tc>
        <w:tc>
          <w:tcPr>
            <w:tcW w:w="599" w:type="pct"/>
          </w:tcPr>
          <w:p w14:paraId="2D073960" w14:textId="77777777" w:rsidR="00F521BA" w:rsidRPr="003A7291" w:rsidRDefault="00F521BA" w:rsidP="004541B0">
            <w:pPr>
              <w:bidi w:val="0"/>
              <w:jc w:val="center"/>
              <w:rPr>
                <w:rFonts w:asciiTheme="majorBidi" w:hAnsiTheme="majorBidi" w:cstheme="majorBidi"/>
                <w:sz w:val="16"/>
                <w:szCs w:val="16"/>
              </w:rPr>
            </w:pPr>
            <w:r w:rsidRPr="007B6ECC">
              <w:rPr>
                <w:rFonts w:asciiTheme="majorBidi" w:hAnsiTheme="majorBidi" w:cstheme="majorBidi"/>
                <w:sz w:val="16"/>
                <w:szCs w:val="16"/>
              </w:rPr>
              <w:t>Outbreak of Pseudomonas aeruginosa infection following thoracic surgeries.</w:t>
            </w:r>
          </w:p>
        </w:tc>
        <w:tc>
          <w:tcPr>
            <w:tcW w:w="553" w:type="pct"/>
          </w:tcPr>
          <w:p w14:paraId="0930EFFF" w14:textId="77777777" w:rsidR="00F521BA" w:rsidRPr="003A7291" w:rsidRDefault="00F521BA" w:rsidP="004541B0">
            <w:pPr>
              <w:bidi w:val="0"/>
              <w:jc w:val="center"/>
              <w:rPr>
                <w:rFonts w:asciiTheme="majorBidi" w:hAnsiTheme="majorBidi" w:cstheme="majorBidi"/>
                <w:sz w:val="16"/>
                <w:szCs w:val="16"/>
              </w:rPr>
            </w:pPr>
            <w:r w:rsidRPr="007B6ECC">
              <w:rPr>
                <w:rFonts w:asciiTheme="majorBidi" w:hAnsiTheme="majorBidi" w:cstheme="majorBidi"/>
                <w:sz w:val="16"/>
                <w:szCs w:val="16"/>
              </w:rPr>
              <w:t>Fiberoptic bronchoscopes used for tracheal intubation during one-lung anesthesia and an automated endoscope reprocessor (AER).</w:t>
            </w:r>
          </w:p>
        </w:tc>
        <w:tc>
          <w:tcPr>
            <w:tcW w:w="552" w:type="pct"/>
          </w:tcPr>
          <w:p w14:paraId="3573AE21" w14:textId="77777777" w:rsidR="00F521BA" w:rsidRPr="003A7291" w:rsidRDefault="00F521BA" w:rsidP="004541B0">
            <w:pPr>
              <w:bidi w:val="0"/>
              <w:jc w:val="center"/>
              <w:rPr>
                <w:rFonts w:asciiTheme="majorBidi" w:hAnsiTheme="majorBidi" w:cstheme="majorBidi"/>
                <w:sz w:val="16"/>
                <w:szCs w:val="16"/>
              </w:rPr>
            </w:pPr>
            <w:r w:rsidRPr="007B6ECC">
              <w:rPr>
                <w:rFonts w:asciiTheme="majorBidi" w:hAnsiTheme="majorBidi" w:cstheme="majorBidi"/>
                <w:sz w:val="16"/>
                <w:szCs w:val="16"/>
              </w:rPr>
              <w:t>The study population included seven patients who underwent thoracic surgery between May and June 2003.</w:t>
            </w:r>
          </w:p>
        </w:tc>
        <w:tc>
          <w:tcPr>
            <w:tcW w:w="415" w:type="pct"/>
          </w:tcPr>
          <w:p w14:paraId="31EBED13" w14:textId="77777777" w:rsidR="00F521BA" w:rsidRPr="003A7291" w:rsidRDefault="00F521BA" w:rsidP="004541B0">
            <w:pPr>
              <w:bidi w:val="0"/>
              <w:jc w:val="center"/>
              <w:rPr>
                <w:rFonts w:asciiTheme="majorBidi" w:hAnsiTheme="majorBidi" w:cstheme="majorBidi"/>
                <w:sz w:val="16"/>
                <w:szCs w:val="16"/>
              </w:rPr>
            </w:pPr>
            <w:r w:rsidRPr="001D7155">
              <w:rPr>
                <w:rFonts w:asciiTheme="majorBidi" w:hAnsiTheme="majorBidi" w:cstheme="majorBidi"/>
                <w:sz w:val="16"/>
                <w:szCs w:val="16"/>
              </w:rPr>
              <w:t>Case Series</w:t>
            </w:r>
          </w:p>
        </w:tc>
        <w:tc>
          <w:tcPr>
            <w:tcW w:w="368" w:type="pct"/>
          </w:tcPr>
          <w:p w14:paraId="42F2B783" w14:textId="77777777" w:rsidR="00F521BA" w:rsidRPr="003A7291" w:rsidRDefault="00F521BA" w:rsidP="004541B0">
            <w:pPr>
              <w:bidi w:val="0"/>
              <w:jc w:val="center"/>
              <w:rPr>
                <w:rFonts w:asciiTheme="majorBidi" w:hAnsiTheme="majorBidi" w:cstheme="majorBidi"/>
                <w:sz w:val="16"/>
                <w:szCs w:val="16"/>
              </w:rPr>
            </w:pPr>
            <w:r w:rsidRPr="007B6ECC">
              <w:rPr>
                <w:rFonts w:asciiTheme="majorBidi" w:hAnsiTheme="majorBidi" w:cstheme="majorBidi"/>
                <w:sz w:val="16"/>
                <w:szCs w:val="16"/>
              </w:rPr>
              <w:t>Japan</w:t>
            </w:r>
          </w:p>
        </w:tc>
        <w:tc>
          <w:tcPr>
            <w:tcW w:w="322" w:type="pct"/>
          </w:tcPr>
          <w:p w14:paraId="7476EC9C" w14:textId="77777777" w:rsidR="00F521BA" w:rsidRPr="003A7291" w:rsidRDefault="00F521BA" w:rsidP="004541B0">
            <w:pPr>
              <w:bidi w:val="0"/>
              <w:jc w:val="center"/>
              <w:rPr>
                <w:rFonts w:asciiTheme="majorBidi" w:hAnsiTheme="majorBidi" w:cstheme="majorBidi"/>
                <w:sz w:val="16"/>
                <w:szCs w:val="16"/>
              </w:rPr>
            </w:pPr>
            <w:r w:rsidRPr="007B6ECC">
              <w:rPr>
                <w:rFonts w:asciiTheme="majorBidi" w:hAnsiTheme="majorBidi" w:cstheme="majorBidi"/>
                <w:sz w:val="16"/>
                <w:szCs w:val="16"/>
              </w:rPr>
              <w:t>N. Shimono (2008)</w:t>
            </w:r>
          </w:p>
        </w:tc>
        <w:tc>
          <w:tcPr>
            <w:tcW w:w="735" w:type="pct"/>
          </w:tcPr>
          <w:p w14:paraId="11601C94" w14:textId="77777777" w:rsidR="00F521BA" w:rsidRPr="003A7291" w:rsidRDefault="00F521BA" w:rsidP="004541B0">
            <w:pPr>
              <w:bidi w:val="0"/>
              <w:jc w:val="center"/>
              <w:rPr>
                <w:rFonts w:asciiTheme="majorBidi" w:hAnsiTheme="majorBidi" w:cstheme="majorBidi"/>
                <w:sz w:val="16"/>
                <w:szCs w:val="16"/>
              </w:rPr>
            </w:pPr>
            <w:r w:rsidRPr="007B6ECC">
              <w:rPr>
                <w:rFonts w:asciiTheme="majorBidi" w:hAnsiTheme="majorBidi" w:cstheme="majorBidi"/>
                <w:sz w:val="16"/>
                <w:szCs w:val="16"/>
              </w:rPr>
              <w:t xml:space="preserve">An outbreak of Pseudomonas aeruginosa infections following thoracic surgeries occurring via the contamination of bronchoscopes and an automatic endoscope reprocessor </w:t>
            </w:r>
            <w:r>
              <w:rPr>
                <w:rFonts w:asciiTheme="majorBidi" w:hAnsiTheme="majorBidi" w:cstheme="majorBidi"/>
                <w:sz w:val="16"/>
                <w:szCs w:val="16"/>
              </w:rPr>
              <w:fldChar w:fldCharType="begin">
                <w:fldData xml:space="preserve">PEVuZE5vdGU+PENpdGU+PEF1dGhvcj5TaGltb25vPC9BdXRob3I+PFllYXI+MjAwODwvWWVhcj48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</w:fldData>
              </w:fldChar>
            </w:r>
            <w:r>
              <w:rPr>
                <w:rFonts w:asciiTheme="majorBidi" w:hAnsiTheme="majorBidi" w:cstheme="majorBidi"/>
                <w:sz w:val="16"/>
                <w:szCs w:val="16"/>
              </w:rPr>
              <w:instrText xml:space="preserve"> ADDIN EN.CITE </w:instrText>
            </w:r>
            <w:r>
              <w:rPr>
                <w:rFonts w:asciiTheme="majorBidi" w:hAnsiTheme="majorBidi" w:cstheme="majorBidi"/>
                <w:sz w:val="16"/>
                <w:szCs w:val="16"/>
              </w:rPr>
              <w:fldChar w:fldCharType="begin">
                <w:fldData xml:space="preserve">PEVuZE5vdGU+PENpdGU+PEF1dGhvcj5TaGltb25vPC9BdXRob3I+PFllYXI+MjAwODwvWWVhcj48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</w:fldData>
              </w:fldChar>
            </w:r>
            <w:r>
              <w:rPr>
                <w:rFonts w:asciiTheme="majorBidi" w:hAnsiTheme="majorBidi" w:cstheme="majorBidi"/>
                <w:sz w:val="16"/>
                <w:szCs w:val="16"/>
              </w:rPr>
              <w:instrText xml:space="preserve"> ADDIN EN.CITE.DATA </w:instrText>
            </w:r>
            <w:r>
              <w:rPr>
                <w:rFonts w:asciiTheme="majorBidi" w:hAnsiTheme="majorBidi" w:cstheme="majorBidi"/>
                <w:sz w:val="16"/>
                <w:szCs w:val="16"/>
              </w:rPr>
            </w:r>
            <w:r>
              <w:rPr>
                <w:rFonts w:asciiTheme="majorBidi" w:hAnsiTheme="majorBidi" w:cstheme="majorBidi"/>
                <w:sz w:val="16"/>
                <w:szCs w:val="16"/>
              </w:rPr>
              <w:fldChar w:fldCharType="end"/>
            </w:r>
            <w:r>
              <w:rPr>
                <w:rFonts w:asciiTheme="majorBidi" w:hAnsiTheme="majorBidi" w:cstheme="majorBidi"/>
                <w:sz w:val="16"/>
                <w:szCs w:val="16"/>
              </w:rPr>
            </w:r>
            <w:r>
              <w:rPr>
                <w:rFonts w:asciiTheme="majorBidi" w:hAnsiTheme="majorBidi" w:cstheme="majorBidi"/>
                <w:sz w:val="16"/>
                <w:szCs w:val="16"/>
              </w:rPr>
              <w:fldChar w:fldCharType="separate"/>
            </w:r>
            <w:r>
              <w:rPr>
                <w:rFonts w:asciiTheme="majorBidi" w:hAnsiTheme="majorBidi" w:cstheme="majorBidi"/>
                <w:noProof/>
                <w:sz w:val="16"/>
                <w:szCs w:val="16"/>
              </w:rPr>
              <w:t>(10)</w:t>
            </w:r>
            <w:r>
              <w:rPr>
                <w:rFonts w:asciiTheme="majorBidi" w:hAnsiTheme="majorBidi" w:cstheme="majorBidi"/>
                <w:sz w:val="16"/>
                <w:szCs w:val="16"/>
              </w:rPr>
              <w:fldChar w:fldCharType="end"/>
            </w:r>
          </w:p>
        </w:tc>
      </w:tr>
      <w:tr w:rsidR="00F521BA" w:rsidRPr="002A63D0" w14:paraId="793CADAE" w14:textId="77777777" w:rsidTr="004541B0">
        <w:trPr>
          <w:jc w:val="center"/>
        </w:trPr>
        <w:tc>
          <w:tcPr>
            <w:tcW w:w="719" w:type="pct"/>
          </w:tcPr>
          <w:p w14:paraId="21A5D10F" w14:textId="77777777" w:rsidR="00F521BA" w:rsidRPr="003A7291" w:rsidRDefault="00F521BA" w:rsidP="004541B0">
            <w:pPr>
              <w:bidi w:val="0"/>
              <w:jc w:val="both"/>
              <w:rPr>
                <w:rFonts w:asciiTheme="majorBidi" w:hAnsiTheme="majorBidi" w:cstheme="majorBidi"/>
                <w:sz w:val="16"/>
                <w:szCs w:val="16"/>
              </w:rPr>
            </w:pPr>
            <w:r w:rsidRPr="00D863FF">
              <w:rPr>
                <w:rFonts w:asciiTheme="majorBidi" w:hAnsiTheme="majorBidi" w:cstheme="majorBidi"/>
                <w:sz w:val="16"/>
                <w:szCs w:val="16"/>
              </w:rPr>
              <w:t>Proposed interventions included changing the sterilization method from chemical sterilization to ethylene oxide gas sterilization. Additional measures involved complete disassembly of instruments, meticulous manual cleaning, drying instruments before gas sterilization, and random environmental sampling in the operating room for acid-fast bacilli. No new cases were reported during the subsequent three years following implementation of these measures.</w:t>
            </w:r>
          </w:p>
        </w:tc>
        <w:tc>
          <w:tcPr>
            <w:tcW w:w="737" w:type="pct"/>
          </w:tcPr>
          <w:p w14:paraId="7151F50D" w14:textId="77777777" w:rsidR="00F521BA" w:rsidRPr="003A7291" w:rsidRDefault="00F521BA" w:rsidP="004541B0">
            <w:pPr>
              <w:bidi w:val="0"/>
              <w:jc w:val="both"/>
              <w:rPr>
                <w:rFonts w:asciiTheme="majorBidi" w:hAnsiTheme="majorBidi" w:cstheme="majorBidi"/>
                <w:sz w:val="16"/>
                <w:szCs w:val="16"/>
              </w:rPr>
            </w:pPr>
            <w:r w:rsidRPr="00D863FF">
              <w:rPr>
                <w:rFonts w:asciiTheme="majorBidi" w:hAnsiTheme="majorBidi" w:cstheme="majorBidi"/>
                <w:sz w:val="16"/>
                <w:szCs w:val="16"/>
              </w:rPr>
              <w:t>Reported barriers included contamination of the water used for rinsing chemically disinfected instruments. The organism also survived and proliferated within biofilms at the bottom of disinfection trays and in the outer sleeves of laparoscopic instruments. The study additionally referred to insufficient washing and internal brushing of instruments, inadequate cleaning of disinfection trays for biofilm removal, and persistence of the organism despite autoclaving, formaldehyde vapor sterilization, and glutaraldehyde disinfection.</w:t>
            </w:r>
          </w:p>
        </w:tc>
        <w:tc>
          <w:tcPr>
            <w:tcW w:w="599" w:type="pct"/>
          </w:tcPr>
          <w:p w14:paraId="7032F44C" w14:textId="77777777" w:rsidR="00F521BA" w:rsidRPr="003A7291" w:rsidRDefault="00F521BA" w:rsidP="004541B0">
            <w:pPr>
              <w:bidi w:val="0"/>
              <w:jc w:val="center"/>
              <w:rPr>
                <w:rFonts w:asciiTheme="majorBidi" w:hAnsiTheme="majorBidi" w:cstheme="majorBidi"/>
                <w:sz w:val="16"/>
                <w:szCs w:val="16"/>
              </w:rPr>
            </w:pPr>
            <w:r w:rsidRPr="00D863FF">
              <w:rPr>
                <w:rFonts w:asciiTheme="majorBidi" w:hAnsiTheme="majorBidi" w:cstheme="majorBidi"/>
                <w:sz w:val="16"/>
                <w:szCs w:val="16"/>
              </w:rPr>
              <w:t>Hospital outbreak of infection.</w:t>
            </w:r>
          </w:p>
        </w:tc>
        <w:tc>
          <w:tcPr>
            <w:tcW w:w="553" w:type="pct"/>
          </w:tcPr>
          <w:p w14:paraId="6DD2FC1F" w14:textId="77777777" w:rsidR="00F521BA" w:rsidRPr="003A7291" w:rsidRDefault="00F521BA" w:rsidP="004541B0">
            <w:pPr>
              <w:bidi w:val="0"/>
              <w:jc w:val="center"/>
              <w:rPr>
                <w:rFonts w:asciiTheme="majorBidi" w:hAnsiTheme="majorBidi" w:cstheme="majorBidi"/>
                <w:sz w:val="16"/>
                <w:szCs w:val="16"/>
              </w:rPr>
            </w:pPr>
            <w:r w:rsidRPr="00D863FF">
              <w:rPr>
                <w:rFonts w:asciiTheme="majorBidi" w:hAnsiTheme="majorBidi" w:cstheme="majorBidi"/>
                <w:sz w:val="16"/>
                <w:szCs w:val="16"/>
              </w:rPr>
              <w:t>Reusable laparoscopic instruments.</w:t>
            </w:r>
          </w:p>
        </w:tc>
        <w:tc>
          <w:tcPr>
            <w:tcW w:w="552" w:type="pct"/>
          </w:tcPr>
          <w:p w14:paraId="521F1C7C" w14:textId="77777777" w:rsidR="00F521BA" w:rsidRPr="003A7291" w:rsidRDefault="00F521BA" w:rsidP="004541B0">
            <w:pPr>
              <w:bidi w:val="0"/>
              <w:jc w:val="center"/>
              <w:rPr>
                <w:rFonts w:asciiTheme="majorBidi" w:hAnsiTheme="majorBidi" w:cstheme="majorBidi"/>
                <w:sz w:val="16"/>
                <w:szCs w:val="16"/>
              </w:rPr>
            </w:pPr>
            <w:r w:rsidRPr="00D863FF">
              <w:rPr>
                <w:rFonts w:asciiTheme="majorBidi" w:hAnsiTheme="majorBidi" w:cstheme="majorBidi"/>
                <w:sz w:val="16"/>
                <w:szCs w:val="16"/>
              </w:rPr>
              <w:t>The study population included patients who underwent surgical procedures between December 2002 and June 2003. Results indicated that among 156 patients who underwent laparoscopy, 35 developed infection. Patients undergoing open surgery during the same period were also evaluated.</w:t>
            </w:r>
          </w:p>
        </w:tc>
        <w:tc>
          <w:tcPr>
            <w:tcW w:w="415" w:type="pct"/>
          </w:tcPr>
          <w:p w14:paraId="0E949831" w14:textId="77777777" w:rsidR="00F521BA" w:rsidRPr="003A7291" w:rsidRDefault="00F521BA" w:rsidP="004541B0">
            <w:pPr>
              <w:bidi w:val="0"/>
              <w:jc w:val="center"/>
              <w:rPr>
                <w:rFonts w:asciiTheme="majorBidi" w:hAnsiTheme="majorBidi" w:cstheme="majorBidi"/>
                <w:sz w:val="16"/>
                <w:szCs w:val="16"/>
              </w:rPr>
            </w:pPr>
            <w:r w:rsidRPr="00D74C56">
              <w:rPr>
                <w:rFonts w:asciiTheme="majorBidi" w:hAnsiTheme="majorBidi" w:cstheme="majorBidi"/>
                <w:sz w:val="16"/>
                <w:szCs w:val="16"/>
              </w:rPr>
              <w:t>Case Series</w:t>
            </w:r>
          </w:p>
        </w:tc>
        <w:tc>
          <w:tcPr>
            <w:tcW w:w="368" w:type="pct"/>
          </w:tcPr>
          <w:p w14:paraId="759F4CCA" w14:textId="77777777" w:rsidR="00F521BA" w:rsidRPr="003A7291" w:rsidRDefault="00F521BA" w:rsidP="004541B0">
            <w:pPr>
              <w:bidi w:val="0"/>
              <w:jc w:val="center"/>
              <w:rPr>
                <w:rFonts w:asciiTheme="majorBidi" w:hAnsiTheme="majorBidi" w:cstheme="majorBidi"/>
                <w:sz w:val="16"/>
                <w:szCs w:val="16"/>
              </w:rPr>
            </w:pPr>
            <w:r w:rsidRPr="00D863FF">
              <w:rPr>
                <w:rFonts w:asciiTheme="majorBidi" w:hAnsiTheme="majorBidi" w:cstheme="majorBidi"/>
                <w:sz w:val="16"/>
                <w:szCs w:val="16"/>
              </w:rPr>
              <w:t>India</w:t>
            </w:r>
          </w:p>
        </w:tc>
        <w:tc>
          <w:tcPr>
            <w:tcW w:w="322" w:type="pct"/>
          </w:tcPr>
          <w:p w14:paraId="7B51DC0A" w14:textId="77777777" w:rsidR="00F521BA" w:rsidRPr="003A7291" w:rsidRDefault="00F521BA" w:rsidP="004541B0">
            <w:pPr>
              <w:bidi w:val="0"/>
              <w:jc w:val="center"/>
              <w:rPr>
                <w:rFonts w:asciiTheme="majorBidi" w:hAnsiTheme="majorBidi" w:cstheme="majorBidi"/>
                <w:sz w:val="16"/>
                <w:szCs w:val="16"/>
              </w:rPr>
            </w:pPr>
            <w:r w:rsidRPr="00D863FF">
              <w:rPr>
                <w:rFonts w:asciiTheme="majorBidi" w:hAnsiTheme="majorBidi" w:cstheme="majorBidi"/>
                <w:sz w:val="16"/>
                <w:szCs w:val="16"/>
              </w:rPr>
              <w:t>R.Vijayaraghavan (2006)</w:t>
            </w:r>
          </w:p>
        </w:tc>
        <w:tc>
          <w:tcPr>
            <w:tcW w:w="735" w:type="pct"/>
          </w:tcPr>
          <w:p w14:paraId="0E7352D0" w14:textId="77777777" w:rsidR="00F521BA" w:rsidRPr="003A7291" w:rsidRDefault="00F521BA" w:rsidP="004541B0">
            <w:pPr>
              <w:bidi w:val="0"/>
              <w:jc w:val="center"/>
              <w:rPr>
                <w:rFonts w:asciiTheme="majorBidi" w:hAnsiTheme="majorBidi" w:cstheme="majorBidi"/>
                <w:sz w:val="16"/>
                <w:szCs w:val="16"/>
              </w:rPr>
            </w:pPr>
            <w:r w:rsidRPr="00D863FF">
              <w:rPr>
                <w:rFonts w:asciiTheme="majorBidi" w:hAnsiTheme="majorBidi" w:cstheme="majorBidi"/>
                <w:sz w:val="16"/>
                <w:szCs w:val="16"/>
              </w:rPr>
              <w:t xml:space="preserve">Hospital outbreak of atypical mycobacterial infection of port sites after laparoscopic surgery </w:t>
            </w:r>
            <w:r>
              <w:rPr>
                <w:rFonts w:asciiTheme="majorBidi" w:hAnsiTheme="majorBidi" w:cstheme="majorBidi"/>
                <w:sz w:val="16"/>
                <w:szCs w:val="16"/>
              </w:rPr>
              <w:fldChar w:fldCharType="begin"/>
            </w:r>
            <w:r>
              <w:rPr>
                <w:rFonts w:asciiTheme="majorBidi" w:hAnsiTheme="majorBidi" w:cstheme="majorBidi"/>
                <w:sz w:val="16"/>
                <w:szCs w:val="16"/>
              </w:rPr>
              <w:instrText xml:space="preserve"> ADDIN EN.CITE &lt;EndNote&gt;&lt;Cite&gt;&lt;Author&gt;Vijayaraghavan&lt;/Author&gt;&lt;Year&gt;2006&lt;/Year&gt;&lt;RecNum&gt;179&lt;/RecNum&gt;&lt;DisplayText&gt;(11)&lt;/DisplayText&gt;&lt;record&gt;&lt;rec-number&gt;179&lt;/rec-number&gt;&lt;foreign-keys&gt;&lt;key app="EN" db-id="fpp0ax2do05ff8er0aa5xtw9dt5wp5x2fwfs" timestamp="1762773636"&gt;179&lt;/key&gt;&lt;/foreign-keys&gt;&lt;ref-type name="Journal Article"&gt;17&lt;/ref-type&gt;&lt;contributors&gt;&lt;authors&gt;&lt;author&gt;Vijayaraghavan, R.&lt;/author&gt;&lt;author&gt;Chandrashekhar, R.&lt;/author&gt;&lt;author&gt;Sujatha, Y.&lt;/author&gt;&lt;author&gt;Belagavi, C. S.&lt;/author&gt;&lt;/authors&gt;&lt;/contributors&gt;&lt;auth-address&gt;Department of Laparoscopic Surgery, Rajmahal Vilas Hospital, Sanjaynagar, Bangalore, India. wetware@sify.com&lt;/auth-address&gt;&lt;titles&gt;&lt;title&gt;Hospital outbreak of atypical mycobacterial infection of port sites after laparoscopic surgery&lt;/title&gt;&lt;secondary-title&gt;J Hosp Infect&lt;/secondary-title&gt;&lt;/titles&gt;&lt;periodical&gt;&lt;full-title&gt;J Hosp Infect&lt;/full-title&gt;&lt;/periodical&gt;&lt;pages&gt;344-7&lt;/pages&gt;&lt;volume&gt;64&lt;/volume&gt;&lt;number&gt;4&lt;/number&gt;&lt;keywords&gt;&lt;keyword&gt;Biofilms/growth &amp;amp; development&lt;/keyword&gt;&lt;keyword&gt;Cross Infection/*microbiology&lt;/keyword&gt;&lt;keyword&gt;Decontamination/instrumentation&lt;/keyword&gt;&lt;keyword&gt;*Disease Outbreaks&lt;/keyword&gt;&lt;keyword&gt;Equipment Contamination&lt;/keyword&gt;&lt;keyword&gt;Female&lt;/keyword&gt;&lt;keyword&gt;Humans&lt;/keyword&gt;&lt;keyword&gt;India&lt;/keyword&gt;&lt;keyword&gt;Laparoscopy/*adverse effects&lt;/keyword&gt;&lt;keyword&gt;Male&lt;/keyword&gt;&lt;keyword&gt;Mycobacterium Infections, Nontuberculous/drug therapy/*etiology&lt;/keyword&gt;&lt;keyword&gt;Mycobacterium chelonae/*pathogenicity&lt;/keyword&gt;&lt;keyword&gt;Surgical Instruments/*microbiology&lt;/keyword&gt;&lt;keyword&gt;Surgical Wound Infection/drug therapy/*microbiology&lt;/keyword&gt;&lt;keyword&gt;Water Supply/analysis&lt;/keyword&gt;&lt;/keywords&gt;&lt;dates&gt;&lt;year&gt;2006&lt;/year&gt;&lt;pub-dates&gt;&lt;date&gt;Dec&lt;/date&gt;&lt;/pub-dates&gt;&lt;/dates&gt;&lt;isbn&gt;0195-6701 (Print)&amp;#xD;0195-6701&lt;/isbn&gt;&lt;accession-num&gt;17046106&lt;/accession-num&gt;&lt;urls&gt;&lt;/urls&gt;&lt;electronic-resource-num&gt;10.1016/j.jhin.2006.07.021&lt;/electronic-resource-num&gt;&lt;remote-database-provider&gt;NLM&lt;/remote-database-provider&gt;&lt;language&gt;eng&lt;/language&gt;&lt;/record&gt;&lt;/Cite&gt;&lt;/EndNote&gt;</w:instrText>
            </w:r>
            <w:r>
              <w:rPr>
                <w:rFonts w:asciiTheme="majorBidi" w:hAnsiTheme="majorBidi" w:cstheme="majorBidi"/>
                <w:sz w:val="16"/>
                <w:szCs w:val="16"/>
              </w:rPr>
              <w:fldChar w:fldCharType="separate"/>
            </w:r>
            <w:r>
              <w:rPr>
                <w:rFonts w:asciiTheme="majorBidi" w:hAnsiTheme="majorBidi" w:cstheme="majorBidi"/>
                <w:noProof/>
                <w:sz w:val="16"/>
                <w:szCs w:val="16"/>
              </w:rPr>
              <w:t>(11)</w:t>
            </w:r>
            <w:r>
              <w:rPr>
                <w:rFonts w:asciiTheme="majorBidi" w:hAnsiTheme="majorBidi" w:cstheme="majorBidi"/>
                <w:sz w:val="16"/>
                <w:szCs w:val="16"/>
              </w:rPr>
              <w:fldChar w:fldCharType="end"/>
            </w:r>
          </w:p>
        </w:tc>
      </w:tr>
    </w:tbl>
    <w:p w14:paraId="27DFEE4A" w14:textId="77777777" w:rsidR="00F521BA" w:rsidRDefault="00F521BA" w:rsidP="00F521BA">
      <w:pPr>
        <w:rPr>
          <w:rtl/>
        </w:rPr>
      </w:pPr>
    </w:p>
    <w:p w14:paraId="77BC01DD" w14:textId="77777777" w:rsidR="00F521BA" w:rsidRDefault="00F521BA" w:rsidP="00F521BA">
      <w:pPr>
        <w:bidi w:val="0"/>
        <w:jc w:val="both"/>
        <w:rPr>
          <w:rFonts w:asciiTheme="majorBidi" w:hAnsiTheme="majorBidi" w:cstheme="majorBidi"/>
        </w:rPr>
        <w:sectPr w:rsidR="00F521BA" w:rsidSect="002A63D0">
          <w:pgSz w:w="16838" w:h="11906" w:orient="landscape"/>
          <w:pgMar w:top="720" w:right="720" w:bottom="720" w:left="720" w:header="708" w:footer="708" w:gutter="0"/>
          <w:cols w:space="708"/>
          <w:bidi/>
          <w:rtlGutter/>
          <w:docGrid w:linePitch="360"/>
        </w:sectPr>
      </w:pPr>
    </w:p>
    <w:p w14:paraId="54C54CF2" w14:textId="0B45A5B5" w:rsidR="00F521BA" w:rsidRPr="00F521BA" w:rsidRDefault="00F521BA" w:rsidP="00F521BA">
      <w:pPr>
        <w:bidi w:val="0"/>
        <w:rPr>
          <w:rFonts w:asciiTheme="majorBidi" w:hAnsiTheme="majorBidi" w:cstheme="majorBidi"/>
          <w:b/>
          <w:bCs/>
          <w:rtl/>
        </w:rPr>
      </w:pPr>
      <w:r w:rsidRPr="00F521BA">
        <w:rPr>
          <w:rFonts w:asciiTheme="majorBidi" w:hAnsiTheme="majorBidi" w:cstheme="majorBidi"/>
          <w:b/>
          <w:bCs/>
        </w:rPr>
        <w:lastRenderedPageBreak/>
        <w:t>References</w:t>
      </w:r>
    </w:p>
    <w:p w14:paraId="5448E0B6"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fldChar w:fldCharType="begin"/>
      </w:r>
      <w:r w:rsidRPr="00F521BA">
        <w:rPr>
          <w:rFonts w:asciiTheme="majorBidi" w:hAnsiTheme="majorBidi" w:cstheme="majorBidi"/>
          <w:rtl/>
        </w:rPr>
        <w:instrText xml:space="preserve"> </w:instrText>
      </w:r>
      <w:r w:rsidRPr="00F521BA">
        <w:rPr>
          <w:rFonts w:asciiTheme="majorBidi" w:hAnsiTheme="majorBidi" w:cstheme="majorBidi"/>
        </w:rPr>
        <w:instrText>ADDIN EN.REFLIST</w:instrText>
      </w:r>
      <w:r w:rsidRPr="00F521BA">
        <w:rPr>
          <w:rFonts w:asciiTheme="majorBidi" w:hAnsiTheme="majorBidi" w:cstheme="majorBidi"/>
          <w:rtl/>
        </w:rPr>
        <w:instrText xml:space="preserve"> </w:instrText>
      </w:r>
      <w:r w:rsidRPr="00F521BA">
        <w:rPr>
          <w:rFonts w:asciiTheme="majorBidi" w:hAnsiTheme="majorBidi" w:cstheme="majorBidi"/>
          <w:rtl/>
        </w:rPr>
        <w:fldChar w:fldCharType="separate"/>
      </w:r>
      <w:r w:rsidRPr="00F521BA">
        <w:rPr>
          <w:rFonts w:asciiTheme="majorBidi" w:hAnsiTheme="majorBidi" w:cstheme="majorBidi"/>
          <w:rtl/>
        </w:rPr>
        <w:t>1.</w:t>
      </w:r>
      <w:r w:rsidRPr="00F521BA">
        <w:rPr>
          <w:rFonts w:asciiTheme="majorBidi" w:hAnsiTheme="majorBidi" w:cstheme="majorBidi"/>
          <w:rtl/>
        </w:rPr>
        <w:tab/>
      </w:r>
      <w:r w:rsidRPr="00F521BA">
        <w:rPr>
          <w:rFonts w:asciiTheme="majorBidi" w:hAnsiTheme="majorBidi" w:cstheme="majorBidi"/>
        </w:rPr>
        <w:t>Glehn MPV, Salcedo G, Batista T, Caballero LER, Frank CHM, Cunha EAT, et al. Outbreak of infections by Mycobacterium abscessus subsp. abscessus associated with cosmetic surgeries in the Brazil/Paraguay border: a binational cohort study, 2021-2022. Epidemiol Serv Saude. 2025;34:e20250516</w:t>
      </w:r>
      <w:r w:rsidRPr="00F521BA">
        <w:rPr>
          <w:rFonts w:asciiTheme="majorBidi" w:hAnsiTheme="majorBidi" w:cstheme="majorBidi"/>
          <w:rtl/>
        </w:rPr>
        <w:t>.</w:t>
      </w:r>
    </w:p>
    <w:p w14:paraId="640B3DAC"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t>2.</w:t>
      </w:r>
      <w:r w:rsidRPr="00F521BA">
        <w:rPr>
          <w:rFonts w:asciiTheme="majorBidi" w:hAnsiTheme="majorBidi" w:cstheme="majorBidi"/>
          <w:rtl/>
        </w:rPr>
        <w:tab/>
      </w:r>
      <w:r w:rsidRPr="00F521BA">
        <w:rPr>
          <w:rFonts w:asciiTheme="majorBidi" w:hAnsiTheme="majorBidi" w:cstheme="majorBidi"/>
        </w:rPr>
        <w:t>Shi J, Mo J, Lu L, Chen Y. Survey on the current situation of management of sterilization and supply centers in response to emerging and outbreaks of infectious diseases in 442 hospitals and analysis of influencing</w:t>
      </w:r>
      <w:r w:rsidRPr="00F521BA">
        <w:rPr>
          <w:rFonts w:asciiTheme="majorBidi" w:hAnsiTheme="majorBidi" w:cstheme="majorBidi"/>
          <w:rtl/>
        </w:rPr>
        <w:t xml:space="preserve"> </w:t>
      </w:r>
      <w:r w:rsidRPr="00F521BA">
        <w:rPr>
          <w:rFonts w:asciiTheme="majorBidi" w:hAnsiTheme="majorBidi" w:cstheme="majorBidi"/>
        </w:rPr>
        <w:t>factors. Chinese Journal of Nursing. 2025;60(5):589-95</w:t>
      </w:r>
      <w:r w:rsidRPr="00F521BA">
        <w:rPr>
          <w:rFonts w:asciiTheme="majorBidi" w:hAnsiTheme="majorBidi" w:cstheme="majorBidi"/>
          <w:rtl/>
        </w:rPr>
        <w:t>.</w:t>
      </w:r>
    </w:p>
    <w:p w14:paraId="16044B33"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t>3.</w:t>
      </w:r>
      <w:r w:rsidRPr="00F521BA">
        <w:rPr>
          <w:rFonts w:asciiTheme="majorBidi" w:hAnsiTheme="majorBidi" w:cstheme="majorBidi"/>
          <w:rtl/>
        </w:rPr>
        <w:tab/>
      </w:r>
      <w:r w:rsidRPr="00F521BA">
        <w:rPr>
          <w:rFonts w:asciiTheme="majorBidi" w:hAnsiTheme="majorBidi" w:cstheme="majorBidi"/>
        </w:rPr>
        <w:t>Bailey-Monje U, Becker E, Funke S, Gubajdulin E, Hagen RM, Kirmse G, et al. Provisional Reprocessing of Medical Devices in Field Hospitals: Evaluation of Chemical Approaches for Feasibility and Effectiveness. DISASTER MEDICINE AND PUBLIC HEALTH PREPAREDNESS. 2025;19</w:t>
      </w:r>
      <w:r w:rsidRPr="00F521BA">
        <w:rPr>
          <w:rFonts w:asciiTheme="majorBidi" w:hAnsiTheme="majorBidi" w:cstheme="majorBidi"/>
          <w:rtl/>
        </w:rPr>
        <w:t>.</w:t>
      </w:r>
    </w:p>
    <w:p w14:paraId="602D93CF"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t>4.</w:t>
      </w:r>
      <w:r w:rsidRPr="00F521BA">
        <w:rPr>
          <w:rFonts w:asciiTheme="majorBidi" w:hAnsiTheme="majorBidi" w:cstheme="majorBidi"/>
          <w:rtl/>
        </w:rPr>
        <w:tab/>
      </w:r>
      <w:r w:rsidRPr="00F521BA">
        <w:rPr>
          <w:rFonts w:asciiTheme="majorBidi" w:hAnsiTheme="majorBidi" w:cstheme="majorBidi"/>
        </w:rPr>
        <w:t>Liu J, Gui F, Zhang M, Chen H. Emergency preparedness in the central sterile supply department: a multicenter cross-sectional survey. BMC Emergency Medicine. 2024;24(1):133</w:t>
      </w:r>
      <w:r w:rsidRPr="00F521BA">
        <w:rPr>
          <w:rFonts w:asciiTheme="majorBidi" w:hAnsiTheme="majorBidi" w:cstheme="majorBidi"/>
          <w:rtl/>
        </w:rPr>
        <w:t>.</w:t>
      </w:r>
    </w:p>
    <w:p w14:paraId="5F40F14C"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t>5.</w:t>
      </w:r>
      <w:r w:rsidRPr="00F521BA">
        <w:rPr>
          <w:rFonts w:asciiTheme="majorBidi" w:hAnsiTheme="majorBidi" w:cstheme="majorBidi"/>
          <w:rtl/>
        </w:rPr>
        <w:tab/>
      </w:r>
      <w:r w:rsidRPr="00F521BA">
        <w:rPr>
          <w:rFonts w:asciiTheme="majorBidi" w:hAnsiTheme="majorBidi" w:cstheme="majorBidi"/>
        </w:rPr>
        <w:t>Seidelman JL, Wallace RJ, Iakhiaeva E, Vasireddy R, Brown-Elliott BA, McKnight C, et al. Mycobacterium avium pseudo-outbreak associated with an outpatient bronchoscopy clinic: Lessons for reprocessing. Infect Control Hosp Epidemiol. 2019;40(1):106-8</w:t>
      </w:r>
      <w:r w:rsidRPr="00F521BA">
        <w:rPr>
          <w:rFonts w:asciiTheme="majorBidi" w:hAnsiTheme="majorBidi" w:cstheme="majorBidi"/>
          <w:rtl/>
        </w:rPr>
        <w:t>.</w:t>
      </w:r>
    </w:p>
    <w:p w14:paraId="4BE0D1F3"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t>6.</w:t>
      </w:r>
      <w:r w:rsidRPr="00F521BA">
        <w:rPr>
          <w:rFonts w:asciiTheme="majorBidi" w:hAnsiTheme="majorBidi" w:cstheme="majorBidi"/>
          <w:rtl/>
        </w:rPr>
        <w:tab/>
      </w:r>
      <w:r w:rsidRPr="00F521BA">
        <w:rPr>
          <w:rFonts w:asciiTheme="majorBidi" w:hAnsiTheme="majorBidi" w:cstheme="majorBidi"/>
        </w:rPr>
        <w:t>Mittenzwei SE, Topkoff JL, Bessesen MT, Porter CA, Rai GS, Branch-Elliman W. When Sterile Processing Goes Down: An Economic Analysis of Alternative Strategies for Supporting the Service. Infect Control Hosp Epidemiol. 2017;38(8):1002-4</w:t>
      </w:r>
      <w:r w:rsidRPr="00F521BA">
        <w:rPr>
          <w:rFonts w:asciiTheme="majorBidi" w:hAnsiTheme="majorBidi" w:cstheme="majorBidi"/>
          <w:rtl/>
        </w:rPr>
        <w:t>.</w:t>
      </w:r>
    </w:p>
    <w:p w14:paraId="35681736"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t>7.</w:t>
      </w:r>
      <w:r w:rsidRPr="00F521BA">
        <w:rPr>
          <w:rFonts w:asciiTheme="majorBidi" w:hAnsiTheme="majorBidi" w:cstheme="majorBidi"/>
          <w:rtl/>
        </w:rPr>
        <w:tab/>
      </w:r>
      <w:r w:rsidRPr="00F521BA">
        <w:rPr>
          <w:rFonts w:asciiTheme="majorBidi" w:hAnsiTheme="majorBidi" w:cstheme="majorBidi"/>
        </w:rPr>
        <w:t>Boubour J, Jenson K</w:t>
      </w:r>
      <w:r w:rsidRPr="00F521BA">
        <w:rPr>
          <w:rFonts w:asciiTheme="majorBidi" w:hAnsiTheme="majorBidi" w:cstheme="majorBidi"/>
          <w:rtl/>
        </w:rPr>
        <w:t xml:space="preserve">, </w:t>
      </w:r>
      <w:r w:rsidRPr="00F521BA">
        <w:rPr>
          <w:rFonts w:asciiTheme="majorBidi" w:hAnsiTheme="majorBidi" w:cstheme="majorBidi"/>
        </w:rPr>
        <w:t>Richter H, Yarbrough J, Oden ZM, Schuler DA. A Shipping Container-Based Sterile Processing Unit for Low Resources Settings. PLOS ONE. 2016;11(3):e0149624</w:t>
      </w:r>
      <w:r w:rsidRPr="00F521BA">
        <w:rPr>
          <w:rFonts w:asciiTheme="majorBidi" w:hAnsiTheme="majorBidi" w:cstheme="majorBidi"/>
          <w:rtl/>
        </w:rPr>
        <w:t>.</w:t>
      </w:r>
    </w:p>
    <w:p w14:paraId="5AF2FBAA"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t>8.</w:t>
      </w:r>
      <w:r w:rsidRPr="00F521BA">
        <w:rPr>
          <w:rFonts w:asciiTheme="majorBidi" w:hAnsiTheme="majorBidi" w:cstheme="majorBidi"/>
          <w:rtl/>
        </w:rPr>
        <w:tab/>
      </w:r>
      <w:r w:rsidRPr="00F521BA">
        <w:rPr>
          <w:rFonts w:asciiTheme="majorBidi" w:hAnsiTheme="majorBidi" w:cstheme="majorBidi"/>
        </w:rPr>
        <w:t>Baruque Villar G, de Mello Freitas FT, Pais Ramos J, Dias Campos CE, de Souza Caldas PC, Santos</w:t>
      </w:r>
      <w:r w:rsidRPr="00F521BA">
        <w:rPr>
          <w:rFonts w:asciiTheme="majorBidi" w:hAnsiTheme="majorBidi" w:cstheme="majorBidi"/>
          <w:rtl/>
        </w:rPr>
        <w:t xml:space="preserve"> </w:t>
      </w:r>
      <w:r w:rsidRPr="00F521BA">
        <w:rPr>
          <w:rFonts w:asciiTheme="majorBidi" w:hAnsiTheme="majorBidi" w:cstheme="majorBidi"/>
        </w:rPr>
        <w:t>Bordalo F, et al. Risk Factors for Mycobacterium abscessus subsp. bolletii infection after laparoscopic surgery during an outbreak in Brazil. Infect Control Hosp Epidemiol. 2015;36(1):81-6</w:t>
      </w:r>
      <w:r w:rsidRPr="00F521BA">
        <w:rPr>
          <w:rFonts w:asciiTheme="majorBidi" w:hAnsiTheme="majorBidi" w:cstheme="majorBidi"/>
          <w:rtl/>
        </w:rPr>
        <w:t>.</w:t>
      </w:r>
    </w:p>
    <w:p w14:paraId="50187DFB"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t>9.</w:t>
      </w:r>
      <w:r w:rsidRPr="00F521BA">
        <w:rPr>
          <w:rFonts w:asciiTheme="majorBidi" w:hAnsiTheme="majorBidi" w:cstheme="majorBidi"/>
          <w:rtl/>
        </w:rPr>
        <w:tab/>
      </w:r>
      <w:r w:rsidRPr="00F521BA">
        <w:rPr>
          <w:rFonts w:asciiTheme="majorBidi" w:hAnsiTheme="majorBidi" w:cstheme="majorBidi"/>
        </w:rPr>
        <w:t>Tosh PK, Disbot M, Duffy JM, Boom ML, Heseltine G, Srinivasan</w:t>
      </w:r>
      <w:r w:rsidRPr="00F521BA">
        <w:rPr>
          <w:rFonts w:asciiTheme="majorBidi" w:hAnsiTheme="majorBidi" w:cstheme="majorBidi"/>
          <w:rtl/>
        </w:rPr>
        <w:t xml:space="preserve"> </w:t>
      </w:r>
      <w:r w:rsidRPr="00F521BA">
        <w:rPr>
          <w:rFonts w:asciiTheme="majorBidi" w:hAnsiTheme="majorBidi" w:cstheme="majorBidi"/>
        </w:rPr>
        <w:t>A, et al. Outbreak of Pseudomonas aeruginosa surgical site infections after arthroscopic procedures: Texas, 2009. Infect Control Hosp Epidemiol. 2011;32(12):1179-86</w:t>
      </w:r>
      <w:r w:rsidRPr="00F521BA">
        <w:rPr>
          <w:rFonts w:asciiTheme="majorBidi" w:hAnsiTheme="majorBidi" w:cstheme="majorBidi"/>
          <w:rtl/>
        </w:rPr>
        <w:t>.</w:t>
      </w:r>
    </w:p>
    <w:p w14:paraId="53F66C62" w14:textId="77777777" w:rsidR="00F521BA" w:rsidRPr="00F521BA" w:rsidRDefault="00F521BA" w:rsidP="00F521BA">
      <w:pPr>
        <w:pStyle w:val="EndNoteBibliography"/>
        <w:bidi w:val="0"/>
        <w:spacing w:after="0"/>
        <w:jc w:val="left"/>
        <w:rPr>
          <w:rFonts w:asciiTheme="majorBidi" w:hAnsiTheme="majorBidi" w:cstheme="majorBidi"/>
          <w:rtl/>
        </w:rPr>
      </w:pPr>
      <w:r w:rsidRPr="00F521BA">
        <w:rPr>
          <w:rFonts w:asciiTheme="majorBidi" w:hAnsiTheme="majorBidi" w:cstheme="majorBidi"/>
          <w:rtl/>
        </w:rPr>
        <w:t>10.</w:t>
      </w:r>
      <w:r w:rsidRPr="00F521BA">
        <w:rPr>
          <w:rFonts w:asciiTheme="majorBidi" w:hAnsiTheme="majorBidi" w:cstheme="majorBidi"/>
          <w:rtl/>
        </w:rPr>
        <w:tab/>
      </w:r>
      <w:r w:rsidRPr="00F521BA">
        <w:rPr>
          <w:rFonts w:asciiTheme="majorBidi" w:hAnsiTheme="majorBidi" w:cstheme="majorBidi"/>
        </w:rPr>
        <w:t>Shimono N, Takuma T, Tsuchimochi N, Shiose A, Murata M, Kanamoto Y, et al. An outbreak of Pseudomonas aeruginosa infections following thoracic surgeries occurring via the contamination of bronchoscopes and an automatic endoscope reprocessor. J Infect Chemother. 2008;14(6):418-23</w:t>
      </w:r>
      <w:r w:rsidRPr="00F521BA">
        <w:rPr>
          <w:rFonts w:asciiTheme="majorBidi" w:hAnsiTheme="majorBidi" w:cstheme="majorBidi"/>
          <w:rtl/>
        </w:rPr>
        <w:t>.</w:t>
      </w:r>
    </w:p>
    <w:p w14:paraId="4BE9A288" w14:textId="77777777" w:rsidR="00F521BA" w:rsidRPr="00F521BA" w:rsidRDefault="00F521BA" w:rsidP="00F521BA">
      <w:pPr>
        <w:pStyle w:val="EndNoteBibliography"/>
        <w:bidi w:val="0"/>
        <w:jc w:val="left"/>
        <w:rPr>
          <w:rFonts w:asciiTheme="majorBidi" w:hAnsiTheme="majorBidi" w:cstheme="majorBidi"/>
          <w:rtl/>
        </w:rPr>
      </w:pPr>
      <w:r w:rsidRPr="00F521BA">
        <w:rPr>
          <w:rFonts w:asciiTheme="majorBidi" w:hAnsiTheme="majorBidi" w:cstheme="majorBidi"/>
          <w:rtl/>
        </w:rPr>
        <w:t>11.</w:t>
      </w:r>
      <w:r w:rsidRPr="00F521BA">
        <w:rPr>
          <w:rFonts w:asciiTheme="majorBidi" w:hAnsiTheme="majorBidi" w:cstheme="majorBidi"/>
          <w:rtl/>
        </w:rPr>
        <w:tab/>
      </w:r>
      <w:r w:rsidRPr="00F521BA">
        <w:rPr>
          <w:rFonts w:asciiTheme="majorBidi" w:hAnsiTheme="majorBidi" w:cstheme="majorBidi"/>
        </w:rPr>
        <w:t>Vijayaraghavan R, Chandrashekhar R, Sujatha Y, Belagavi CS. Hospital outbreak of atypical mycobacterial infection of port sites after laparoscopic surgery. J Hosp Infect. 2006;64(4):344-7</w:t>
      </w:r>
      <w:r w:rsidRPr="00F521BA">
        <w:rPr>
          <w:rFonts w:asciiTheme="majorBidi" w:hAnsiTheme="majorBidi" w:cstheme="majorBidi"/>
          <w:rtl/>
        </w:rPr>
        <w:t>.</w:t>
      </w:r>
    </w:p>
    <w:p w14:paraId="02A0610B" w14:textId="77777777" w:rsidR="00F521BA" w:rsidRDefault="00F521BA" w:rsidP="00F521BA">
      <w:pPr>
        <w:bidi w:val="0"/>
        <w:rPr>
          <w:rFonts w:asciiTheme="majorBidi" w:hAnsiTheme="majorBidi" w:cstheme="majorBidi"/>
          <w:rtl/>
        </w:rPr>
        <w:sectPr w:rsidR="00F521BA" w:rsidSect="00F521BA">
          <w:type w:val="continuous"/>
          <w:pgSz w:w="16838" w:h="11906" w:orient="landscape"/>
          <w:pgMar w:top="720" w:right="720" w:bottom="720" w:left="720" w:header="708" w:footer="708" w:gutter="0"/>
          <w:cols w:num="2" w:space="709"/>
          <w:rtlGutter/>
          <w:docGrid w:linePitch="360"/>
        </w:sectPr>
      </w:pPr>
      <w:r w:rsidRPr="00F521BA">
        <w:rPr>
          <w:rFonts w:asciiTheme="majorBidi" w:hAnsiTheme="majorBidi" w:cstheme="majorBidi"/>
          <w:rtl/>
        </w:rPr>
        <w:fldChar w:fldCharType="end"/>
      </w:r>
    </w:p>
    <w:p w14:paraId="2E74EB6C" w14:textId="778BDEA7" w:rsidR="00F521BA" w:rsidRDefault="00F521BA" w:rsidP="00F521BA">
      <w:pPr>
        <w:bidi w:val="0"/>
        <w:jc w:val="both"/>
      </w:pPr>
    </w:p>
    <w:p w14:paraId="0B71519E" w14:textId="77777777" w:rsidR="00F521BA" w:rsidRPr="00F521BA" w:rsidRDefault="00F521BA" w:rsidP="00F521BA">
      <w:pPr>
        <w:jc w:val="center"/>
      </w:pPr>
    </w:p>
    <w:sectPr w:rsidR="00F521BA" w:rsidRPr="00F521BA" w:rsidSect="00F521BA">
      <w:type w:val="continuous"/>
      <w:pgSz w:w="16838" w:h="11906" w:orient="landscape"/>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B52C8"/>
    <w:rsid w:val="000916FC"/>
    <w:rsid w:val="000C585B"/>
    <w:rsid w:val="000D0B82"/>
    <w:rsid w:val="000F21C5"/>
    <w:rsid w:val="001D61CF"/>
    <w:rsid w:val="001D7155"/>
    <w:rsid w:val="001F457A"/>
    <w:rsid w:val="002255D1"/>
    <w:rsid w:val="002A63D0"/>
    <w:rsid w:val="00344FF1"/>
    <w:rsid w:val="003A7291"/>
    <w:rsid w:val="003B1C9E"/>
    <w:rsid w:val="003F2F3C"/>
    <w:rsid w:val="00490BB9"/>
    <w:rsid w:val="00551C14"/>
    <w:rsid w:val="005B52C8"/>
    <w:rsid w:val="00634B4F"/>
    <w:rsid w:val="006A5618"/>
    <w:rsid w:val="007B6ECC"/>
    <w:rsid w:val="007F1998"/>
    <w:rsid w:val="00864DF1"/>
    <w:rsid w:val="00893CFE"/>
    <w:rsid w:val="00934484"/>
    <w:rsid w:val="00966FEC"/>
    <w:rsid w:val="00975DF3"/>
    <w:rsid w:val="00B05724"/>
    <w:rsid w:val="00B3137E"/>
    <w:rsid w:val="00B43F67"/>
    <w:rsid w:val="00C02D84"/>
    <w:rsid w:val="00C55DAD"/>
    <w:rsid w:val="00C729E7"/>
    <w:rsid w:val="00C74776"/>
    <w:rsid w:val="00C87F0E"/>
    <w:rsid w:val="00CF075D"/>
    <w:rsid w:val="00D20A80"/>
    <w:rsid w:val="00D74C56"/>
    <w:rsid w:val="00D863FF"/>
    <w:rsid w:val="00EA38D8"/>
    <w:rsid w:val="00ED68E9"/>
    <w:rsid w:val="00F521BA"/>
    <w:rsid w:val="00F543ED"/>
    <w:rsid w:val="00F91D9F"/>
    <w:rsid w:val="00F96A7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54A57"/>
  <w15:chartTrackingRefBased/>
  <w15:docId w15:val="{4316A73F-CFCA-421F-8336-5D2C19923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3D0"/>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6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F2F3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F2F3C"/>
    <w:rPr>
      <w:rFonts w:ascii="Calibri" w:hAnsi="Calibri" w:cs="Calibri"/>
      <w:noProof/>
    </w:rPr>
  </w:style>
  <w:style w:type="paragraph" w:customStyle="1" w:styleId="EndNoteBibliography">
    <w:name w:val="EndNote Bibliography"/>
    <w:basedOn w:val="Normal"/>
    <w:link w:val="EndNoteBibliographyChar"/>
    <w:rsid w:val="003F2F3C"/>
    <w:pPr>
      <w:spacing w:line="240" w:lineRule="auto"/>
      <w:jc w:val="right"/>
    </w:pPr>
    <w:rPr>
      <w:rFonts w:ascii="Calibri" w:hAnsi="Calibri" w:cs="Calibri"/>
      <w:noProof/>
    </w:rPr>
  </w:style>
  <w:style w:type="character" w:customStyle="1" w:styleId="EndNoteBibliographyChar">
    <w:name w:val="EndNote Bibliography Char"/>
    <w:basedOn w:val="DefaultParagraphFont"/>
    <w:link w:val="EndNoteBibliography"/>
    <w:rsid w:val="003F2F3C"/>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B4CF0-F6FE-4CED-B341-670BA8928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4230</Words>
  <Characters>24112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sadegh Ne</dc:creator>
  <cp:keywords/>
  <dc:description/>
  <cp:lastModifiedBy>Muhammad sadegh Ne</cp:lastModifiedBy>
  <cp:revision>36</cp:revision>
  <dcterms:created xsi:type="dcterms:W3CDTF">2026-05-10T20:56:00Z</dcterms:created>
  <dcterms:modified xsi:type="dcterms:W3CDTF">2026-06-23T11:16:00Z</dcterms:modified>
</cp:coreProperties>
</file>