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AD943" w14:textId="41D4CE10" w:rsidR="003504CE" w:rsidRPr="00D16DDB" w:rsidRDefault="00516B00" w:rsidP="00D16DDB">
      <w:pPr>
        <w:jc w:val="center"/>
        <w:rPr>
          <w:rStyle w:val="Strong"/>
          <w:rFonts w:ascii="Times New Roman" w:hAnsi="Times New Roman" w:cs="Times New Roman"/>
        </w:rPr>
      </w:pPr>
      <w:r w:rsidRPr="00D16DDB">
        <w:rPr>
          <w:rStyle w:val="Strong"/>
          <w:rFonts w:ascii="Times New Roman" w:hAnsi="Times New Roman" w:cs="Times New Roman"/>
        </w:rPr>
        <w:t xml:space="preserve">IC50 </w:t>
      </w:r>
      <w:r w:rsidR="002B6D03">
        <w:rPr>
          <w:rStyle w:val="Strong"/>
          <w:rFonts w:ascii="Times New Roman" w:hAnsi="Times New Roman" w:cs="Times New Roman"/>
        </w:rPr>
        <w:t>m</w:t>
      </w:r>
      <w:r w:rsidRPr="00D16DDB">
        <w:rPr>
          <w:rStyle w:val="Strong"/>
          <w:rFonts w:ascii="Times New Roman" w:hAnsi="Times New Roman" w:cs="Times New Roman"/>
        </w:rPr>
        <w:t xml:space="preserve">ethodology and </w:t>
      </w:r>
      <w:r w:rsidR="002B6D03">
        <w:rPr>
          <w:rStyle w:val="Strong"/>
          <w:rFonts w:ascii="Times New Roman" w:hAnsi="Times New Roman" w:cs="Times New Roman"/>
        </w:rPr>
        <w:t>d</w:t>
      </w:r>
      <w:r w:rsidRPr="00D16DDB">
        <w:rPr>
          <w:rStyle w:val="Strong"/>
          <w:rFonts w:ascii="Times New Roman" w:hAnsi="Times New Roman" w:cs="Times New Roman"/>
        </w:rPr>
        <w:t>ata</w:t>
      </w:r>
    </w:p>
    <w:p w14:paraId="2E5822B8" w14:textId="77777777" w:rsidR="00516B00" w:rsidRPr="00D16DDB" w:rsidRDefault="00516B00" w:rsidP="00516B00">
      <w:pPr>
        <w:rPr>
          <w:rFonts w:ascii="Times New Roman" w:hAnsi="Times New Roman" w:cs="Times New Roman"/>
          <w:b/>
          <w:bCs/>
        </w:rPr>
      </w:pPr>
      <w:r w:rsidRPr="00D16DDB">
        <w:rPr>
          <w:rFonts w:ascii="Times New Roman" w:hAnsi="Times New Roman" w:cs="Times New Roman"/>
          <w:b/>
          <w:bCs/>
        </w:rPr>
        <w:t>1. Experimental Design</w:t>
      </w:r>
    </w:p>
    <w:p w14:paraId="48119CF1" w14:textId="5E130C8F" w:rsidR="00516B00" w:rsidRPr="00D16DDB" w:rsidRDefault="00516B00" w:rsidP="00516B00">
      <w:pPr>
        <w:rPr>
          <w:rFonts w:ascii="Times New Roman" w:hAnsi="Times New Roman" w:cs="Times New Roman"/>
          <w:b/>
          <w:bCs/>
        </w:rPr>
      </w:pPr>
      <w:r w:rsidRPr="00D16DDB">
        <w:rPr>
          <w:rFonts w:ascii="Times New Roman" w:hAnsi="Times New Roman" w:cs="Times New Roman"/>
          <w:b/>
          <w:bCs/>
        </w:rPr>
        <w:t>Cell Treatment:</w:t>
      </w:r>
    </w:p>
    <w:p w14:paraId="38785D0E" w14:textId="4D794CE4" w:rsidR="00516B00" w:rsidRPr="00D16DDB" w:rsidRDefault="00516B00" w:rsidP="00516B00">
      <w:pPr>
        <w:rPr>
          <w:rFonts w:ascii="Times New Roman" w:hAnsi="Times New Roman" w:cs="Times New Roman"/>
        </w:rPr>
      </w:pPr>
      <w:proofErr w:type="spellStart"/>
      <w:r w:rsidRPr="00D16DDB">
        <w:rPr>
          <w:rFonts w:ascii="Times New Roman" w:hAnsi="Times New Roman" w:cs="Times New Roman"/>
          <w:b/>
          <w:bCs/>
        </w:rPr>
        <w:t>Normoxia</w:t>
      </w:r>
      <w:proofErr w:type="spellEnd"/>
      <w:r w:rsidRPr="00D16DDB">
        <w:rPr>
          <w:rFonts w:ascii="Times New Roman" w:hAnsi="Times New Roman" w:cs="Times New Roman"/>
          <w:b/>
          <w:bCs/>
        </w:rPr>
        <w:t>:</w:t>
      </w:r>
      <w:r w:rsidRPr="00D16DDB">
        <w:rPr>
          <w:rFonts w:ascii="Times New Roman" w:hAnsi="Times New Roman" w:cs="Times New Roman"/>
        </w:rPr>
        <w:t xml:space="preserve"> Cells treated with kaempferol (0–80 µM) for </w:t>
      </w:r>
      <w:r w:rsidR="00FC126B">
        <w:rPr>
          <w:rFonts w:ascii="Times New Roman" w:hAnsi="Times New Roman" w:cs="Times New Roman"/>
        </w:rPr>
        <w:t>48</w:t>
      </w:r>
      <w:r w:rsidRPr="00D16DDB">
        <w:rPr>
          <w:rFonts w:ascii="Times New Roman" w:hAnsi="Times New Roman" w:cs="Times New Roman"/>
        </w:rPr>
        <w:t xml:space="preserve"> h.</w:t>
      </w:r>
    </w:p>
    <w:p w14:paraId="3D8646D7" w14:textId="7EEBD73E" w:rsidR="00516B00" w:rsidRPr="00D16DDB" w:rsidRDefault="00516B00" w:rsidP="00516B00">
      <w:pPr>
        <w:rPr>
          <w:rFonts w:ascii="Times New Roman" w:hAnsi="Times New Roman" w:cs="Times New Roman"/>
        </w:rPr>
      </w:pPr>
      <w:r w:rsidRPr="00D16DDB">
        <w:rPr>
          <w:rFonts w:ascii="Times New Roman" w:hAnsi="Times New Roman" w:cs="Times New Roman"/>
          <w:b/>
          <w:bCs/>
        </w:rPr>
        <w:t>Hypoxia:</w:t>
      </w:r>
      <w:r w:rsidRPr="00D16DDB">
        <w:rPr>
          <w:rFonts w:ascii="Times New Roman" w:hAnsi="Times New Roman" w:cs="Times New Roman"/>
        </w:rPr>
        <w:t xml:space="preserve"> Pre-treated with </w:t>
      </w:r>
      <w:proofErr w:type="spellStart"/>
      <w:r w:rsidRPr="00D16DDB">
        <w:rPr>
          <w:rFonts w:ascii="Times New Roman" w:hAnsi="Times New Roman" w:cs="Times New Roman"/>
        </w:rPr>
        <w:t>CoCl</w:t>
      </w:r>
      <w:proofErr w:type="spellEnd"/>
      <w:r w:rsidRPr="00D16DDB">
        <w:rPr>
          <w:rFonts w:ascii="Times New Roman" w:hAnsi="Times New Roman" w:cs="Times New Roman"/>
        </w:rPr>
        <w:t xml:space="preserve">₂ (100 µM, </w:t>
      </w:r>
      <w:r w:rsidR="00D16DDB" w:rsidRPr="00D16DDB">
        <w:rPr>
          <w:rFonts w:ascii="Times New Roman" w:hAnsi="Times New Roman" w:cs="Times New Roman"/>
        </w:rPr>
        <w:t>2</w:t>
      </w:r>
      <w:r w:rsidRPr="00D16DDB">
        <w:rPr>
          <w:rFonts w:ascii="Times New Roman" w:hAnsi="Times New Roman" w:cs="Times New Roman"/>
        </w:rPr>
        <w:t xml:space="preserve">4 h) → kaempferol (0–80 µM, </w:t>
      </w:r>
      <w:r w:rsidR="00D16DDB" w:rsidRPr="00D16DDB">
        <w:rPr>
          <w:rFonts w:ascii="Times New Roman" w:hAnsi="Times New Roman" w:cs="Times New Roman"/>
        </w:rPr>
        <w:t>48</w:t>
      </w:r>
      <w:r w:rsidRPr="00D16DDB">
        <w:rPr>
          <w:rFonts w:ascii="Times New Roman" w:hAnsi="Times New Roman" w:cs="Times New Roman"/>
        </w:rPr>
        <w:t xml:space="preserve"> h).</w:t>
      </w:r>
    </w:p>
    <w:p w14:paraId="5387CBBA" w14:textId="1402109B" w:rsidR="00516B00" w:rsidRPr="00D16DDB" w:rsidRDefault="00516B00" w:rsidP="00516B00">
      <w:pPr>
        <w:rPr>
          <w:rFonts w:ascii="Times New Roman" w:hAnsi="Times New Roman" w:cs="Times New Roman"/>
          <w:b/>
          <w:bCs/>
        </w:rPr>
      </w:pPr>
      <w:r w:rsidRPr="00D16DDB">
        <w:rPr>
          <w:rFonts w:ascii="Times New Roman" w:hAnsi="Times New Roman" w:cs="Times New Roman"/>
          <w:b/>
          <w:bCs/>
        </w:rPr>
        <w:t>Controls:</w:t>
      </w:r>
    </w:p>
    <w:p w14:paraId="4F346D51" w14:textId="2E43CD39" w:rsidR="00516B00" w:rsidRPr="00D16DDB" w:rsidRDefault="00516B00" w:rsidP="00516B00">
      <w:pPr>
        <w:rPr>
          <w:rFonts w:ascii="Times New Roman" w:hAnsi="Times New Roman" w:cs="Times New Roman"/>
        </w:rPr>
      </w:pPr>
      <w:r w:rsidRPr="00D16DDB">
        <w:rPr>
          <w:rFonts w:ascii="Times New Roman" w:hAnsi="Times New Roman" w:cs="Times New Roman"/>
        </w:rPr>
        <w:t>Vehicle (DMSO ≤ 0.1%)</w:t>
      </w:r>
    </w:p>
    <w:p w14:paraId="619D71E4" w14:textId="137A495D" w:rsidR="00516B00" w:rsidRPr="00D16DDB" w:rsidRDefault="00516B00" w:rsidP="00516B00">
      <w:pPr>
        <w:rPr>
          <w:rFonts w:ascii="Times New Roman" w:hAnsi="Times New Roman" w:cs="Times New Roman"/>
        </w:rPr>
      </w:pPr>
      <w:proofErr w:type="spellStart"/>
      <w:r w:rsidRPr="00D16DDB">
        <w:rPr>
          <w:rFonts w:ascii="Times New Roman" w:hAnsi="Times New Roman" w:cs="Times New Roman"/>
        </w:rPr>
        <w:t>CoCl</w:t>
      </w:r>
      <w:proofErr w:type="spellEnd"/>
      <w:r w:rsidRPr="00D16DDB">
        <w:rPr>
          <w:rFonts w:ascii="Times New Roman" w:hAnsi="Times New Roman" w:cs="Times New Roman"/>
        </w:rPr>
        <w:t>₂-only (100 µM) – confirmed non-cytotoxic (Fig. 1A-B).</w:t>
      </w:r>
    </w:p>
    <w:p w14:paraId="70271004" w14:textId="76E14AEF" w:rsidR="00516B00" w:rsidRPr="00D16DDB" w:rsidRDefault="00516B00" w:rsidP="00516B00">
      <w:pPr>
        <w:rPr>
          <w:rFonts w:ascii="Times New Roman" w:hAnsi="Times New Roman" w:cs="Times New Roman"/>
          <w:b/>
          <w:bCs/>
        </w:rPr>
      </w:pPr>
      <w:r w:rsidRPr="00D16DDB">
        <w:rPr>
          <w:rFonts w:ascii="Times New Roman" w:hAnsi="Times New Roman" w:cs="Times New Roman"/>
          <w:b/>
          <w:bCs/>
        </w:rPr>
        <w:t xml:space="preserve">2. Viability </w:t>
      </w:r>
      <w:r w:rsidR="00D16DDB" w:rsidRPr="00D16DDB">
        <w:rPr>
          <w:rFonts w:ascii="Times New Roman" w:hAnsi="Times New Roman" w:cs="Times New Roman"/>
          <w:b/>
          <w:bCs/>
        </w:rPr>
        <w:t>a</w:t>
      </w:r>
      <w:r w:rsidRPr="00D16DDB">
        <w:rPr>
          <w:rFonts w:ascii="Times New Roman" w:hAnsi="Times New Roman" w:cs="Times New Roman"/>
          <w:b/>
          <w:bCs/>
        </w:rPr>
        <w:t>ssay</w:t>
      </w:r>
    </w:p>
    <w:p w14:paraId="4814918A" w14:textId="6EC22A2A" w:rsidR="00516B00" w:rsidRPr="00D16DDB" w:rsidRDefault="00516B00" w:rsidP="00516B00">
      <w:pPr>
        <w:rPr>
          <w:rFonts w:ascii="Times New Roman" w:hAnsi="Times New Roman" w:cs="Times New Roman"/>
          <w:b/>
          <w:bCs/>
        </w:rPr>
      </w:pPr>
      <w:r w:rsidRPr="00D16DDB">
        <w:rPr>
          <w:rFonts w:ascii="Times New Roman" w:hAnsi="Times New Roman" w:cs="Times New Roman"/>
          <w:b/>
          <w:bCs/>
        </w:rPr>
        <w:t>Method: MTT assay (n = 3 replicates).</w:t>
      </w:r>
    </w:p>
    <w:p w14:paraId="6963062F" w14:textId="720E4CC0" w:rsidR="00516B00" w:rsidRPr="00D16DDB" w:rsidRDefault="00516B00" w:rsidP="00516B00">
      <w:pPr>
        <w:rPr>
          <w:rFonts w:ascii="Times New Roman" w:hAnsi="Times New Roman" w:cs="Times New Roman"/>
          <w:b/>
          <w:bCs/>
        </w:rPr>
      </w:pPr>
      <w:r w:rsidRPr="00D16DDB">
        <w:rPr>
          <w:rFonts w:ascii="Times New Roman" w:hAnsi="Times New Roman" w:cs="Times New Roman"/>
          <w:b/>
          <w:bCs/>
        </w:rPr>
        <w:t>Procedure</w:t>
      </w:r>
    </w:p>
    <w:p w14:paraId="3C0D2E8C" w14:textId="123E22B7" w:rsidR="00516B00" w:rsidRPr="00D16DDB" w:rsidRDefault="00516B00" w:rsidP="00516B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16DDB">
        <w:rPr>
          <w:rFonts w:ascii="Times New Roman" w:hAnsi="Times New Roman" w:cs="Times New Roman"/>
        </w:rPr>
        <w:t xml:space="preserve">Cells seeded </w:t>
      </w:r>
      <w:proofErr w:type="gramStart"/>
      <w:r w:rsidRPr="00D16DDB">
        <w:rPr>
          <w:rFonts w:ascii="Times New Roman" w:hAnsi="Times New Roman" w:cs="Times New Roman"/>
        </w:rPr>
        <w:t>in</w:t>
      </w:r>
      <w:proofErr w:type="gramEnd"/>
      <w:r w:rsidRPr="00D16DDB">
        <w:rPr>
          <w:rFonts w:ascii="Times New Roman" w:hAnsi="Times New Roman" w:cs="Times New Roman"/>
        </w:rPr>
        <w:t xml:space="preserve"> 96-well plates.</w:t>
      </w:r>
    </w:p>
    <w:p w14:paraId="2EFC696B" w14:textId="7C563AEF" w:rsidR="00516B00" w:rsidRPr="00D16DDB" w:rsidRDefault="00516B00" w:rsidP="00516B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16DDB">
        <w:rPr>
          <w:rFonts w:ascii="Times New Roman" w:hAnsi="Times New Roman" w:cs="Times New Roman"/>
        </w:rPr>
        <w:t>Treated as above → incubated with MTT (0.5 mg/mL, 4 h) → solubilized in DMSO.</w:t>
      </w:r>
    </w:p>
    <w:p w14:paraId="4E8D34D6" w14:textId="1F3B15D4" w:rsidR="00516B00" w:rsidRPr="00D16DDB" w:rsidRDefault="00516B00" w:rsidP="00516B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16DDB">
        <w:rPr>
          <w:rFonts w:ascii="Times New Roman" w:hAnsi="Times New Roman" w:cs="Times New Roman"/>
        </w:rPr>
        <w:t>Absorbance measured at 570 nm (Microplate reader).</w:t>
      </w:r>
    </w:p>
    <w:p w14:paraId="1A30E517" w14:textId="054DADCB" w:rsidR="00516B00" w:rsidRPr="00D16DDB" w:rsidRDefault="00516B00" w:rsidP="00516B00">
      <w:pPr>
        <w:rPr>
          <w:rFonts w:ascii="Times New Roman" w:hAnsi="Times New Roman" w:cs="Times New Roman"/>
          <w:b/>
          <w:bCs/>
        </w:rPr>
      </w:pPr>
      <w:r w:rsidRPr="00D16DDB">
        <w:rPr>
          <w:rFonts w:ascii="Times New Roman" w:hAnsi="Times New Roman" w:cs="Times New Roman"/>
          <w:b/>
          <w:bCs/>
        </w:rPr>
        <w:t xml:space="preserve">3. IC50 </w:t>
      </w:r>
      <w:r w:rsidR="00D16DDB" w:rsidRPr="00D16DDB">
        <w:rPr>
          <w:rFonts w:ascii="Times New Roman" w:hAnsi="Times New Roman" w:cs="Times New Roman"/>
          <w:b/>
          <w:bCs/>
        </w:rPr>
        <w:t>c</w:t>
      </w:r>
      <w:r w:rsidRPr="00D16DDB">
        <w:rPr>
          <w:rFonts w:ascii="Times New Roman" w:hAnsi="Times New Roman" w:cs="Times New Roman"/>
          <w:b/>
          <w:bCs/>
        </w:rPr>
        <w:t>alculation</w:t>
      </w:r>
    </w:p>
    <w:p w14:paraId="5984407B" w14:textId="46FC9065" w:rsidR="00516B00" w:rsidRPr="00D16DDB" w:rsidRDefault="00516B00" w:rsidP="00516B00">
      <w:pPr>
        <w:rPr>
          <w:rFonts w:ascii="Times New Roman" w:hAnsi="Times New Roman" w:cs="Times New Roman"/>
          <w:b/>
          <w:bCs/>
        </w:rPr>
      </w:pPr>
      <w:r w:rsidRPr="00D16DDB">
        <w:rPr>
          <w:rFonts w:ascii="Times New Roman" w:hAnsi="Times New Roman" w:cs="Times New Roman"/>
          <w:b/>
          <w:bCs/>
        </w:rPr>
        <w:t>Analysis:</w:t>
      </w:r>
    </w:p>
    <w:p w14:paraId="49242D3E" w14:textId="714969B0" w:rsidR="00516B00" w:rsidRPr="00D16DDB" w:rsidRDefault="00516B00" w:rsidP="00516B00">
      <w:pPr>
        <w:rPr>
          <w:rFonts w:ascii="Times New Roman" w:hAnsi="Times New Roman" w:cs="Times New Roman"/>
        </w:rPr>
      </w:pPr>
      <w:r w:rsidRPr="00D16DDB">
        <w:rPr>
          <w:rFonts w:ascii="Times New Roman" w:hAnsi="Times New Roman" w:cs="Times New Roman"/>
        </w:rPr>
        <w:t>Dose-response curves fitted to nonlinear regression (log[inhibitor] vs. normalized response – variable slope) in GraphPad Prism v</w:t>
      </w:r>
      <w:r w:rsidR="00D16DDB" w:rsidRPr="00D16DDB">
        <w:rPr>
          <w:rFonts w:ascii="Times New Roman" w:hAnsi="Times New Roman" w:cs="Times New Roman"/>
        </w:rPr>
        <w:t>8</w:t>
      </w:r>
      <w:r w:rsidRPr="00D16DDB">
        <w:rPr>
          <w:rFonts w:ascii="Times New Roman" w:hAnsi="Times New Roman" w:cs="Times New Roman"/>
        </w:rPr>
        <w:t>.0.</w:t>
      </w:r>
    </w:p>
    <w:p w14:paraId="238FA20B" w14:textId="0BE89019" w:rsidR="00516B00" w:rsidRDefault="00516B00" w:rsidP="00516B00">
      <w:pPr>
        <w:rPr>
          <w:rFonts w:ascii="Times New Roman" w:hAnsi="Times New Roman" w:cs="Times New Roman"/>
        </w:rPr>
      </w:pPr>
      <w:r w:rsidRPr="00D16DDB">
        <w:rPr>
          <w:rFonts w:ascii="Times New Roman" w:hAnsi="Times New Roman" w:cs="Times New Roman"/>
        </w:rPr>
        <w:t>Model: *Y = Bottom + (Top – Bottom)</w:t>
      </w:r>
      <w:proofErr w:type="gramStart"/>
      <w:r w:rsidRPr="00D16DDB">
        <w:rPr>
          <w:rFonts w:ascii="Times New Roman" w:hAnsi="Times New Roman" w:cs="Times New Roman"/>
        </w:rPr>
        <w:t>/(</w:t>
      </w:r>
      <w:proofErr w:type="gramEnd"/>
      <w:r w:rsidRPr="00D16DDB">
        <w:rPr>
          <w:rFonts w:ascii="Times New Roman" w:hAnsi="Times New Roman" w:cs="Times New Roman"/>
        </w:rPr>
        <w:t>1 + 10^((LogIC50 – X)</w:t>
      </w:r>
      <w:proofErr w:type="spellStart"/>
      <w:r w:rsidRPr="00D16DDB">
        <w:rPr>
          <w:rFonts w:ascii="Times New Roman" w:hAnsi="Times New Roman" w:cs="Times New Roman"/>
        </w:rPr>
        <w:t>HillSlope</w:t>
      </w:r>
      <w:proofErr w:type="spellEnd"/>
      <w:r w:rsidRPr="00D16DDB">
        <w:rPr>
          <w:rFonts w:ascii="Times New Roman" w:hAnsi="Times New Roman" w:cs="Times New Roman"/>
        </w:rPr>
        <w:t>)).</w:t>
      </w:r>
    </w:p>
    <w:p w14:paraId="00B16C18" w14:textId="77777777" w:rsidR="008515D0" w:rsidRDefault="008515D0" w:rsidP="008515D0">
      <w:pPr>
        <w:rPr>
          <w:rFonts w:ascii="Times New Roman" w:hAnsi="Times New Roman" w:cs="Times New Roman"/>
          <w:b/>
          <w:bCs/>
        </w:rPr>
      </w:pPr>
      <w:r w:rsidRPr="008515D0">
        <w:rPr>
          <w:rFonts w:ascii="Times New Roman" w:hAnsi="Times New Roman" w:cs="Times New Roman"/>
          <w:b/>
          <w:bCs/>
        </w:rPr>
        <w:t>Output: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515D0" w14:paraId="4719370C" w14:textId="77777777" w:rsidTr="008515D0">
        <w:trPr>
          <w:trHeight w:val="503"/>
        </w:trPr>
        <w:tc>
          <w:tcPr>
            <w:tcW w:w="1870" w:type="dxa"/>
            <w:vAlign w:val="center"/>
          </w:tcPr>
          <w:p w14:paraId="17B261EB" w14:textId="51D972BA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Style w:val="Strong"/>
                <w:rFonts w:ascii="Times New Roman" w:hAnsi="Times New Roman" w:cs="Times New Roman"/>
              </w:rPr>
              <w:t>Cell Line</w:t>
            </w:r>
          </w:p>
        </w:tc>
        <w:tc>
          <w:tcPr>
            <w:tcW w:w="1870" w:type="dxa"/>
            <w:vAlign w:val="center"/>
          </w:tcPr>
          <w:p w14:paraId="316339C2" w14:textId="1E1326DC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Style w:val="Strong"/>
                <w:rFonts w:ascii="Times New Roman" w:hAnsi="Times New Roman" w:cs="Times New Roman"/>
              </w:rPr>
              <w:t>Condition</w:t>
            </w:r>
          </w:p>
        </w:tc>
        <w:tc>
          <w:tcPr>
            <w:tcW w:w="1870" w:type="dxa"/>
            <w:vAlign w:val="center"/>
          </w:tcPr>
          <w:p w14:paraId="46AB8298" w14:textId="5FC67EDE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Style w:val="Strong"/>
                <w:rFonts w:ascii="Times New Roman" w:hAnsi="Times New Roman" w:cs="Times New Roman"/>
              </w:rPr>
              <w:t>IC50 (µM)</w:t>
            </w:r>
          </w:p>
        </w:tc>
        <w:tc>
          <w:tcPr>
            <w:tcW w:w="1870" w:type="dxa"/>
            <w:vAlign w:val="center"/>
          </w:tcPr>
          <w:p w14:paraId="3CBDE71F" w14:textId="5CFDE649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Style w:val="Strong"/>
                <w:rFonts w:ascii="Times New Roman" w:hAnsi="Times New Roman" w:cs="Times New Roman"/>
              </w:rPr>
              <w:t>95% CI</w:t>
            </w:r>
          </w:p>
        </w:tc>
        <w:tc>
          <w:tcPr>
            <w:tcW w:w="1870" w:type="dxa"/>
            <w:vAlign w:val="center"/>
          </w:tcPr>
          <w:p w14:paraId="5C586B4C" w14:textId="13785DFB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Style w:val="Strong"/>
                <w:rFonts w:ascii="Times New Roman" w:hAnsi="Times New Roman" w:cs="Times New Roman"/>
              </w:rPr>
              <w:t>R²</w:t>
            </w:r>
          </w:p>
        </w:tc>
      </w:tr>
      <w:tr w:rsidR="008515D0" w14:paraId="1DE9B650" w14:textId="77777777" w:rsidTr="008515D0">
        <w:trPr>
          <w:trHeight w:val="350"/>
        </w:trPr>
        <w:tc>
          <w:tcPr>
            <w:tcW w:w="1870" w:type="dxa"/>
            <w:vAlign w:val="center"/>
          </w:tcPr>
          <w:p w14:paraId="2D61AB8A" w14:textId="60A84F05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Style w:val="Strong"/>
                <w:rFonts w:ascii="Times New Roman" w:hAnsi="Times New Roman" w:cs="Times New Roman"/>
              </w:rPr>
              <w:t>HCT-15</w:t>
            </w:r>
          </w:p>
        </w:tc>
        <w:tc>
          <w:tcPr>
            <w:tcW w:w="1870" w:type="dxa"/>
            <w:vAlign w:val="center"/>
          </w:tcPr>
          <w:p w14:paraId="16FEA15B" w14:textId="33EC574C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15D0">
              <w:rPr>
                <w:rFonts w:ascii="Times New Roman" w:hAnsi="Times New Roman" w:cs="Times New Roman"/>
              </w:rPr>
              <w:t>Normoxia</w:t>
            </w:r>
            <w:proofErr w:type="spellEnd"/>
          </w:p>
        </w:tc>
        <w:tc>
          <w:tcPr>
            <w:tcW w:w="1870" w:type="dxa"/>
            <w:vAlign w:val="center"/>
          </w:tcPr>
          <w:p w14:paraId="4180D9D4" w14:textId="0CDDC858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58.33 ± 1.5</w:t>
            </w:r>
          </w:p>
        </w:tc>
        <w:tc>
          <w:tcPr>
            <w:tcW w:w="1870" w:type="dxa"/>
            <w:vAlign w:val="center"/>
          </w:tcPr>
          <w:p w14:paraId="07317595" w14:textId="335B8141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56.12–60.54</w:t>
            </w:r>
          </w:p>
        </w:tc>
        <w:tc>
          <w:tcPr>
            <w:tcW w:w="1870" w:type="dxa"/>
            <w:vAlign w:val="center"/>
          </w:tcPr>
          <w:p w14:paraId="0F788742" w14:textId="587A77AC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0.98</w:t>
            </w:r>
          </w:p>
        </w:tc>
      </w:tr>
      <w:tr w:rsidR="008515D0" w14:paraId="18A77866" w14:textId="77777777" w:rsidTr="008515D0">
        <w:trPr>
          <w:trHeight w:val="359"/>
        </w:trPr>
        <w:tc>
          <w:tcPr>
            <w:tcW w:w="1870" w:type="dxa"/>
            <w:vAlign w:val="center"/>
          </w:tcPr>
          <w:p w14:paraId="2A03CB8B" w14:textId="77777777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0" w:type="dxa"/>
            <w:vAlign w:val="center"/>
          </w:tcPr>
          <w:p w14:paraId="6EA45AFA" w14:textId="08AD62FD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Hypoxia</w:t>
            </w:r>
          </w:p>
        </w:tc>
        <w:tc>
          <w:tcPr>
            <w:tcW w:w="1870" w:type="dxa"/>
            <w:vAlign w:val="center"/>
          </w:tcPr>
          <w:p w14:paraId="32430D9A" w14:textId="7EBB46D1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48.28 ± 2.0</w:t>
            </w:r>
          </w:p>
        </w:tc>
        <w:tc>
          <w:tcPr>
            <w:tcW w:w="1870" w:type="dxa"/>
            <w:vAlign w:val="center"/>
          </w:tcPr>
          <w:p w14:paraId="516D8C42" w14:textId="7198C7FE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45.89–50.67</w:t>
            </w:r>
          </w:p>
        </w:tc>
        <w:tc>
          <w:tcPr>
            <w:tcW w:w="1870" w:type="dxa"/>
            <w:vAlign w:val="center"/>
          </w:tcPr>
          <w:p w14:paraId="72AAAC78" w14:textId="0D3D5616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0.97</w:t>
            </w:r>
          </w:p>
        </w:tc>
      </w:tr>
      <w:tr w:rsidR="008515D0" w14:paraId="1A2A1F76" w14:textId="77777777" w:rsidTr="008515D0">
        <w:trPr>
          <w:trHeight w:val="341"/>
        </w:trPr>
        <w:tc>
          <w:tcPr>
            <w:tcW w:w="1870" w:type="dxa"/>
            <w:vAlign w:val="center"/>
          </w:tcPr>
          <w:p w14:paraId="6BC29DD2" w14:textId="294D02D1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Style w:val="Strong"/>
                <w:rFonts w:ascii="Times New Roman" w:hAnsi="Times New Roman" w:cs="Times New Roman"/>
              </w:rPr>
              <w:t>HCT-116</w:t>
            </w:r>
          </w:p>
        </w:tc>
        <w:tc>
          <w:tcPr>
            <w:tcW w:w="1870" w:type="dxa"/>
            <w:vAlign w:val="center"/>
          </w:tcPr>
          <w:p w14:paraId="242D670B" w14:textId="0A71D416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15D0">
              <w:rPr>
                <w:rFonts w:ascii="Times New Roman" w:hAnsi="Times New Roman" w:cs="Times New Roman"/>
              </w:rPr>
              <w:t>Normoxia</w:t>
            </w:r>
            <w:proofErr w:type="spellEnd"/>
          </w:p>
        </w:tc>
        <w:tc>
          <w:tcPr>
            <w:tcW w:w="1870" w:type="dxa"/>
            <w:vAlign w:val="center"/>
          </w:tcPr>
          <w:p w14:paraId="7CD6DE3E" w14:textId="4BE20065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55.62 ± 1.2</w:t>
            </w:r>
          </w:p>
        </w:tc>
        <w:tc>
          <w:tcPr>
            <w:tcW w:w="1870" w:type="dxa"/>
            <w:vAlign w:val="center"/>
          </w:tcPr>
          <w:p w14:paraId="5A18FB24" w14:textId="38360992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53.85–57.39</w:t>
            </w:r>
          </w:p>
        </w:tc>
        <w:tc>
          <w:tcPr>
            <w:tcW w:w="1870" w:type="dxa"/>
            <w:vAlign w:val="center"/>
          </w:tcPr>
          <w:p w14:paraId="0B676F6B" w14:textId="0C19E894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0.99</w:t>
            </w:r>
          </w:p>
        </w:tc>
      </w:tr>
      <w:tr w:rsidR="008515D0" w14:paraId="2A113926" w14:textId="77777777" w:rsidTr="008515D0">
        <w:trPr>
          <w:trHeight w:val="359"/>
        </w:trPr>
        <w:tc>
          <w:tcPr>
            <w:tcW w:w="1870" w:type="dxa"/>
            <w:vAlign w:val="center"/>
          </w:tcPr>
          <w:p w14:paraId="5D059F33" w14:textId="77777777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0" w:type="dxa"/>
            <w:vAlign w:val="center"/>
          </w:tcPr>
          <w:p w14:paraId="3BB93D3F" w14:textId="6E0A84E4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Hypoxia</w:t>
            </w:r>
          </w:p>
        </w:tc>
        <w:tc>
          <w:tcPr>
            <w:tcW w:w="1870" w:type="dxa"/>
            <w:vAlign w:val="center"/>
          </w:tcPr>
          <w:p w14:paraId="4C6F6BEF" w14:textId="249905EE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41.27 ± 1.5</w:t>
            </w:r>
          </w:p>
        </w:tc>
        <w:tc>
          <w:tcPr>
            <w:tcW w:w="1870" w:type="dxa"/>
            <w:vAlign w:val="center"/>
          </w:tcPr>
          <w:p w14:paraId="698C85B1" w14:textId="1D8552E8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39.12–43.42</w:t>
            </w:r>
          </w:p>
        </w:tc>
        <w:tc>
          <w:tcPr>
            <w:tcW w:w="1870" w:type="dxa"/>
            <w:vAlign w:val="center"/>
          </w:tcPr>
          <w:p w14:paraId="4EF1B749" w14:textId="1ECA40C9" w:rsidR="008515D0" w:rsidRPr="008515D0" w:rsidRDefault="008515D0" w:rsidP="00851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15D0">
              <w:rPr>
                <w:rFonts w:ascii="Times New Roman" w:hAnsi="Times New Roman" w:cs="Times New Roman"/>
              </w:rPr>
              <w:t>0.98</w:t>
            </w:r>
          </w:p>
        </w:tc>
      </w:tr>
    </w:tbl>
    <w:p w14:paraId="645AC2EE" w14:textId="77777777" w:rsidR="008515D0" w:rsidRPr="008515D0" w:rsidRDefault="008515D0" w:rsidP="008515D0">
      <w:pPr>
        <w:rPr>
          <w:rFonts w:ascii="Times New Roman" w:hAnsi="Times New Roman" w:cs="Times New Roman"/>
          <w:b/>
          <w:bCs/>
        </w:rPr>
      </w:pPr>
    </w:p>
    <w:sectPr w:rsidR="008515D0" w:rsidRPr="00851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4520"/>
    <w:multiLevelType w:val="hybridMultilevel"/>
    <w:tmpl w:val="2B0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12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0B"/>
    <w:rsid w:val="000352D0"/>
    <w:rsid w:val="000355B0"/>
    <w:rsid w:val="000B2C4B"/>
    <w:rsid w:val="002B6D03"/>
    <w:rsid w:val="00310599"/>
    <w:rsid w:val="003504CE"/>
    <w:rsid w:val="00516B00"/>
    <w:rsid w:val="008515D0"/>
    <w:rsid w:val="00CC3A0B"/>
    <w:rsid w:val="00D16DDB"/>
    <w:rsid w:val="00FC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CCA1F"/>
  <w15:chartTrackingRefBased/>
  <w15:docId w15:val="{C58D3206-C02A-4ED7-BB32-86BE6CDB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A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A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A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A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A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A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A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A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A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A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A0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16B00"/>
    <w:rPr>
      <w:b/>
      <w:bCs/>
    </w:rPr>
  </w:style>
  <w:style w:type="table" w:styleId="TableGrid">
    <w:name w:val="Table Grid"/>
    <w:basedOn w:val="TableNormal"/>
    <w:uiPriority w:val="39"/>
    <w:rsid w:val="0085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하룬무하마드</dc:creator>
  <cp:keywords/>
  <dc:description/>
  <cp:lastModifiedBy>하룬무하마드</cp:lastModifiedBy>
  <cp:revision>7</cp:revision>
  <dcterms:created xsi:type="dcterms:W3CDTF">2025-04-01T09:41:00Z</dcterms:created>
  <dcterms:modified xsi:type="dcterms:W3CDTF">2025-04-01T09:51:00Z</dcterms:modified>
</cp:coreProperties>
</file>