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E07BD3" w14:textId="52376B71" w:rsidR="00401646" w:rsidRDefault="004C472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</w:pP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 xml:space="preserve">Table </w:t>
      </w:r>
      <w:r w:rsidR="00D2081B">
        <w:rPr>
          <w:rFonts w:ascii="Times New Roman" w:eastAsia="SimSun" w:hAnsi="Times New Roman" w:cs="Times New Roman"/>
          <w:b/>
          <w:bCs/>
          <w:color w:val="000000"/>
          <w:kern w:val="0"/>
          <w:szCs w:val="21"/>
        </w:rPr>
        <w:t>S</w:t>
      </w:r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 xml:space="preserve">1 General </w:t>
      </w:r>
      <w:proofErr w:type="gramStart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>principle</w:t>
      </w:r>
      <w:proofErr w:type="gramEnd"/>
      <w:r>
        <w:rPr>
          <w:rFonts w:ascii="Times New Roman" w:eastAsia="SimSun" w:hAnsi="Times New Roman" w:cs="Times New Roman" w:hint="eastAsia"/>
          <w:b/>
          <w:bCs/>
          <w:color w:val="000000"/>
          <w:kern w:val="0"/>
          <w:szCs w:val="21"/>
        </w:rPr>
        <w:t xml:space="preserve"> and individual treatments during our ECPR</w:t>
      </w:r>
    </w:p>
    <w:tbl>
      <w:tblPr>
        <w:tblStyle w:val="TableGrid"/>
        <w:tblW w:w="8522" w:type="dxa"/>
        <w:tblLayout w:type="fixed"/>
        <w:tblLook w:val="04A0" w:firstRow="1" w:lastRow="0" w:firstColumn="1" w:lastColumn="0" w:noHBand="0" w:noVBand="1"/>
      </w:tblPr>
      <w:tblGrid>
        <w:gridCol w:w="2207"/>
        <w:gridCol w:w="6315"/>
      </w:tblGrid>
      <w:tr w:rsidR="00401646" w14:paraId="600830C4" w14:textId="77777777">
        <w:tc>
          <w:tcPr>
            <w:tcW w:w="2207" w:type="dxa"/>
          </w:tcPr>
          <w:p w14:paraId="50FB1C8D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</w:rPr>
              <w:t>General principle</w:t>
            </w:r>
          </w:p>
        </w:tc>
        <w:tc>
          <w:tcPr>
            <w:tcW w:w="6315" w:type="dxa"/>
          </w:tcPr>
          <w:p w14:paraId="4C833154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b/>
                <w:bCs/>
                <w:color w:val="000000"/>
                <w:kern w:val="0"/>
                <w:szCs w:val="21"/>
              </w:rPr>
              <w:t>Individual treatments</w:t>
            </w:r>
          </w:p>
        </w:tc>
      </w:tr>
      <w:tr w:rsidR="00401646" w14:paraId="5F10AD00" w14:textId="77777777">
        <w:tc>
          <w:tcPr>
            <w:tcW w:w="2207" w:type="dxa"/>
            <w:vAlign w:val="center"/>
          </w:tcPr>
          <w:p w14:paraId="3543B375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Timely treatment of underlying causes</w:t>
            </w:r>
          </w:p>
        </w:tc>
        <w:tc>
          <w:tcPr>
            <w:tcW w:w="6315" w:type="dxa"/>
          </w:tcPr>
          <w:p w14:paraId="01486AB2" w14:textId="387DC90E" w:rsidR="00401646" w:rsidRDefault="004C4724">
            <w:pPr>
              <w:widowControl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In case of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acute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myocardial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infarction: prompt percutaneous coronary intervention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under ECPR support.</w:t>
            </w:r>
          </w:p>
          <w:p w14:paraId="5231E450" w14:textId="14991987" w:rsidR="00401646" w:rsidRDefault="004C4724">
            <w:pPr>
              <w:widowControl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In case of acute fulminant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myocarditis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: anti-oxidation (Vitamin C 15 mg/kg, </w:t>
            </w:r>
            <w:proofErr w:type="gram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iv</w:t>
            </w:r>
            <w:proofErr w:type="gramEnd"/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drip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QD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over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week), suppressing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myocardial edema (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ethylprednisolone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5-10mg/kg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iv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drip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QD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over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three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days, then gradually halve to discontinuation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 antiviral agents (oseltamivir, etc.).</w:t>
            </w:r>
          </w:p>
        </w:tc>
      </w:tr>
      <w:tr w:rsidR="00401646" w14:paraId="4E9DD9B2" w14:textId="77777777">
        <w:tc>
          <w:tcPr>
            <w:tcW w:w="2207" w:type="dxa"/>
            <w:vAlign w:val="center"/>
          </w:tcPr>
          <w:p w14:paraId="1DC9B96F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B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rain protection</w:t>
            </w:r>
          </w:p>
        </w:tc>
        <w:tc>
          <w:tcPr>
            <w:tcW w:w="6315" w:type="dxa"/>
          </w:tcPr>
          <w:p w14:paraId="5EDBA865" w14:textId="765C1248" w:rsidR="00401646" w:rsidRDefault="004C4724">
            <w:pPr>
              <w:widowControl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Mannitol dehydration if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the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increased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intracranial pressure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is manifested. Usage: 0.5-1 g/kg </w:t>
            </w:r>
            <w:proofErr w:type="gram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iv</w:t>
            </w:r>
            <w:proofErr w:type="gramEnd"/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drip q8h over 3-6 days.</w:t>
            </w:r>
          </w:p>
          <w:p w14:paraId="2BD81910" w14:textId="6CC4DABD" w:rsidR="00401646" w:rsidRDefault="004C4724">
            <w:pPr>
              <w:widowControl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Mild hypothermia therapy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using ECMO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s thermoregulation system. Maintain the tank temperature at 35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℃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for 48 hours and later at 37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℃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  <w:p w14:paraId="1C4643A5" w14:textId="5F210A0D" w:rsidR="00401646" w:rsidRDefault="004C4724">
            <w:pPr>
              <w:widowControl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Adequate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edation and analgesia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Maintain early 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eep sedation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with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Critical Care Pain Observation Tool (CPOT)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at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two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or 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ower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and Richmond Agitation Sedation Scale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(RASS)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-3 or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more down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which lasts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for 3 to 4 days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to prevent convulsion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 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hallow sedation and analgesia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still required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later.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ommonly used drugs include </w:t>
            </w:r>
            <w:r w:rsidRPr="004C4724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remifentanil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 dextromethorphan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and clomiphene citrate.</w:t>
            </w:r>
          </w:p>
        </w:tc>
      </w:tr>
      <w:tr w:rsidR="00401646" w14:paraId="6E77A3D9" w14:textId="77777777">
        <w:tc>
          <w:tcPr>
            <w:tcW w:w="2207" w:type="dxa"/>
            <w:vAlign w:val="center"/>
          </w:tcPr>
          <w:p w14:paraId="18B569D1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Blood control</w:t>
            </w:r>
          </w:p>
        </w:tc>
        <w:tc>
          <w:tcPr>
            <w:tcW w:w="6315" w:type="dxa"/>
          </w:tcPr>
          <w:p w14:paraId="02A93CD7" w14:textId="55D342C1" w:rsidR="00401646" w:rsidRDefault="004C4724">
            <w:pPr>
              <w:widowControl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Maintaining 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arget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mean artery pressure (MAP).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ontrol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MAP at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65 to 70mmHg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ECMO flow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60 to 80ml/kg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, and a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relatively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normal preload defined by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ultrasonic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devices</w:t>
            </w:r>
            <w:r w:rsidR="009C10D3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at the bedside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  <w:p w14:paraId="318FA347" w14:textId="068E1E5D" w:rsidR="00401646" w:rsidRDefault="004C4724">
            <w:pPr>
              <w:widowControl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Coping with blood advection flows.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If the heart does not contract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leading to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advection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for more than 2 hours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 cardiac stimulants (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dobutamine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 epinephrine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or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l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evosimendan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) are administered to maintain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pulsatile blood flow, 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maintain the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essential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electrophysiological activity of the myocardium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and prevent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intraventricular thrombosis. Balloon pumping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considered when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the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pulsatile blood flow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is hard to gain with heavy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cardiac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afterload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. </w:t>
            </w:r>
          </w:p>
        </w:tc>
      </w:tr>
      <w:tr w:rsidR="00401646" w14:paraId="7DEB9C4F" w14:textId="77777777">
        <w:tc>
          <w:tcPr>
            <w:tcW w:w="2207" w:type="dxa"/>
            <w:vAlign w:val="center"/>
          </w:tcPr>
          <w:p w14:paraId="7ED5B07E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Stabilization of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lastRenderedPageBreak/>
              <w:t>homeostasis</w:t>
            </w:r>
          </w:p>
        </w:tc>
        <w:tc>
          <w:tcPr>
            <w:tcW w:w="6315" w:type="dxa"/>
          </w:tcPr>
          <w:p w14:paraId="66E0CAEE" w14:textId="152F9BC5" w:rsidR="00401646" w:rsidRDefault="004C4724">
            <w:pPr>
              <w:widowControl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lastRenderedPageBreak/>
              <w:t xml:space="preserve">Dynamical bedside blood gas analysis (BGS). BGS is monitored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lastRenderedPageBreak/>
              <w:t>every 1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–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2 hours to frame the internal environment status. Homeostasis is maintained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through fluid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infusion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,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medication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and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blood purification.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 negative liquid balance is allowed once the internal environment is relatively stabilized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with the blood lactic acid decreasing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</w:p>
          <w:p w14:paraId="58D601B9" w14:textId="39500CC1" w:rsidR="00401646" w:rsidRDefault="004C4724">
            <w:pPr>
              <w:widowControl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Blood component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transfusion to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correct anemia, thrombocytopenia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and coagulation disorders.</w:t>
            </w:r>
          </w:p>
          <w:p w14:paraId="250CFA50" w14:textId="1F579E71" w:rsidR="00401646" w:rsidRDefault="004C4724">
            <w:pPr>
              <w:widowControl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Supplement of albumin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 Human albumin injection 10g iv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drip q8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 for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adults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and 10g iv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drip q12h for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the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child, both over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seven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days,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to maintain normal albumin levels and alleviate organ edema.</w:t>
            </w:r>
          </w:p>
        </w:tc>
      </w:tr>
      <w:tr w:rsidR="00401646" w14:paraId="7A0DA213" w14:textId="77777777">
        <w:tc>
          <w:tcPr>
            <w:tcW w:w="2207" w:type="dxa"/>
            <w:vAlign w:val="center"/>
          </w:tcPr>
          <w:p w14:paraId="52D88D51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lastRenderedPageBreak/>
              <w:t>Fluid management</w:t>
            </w:r>
          </w:p>
        </w:tc>
        <w:tc>
          <w:tcPr>
            <w:tcW w:w="6315" w:type="dxa"/>
          </w:tcPr>
          <w:p w14:paraId="58B237C3" w14:textId="4CB243C0" w:rsidR="00401646" w:rsidRDefault="004C4724">
            <w:pPr>
              <w:widowControl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Early appropriate relaxation of fluid. For the first 24 to 48 hours of ECPR, 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the fluid can be appropriately relaxed to keep </w:t>
            </w:r>
            <w:r w:rsidR="00BF73B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ECMO smoothly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,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maintain 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internal environmental stability, and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administer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vital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medication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  <w:p w14:paraId="48121DCA" w14:textId="57D182A9" w:rsidR="00401646" w:rsidRDefault="004C4724">
            <w:pPr>
              <w:widowControl/>
              <w:numPr>
                <w:ilvl w:val="0"/>
                <w:numId w:val="5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Later appropriate restriction of fluid. Negative fluid balance is required when the patient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gains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 relatively stable condition, which can be judged by indicators as follows: the reduction of vasoactive drugs, the climbing of oxygenation index, the continuous decline of blood lactic acid, and the decrease of central venous-to-arterial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partial pressure difference of blood carbon dioxide [P(cv-a)CO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]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  <w:vertAlign w:val="subscript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under the same ECMO parameters.</w:t>
            </w:r>
          </w:p>
        </w:tc>
      </w:tr>
      <w:tr w:rsidR="00401646" w14:paraId="204777D9" w14:textId="77777777">
        <w:tc>
          <w:tcPr>
            <w:tcW w:w="2207" w:type="dxa"/>
            <w:vAlign w:val="center"/>
          </w:tcPr>
          <w:p w14:paraId="0CB8CB99" w14:textId="66DB69C0" w:rsidR="00401646" w:rsidRDefault="004C4724" w:rsidP="000621E2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Close monitoring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of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blood coagulation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  <w:bookmarkStart w:id="0" w:name="_GoBack"/>
            <w:bookmarkEnd w:id="0"/>
          </w:p>
        </w:tc>
        <w:tc>
          <w:tcPr>
            <w:tcW w:w="6315" w:type="dxa"/>
          </w:tcPr>
          <w:p w14:paraId="28675C2A" w14:textId="03FC01EE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The target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value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for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ctivated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lotting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ime (ACT)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is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180–220 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econds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and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activated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partial thromboplastin time (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APTT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)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is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45–60 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econds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 Both of these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can be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modulated at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the lower limit of the target value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when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bleeding tendency or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heartbeat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is presented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U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nfractionated heparin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is used with an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initial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dosage of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15u/kg,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which is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adjusted according to the target value to prevent ECMO pipeline or pulmonary membrane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thrombopoiesis</w:t>
            </w:r>
            <w:proofErr w:type="spellEnd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and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obstruction.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rotamine neutralization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or plasma transfusion is required when ACT or APTT is monitored as 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xcess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ively high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. </w:t>
            </w:r>
          </w:p>
        </w:tc>
      </w:tr>
      <w:tr w:rsidR="00401646" w14:paraId="4D1404C1" w14:textId="77777777">
        <w:tc>
          <w:tcPr>
            <w:tcW w:w="2207" w:type="dxa"/>
            <w:vAlign w:val="center"/>
          </w:tcPr>
          <w:p w14:paraId="70CD8956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Airway management</w:t>
            </w:r>
          </w:p>
        </w:tc>
        <w:tc>
          <w:tcPr>
            <w:tcW w:w="6315" w:type="dxa"/>
          </w:tcPr>
          <w:p w14:paraId="181A895A" w14:textId="64C994DB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Bedside chest radiographs are reviewed dynamically to detect lung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disorders, such as lung atelectasis. The sputum plugs or blood scabs should be removed by </w:t>
            </w:r>
            <w:proofErr w:type="spellStart"/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broncho</w:t>
            </w:r>
            <w:proofErr w:type="spellEnd"/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-fibro scope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to prevent airway obstruction, atelectasis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and bacterial growth.</w:t>
            </w:r>
          </w:p>
        </w:tc>
      </w:tr>
      <w:tr w:rsidR="00401646" w14:paraId="40608FA3" w14:textId="77777777">
        <w:tc>
          <w:tcPr>
            <w:tcW w:w="2207" w:type="dxa"/>
            <w:vAlign w:val="center"/>
          </w:tcPr>
          <w:p w14:paraId="14074FC2" w14:textId="2A2A4353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Dynamic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multi-disciplinary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reatment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(MDT)</w:t>
            </w:r>
          </w:p>
        </w:tc>
        <w:tc>
          <w:tcPr>
            <w:tcW w:w="6315" w:type="dxa"/>
          </w:tcPr>
          <w:p w14:paraId="778B91AD" w14:textId="75E2C36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Establish an instant messaging group (IMG)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consisting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of nursing staff, and attending</w:t>
            </w:r>
            <w:r w:rsidR="005E1EF8"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on-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duty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and multidisciplinary doctors. The patient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’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s data will be regularly, or at any time when the dramatic change occurs, fed back in the IMG. The multi-disciplinary doctors will review, discuss the data, and put forward professional consultation to timely modulate the treatment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regimen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, followed by another round of plan-do-check-action (PDCA) circle.</w:t>
            </w:r>
          </w:p>
        </w:tc>
      </w:tr>
      <w:tr w:rsidR="00401646" w14:paraId="1104A626" w14:textId="77777777">
        <w:tc>
          <w:tcPr>
            <w:tcW w:w="2207" w:type="dxa"/>
            <w:vAlign w:val="center"/>
          </w:tcPr>
          <w:p w14:paraId="5373285F" w14:textId="77777777" w:rsidR="00401646" w:rsidRDefault="004C4724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Support and rehabilitation</w:t>
            </w:r>
          </w:p>
        </w:tc>
        <w:tc>
          <w:tcPr>
            <w:tcW w:w="6315" w:type="dxa"/>
          </w:tcPr>
          <w:p w14:paraId="03E09B48" w14:textId="07E25A62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Immune boosting with </w:t>
            </w:r>
            <w:r w:rsidR="00260820" w:rsidRP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intravenous immunoglobulin (IVIG) 0.4 g/kg QD administration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.</w:t>
            </w:r>
          </w:p>
          <w:p w14:paraId="5AB1D9AB" w14:textId="77777777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Anti-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bacterial.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Use broad-spectrum antibiotics early, and adjust antibiotics according to drug sensitivity results and infection indicators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such as </w:t>
            </w:r>
            <w:proofErr w:type="spellStart"/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procalcitonin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.</w:t>
            </w:r>
          </w:p>
          <w:p w14:paraId="73F85E05" w14:textId="34F4E643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Organ functionality protection using blood purification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techniques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like CRRT.</w:t>
            </w:r>
          </w:p>
          <w:p w14:paraId="1A3BCB0C" w14:textId="77777777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Prevention of stress ulcer bleeding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using proton pump inhibitors (PPI).</w:t>
            </w:r>
          </w:p>
          <w:p w14:paraId="02E94E20" w14:textId="77777777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Early enteral nutrition support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using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pumped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total nutrient admixture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to reduce gastric retention.</w:t>
            </w:r>
          </w:p>
          <w:p w14:paraId="4B66CF08" w14:textId="24DED48E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aily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assessment of the general condition and </w:t>
            </w:r>
            <w:r w:rsidR="00260820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removing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the invasive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device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>or</w:t>
            </w: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 xml:space="preserve"> catheterization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as early as possible.</w:t>
            </w:r>
          </w:p>
          <w:p w14:paraId="42214298" w14:textId="47B291F3" w:rsidR="00401646" w:rsidRDefault="004C4724">
            <w:pPr>
              <w:widowControl/>
              <w:numPr>
                <w:ilvl w:val="0"/>
                <w:numId w:val="6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Early physical exercise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 w:rsidR="005E1EF8">
              <w:rPr>
                <w:rFonts w:ascii="Times New Roman" w:eastAsia="SimSun" w:hAnsi="Times New Roman" w:cs="Times New Roman"/>
                <w:color w:val="000000"/>
                <w:kern w:val="0"/>
                <w:szCs w:val="21"/>
              </w:rPr>
              <w:t>in</w:t>
            </w: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Cs w:val="21"/>
              </w:rPr>
              <w:t xml:space="preserve"> bed.</w:t>
            </w:r>
          </w:p>
        </w:tc>
      </w:tr>
    </w:tbl>
    <w:p w14:paraId="7A66CCFA" w14:textId="3B28615E" w:rsidR="00401646" w:rsidRDefault="004C472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eastAsia="SimSun" w:hAnsi="Times New Roman" w:cs="Times New Roman"/>
          <w:color w:val="000000"/>
          <w:kern w:val="0"/>
          <w:szCs w:val="21"/>
        </w:rPr>
      </w:pP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 xml:space="preserve">Drug doses are administrated following the package insert if not </w:t>
      </w:r>
      <w:r w:rsidR="00260820">
        <w:rPr>
          <w:rFonts w:ascii="Times New Roman" w:eastAsia="SimSun" w:hAnsi="Times New Roman" w:cs="Times New Roman"/>
          <w:color w:val="000000"/>
          <w:kern w:val="0"/>
          <w:szCs w:val="21"/>
        </w:rPr>
        <w:t>explicitly mentioned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 xml:space="preserve"> in this Table. </w:t>
      </w:r>
      <w:proofErr w:type="gramStart"/>
      <w:r w:rsidR="005E1EF8">
        <w:rPr>
          <w:rFonts w:ascii="Times New Roman" w:eastAsia="SimSun" w:hAnsi="Times New Roman" w:cs="Times New Roman"/>
          <w:color w:val="000000"/>
          <w:kern w:val="0"/>
          <w:szCs w:val="21"/>
        </w:rPr>
        <w:t>g/kg</w:t>
      </w:r>
      <w:proofErr w:type="gramEnd"/>
      <w:r w:rsidR="005E1EF8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or mg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>/kg,</w:t>
      </w:r>
      <w:r w:rsidR="005E1EF8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 gram or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 xml:space="preserve"> </w:t>
      </w:r>
      <w:r w:rsidR="005E1EF8">
        <w:rPr>
          <w:rFonts w:ascii="Times New Roman" w:eastAsia="SimSun" w:hAnsi="Times New Roman" w:cs="Times New Roman"/>
          <w:color w:val="000000"/>
          <w:kern w:val="0"/>
          <w:szCs w:val="21"/>
        </w:rPr>
        <w:t xml:space="preserve">milligram </w:t>
      </w:r>
      <w:r>
        <w:rPr>
          <w:rFonts w:ascii="Times New Roman" w:eastAsia="SimSun" w:hAnsi="Times New Roman" w:cs="Times New Roman" w:hint="eastAsia"/>
          <w:color w:val="000000"/>
          <w:kern w:val="0"/>
          <w:szCs w:val="21"/>
        </w:rPr>
        <w:t>per kilo of body weight.</w:t>
      </w:r>
    </w:p>
    <w:sectPr w:rsidR="00401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C0D588B"/>
    <w:multiLevelType w:val="singleLevel"/>
    <w:tmpl w:val="9C0D588B"/>
    <w:lvl w:ilvl="0">
      <w:start w:val="1"/>
      <w:numFmt w:val="lowerLetter"/>
      <w:suff w:val="space"/>
      <w:lvlText w:val="%1."/>
      <w:lvlJc w:val="left"/>
    </w:lvl>
  </w:abstractNum>
  <w:abstractNum w:abstractNumId="1" w15:restartNumberingAfterBreak="0">
    <w:nsid w:val="B876EFE7"/>
    <w:multiLevelType w:val="singleLevel"/>
    <w:tmpl w:val="B876EFE7"/>
    <w:lvl w:ilvl="0">
      <w:start w:val="1"/>
      <w:numFmt w:val="lowerLetter"/>
      <w:suff w:val="space"/>
      <w:lvlText w:val="%1."/>
      <w:lvlJc w:val="left"/>
    </w:lvl>
  </w:abstractNum>
  <w:abstractNum w:abstractNumId="2" w15:restartNumberingAfterBreak="0">
    <w:nsid w:val="C2274F89"/>
    <w:multiLevelType w:val="singleLevel"/>
    <w:tmpl w:val="C2274F89"/>
    <w:lvl w:ilvl="0">
      <w:start w:val="1"/>
      <w:numFmt w:val="lowerLetter"/>
      <w:suff w:val="space"/>
      <w:lvlText w:val="%1."/>
      <w:lvlJc w:val="left"/>
    </w:lvl>
  </w:abstractNum>
  <w:abstractNum w:abstractNumId="3" w15:restartNumberingAfterBreak="0">
    <w:nsid w:val="1913E123"/>
    <w:multiLevelType w:val="singleLevel"/>
    <w:tmpl w:val="1913E123"/>
    <w:lvl w:ilvl="0">
      <w:start w:val="1"/>
      <w:numFmt w:val="lowerLetter"/>
      <w:suff w:val="space"/>
      <w:lvlText w:val="%1."/>
      <w:lvlJc w:val="left"/>
    </w:lvl>
  </w:abstractNum>
  <w:abstractNum w:abstractNumId="4" w15:restartNumberingAfterBreak="0">
    <w:nsid w:val="5B7C0F6B"/>
    <w:multiLevelType w:val="singleLevel"/>
    <w:tmpl w:val="5B7C0F6B"/>
    <w:lvl w:ilvl="0">
      <w:start w:val="1"/>
      <w:numFmt w:val="lowerLetter"/>
      <w:suff w:val="space"/>
      <w:lvlText w:val="%1."/>
      <w:lvlJc w:val="left"/>
    </w:lvl>
  </w:abstractNum>
  <w:abstractNum w:abstractNumId="5" w15:restartNumberingAfterBreak="0">
    <w:nsid w:val="6BA731EE"/>
    <w:multiLevelType w:val="singleLevel"/>
    <w:tmpl w:val="6BA731EE"/>
    <w:lvl w:ilvl="0">
      <w:start w:val="1"/>
      <w:numFmt w:val="lowerLetter"/>
      <w:suff w:val="space"/>
      <w:lvlText w:val="%1."/>
      <w:lvlJc w:val="left"/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0NzYzNjI2NrM0MjNT0lEKTi0uzszPAykwrAUAde/LnCwAAAA="/>
    <w:docVar w:name="commondata" w:val="eyJoZGlkIjoiN2YzNjBkOTgyNWQ1YTMxYzM3MzMwNWFiODNmOWIzYWMifQ=="/>
  </w:docVars>
  <w:rsids>
    <w:rsidRoot w:val="00172A27"/>
    <w:rsid w:val="000621E2"/>
    <w:rsid w:val="00172A27"/>
    <w:rsid w:val="00260820"/>
    <w:rsid w:val="00401646"/>
    <w:rsid w:val="004C4724"/>
    <w:rsid w:val="005E1EF8"/>
    <w:rsid w:val="00916336"/>
    <w:rsid w:val="009C10D3"/>
    <w:rsid w:val="00BF73B0"/>
    <w:rsid w:val="00D2081B"/>
    <w:rsid w:val="01950519"/>
    <w:rsid w:val="035A3663"/>
    <w:rsid w:val="038D2327"/>
    <w:rsid w:val="06AA50C2"/>
    <w:rsid w:val="0862558E"/>
    <w:rsid w:val="0AA06713"/>
    <w:rsid w:val="0C4C4061"/>
    <w:rsid w:val="0E5367C8"/>
    <w:rsid w:val="0ED35D6E"/>
    <w:rsid w:val="120942FB"/>
    <w:rsid w:val="13603AB1"/>
    <w:rsid w:val="151B3C71"/>
    <w:rsid w:val="160657A9"/>
    <w:rsid w:val="16445CD2"/>
    <w:rsid w:val="1A3D31F8"/>
    <w:rsid w:val="1A920E2C"/>
    <w:rsid w:val="1E2C3EAA"/>
    <w:rsid w:val="1EB825FC"/>
    <w:rsid w:val="1F2408BD"/>
    <w:rsid w:val="1F975EB9"/>
    <w:rsid w:val="20C063F4"/>
    <w:rsid w:val="210867CC"/>
    <w:rsid w:val="21933C04"/>
    <w:rsid w:val="22782CFE"/>
    <w:rsid w:val="229740DB"/>
    <w:rsid w:val="252B795B"/>
    <w:rsid w:val="272100D9"/>
    <w:rsid w:val="28BE7917"/>
    <w:rsid w:val="297C7C19"/>
    <w:rsid w:val="29FF49E3"/>
    <w:rsid w:val="31D03D26"/>
    <w:rsid w:val="328D2825"/>
    <w:rsid w:val="344C24D0"/>
    <w:rsid w:val="35306BBE"/>
    <w:rsid w:val="360362E5"/>
    <w:rsid w:val="364546AE"/>
    <w:rsid w:val="37C73636"/>
    <w:rsid w:val="3AE31E60"/>
    <w:rsid w:val="3B426005"/>
    <w:rsid w:val="3B745DFF"/>
    <w:rsid w:val="3E236B16"/>
    <w:rsid w:val="3EBE0C82"/>
    <w:rsid w:val="3F577E93"/>
    <w:rsid w:val="43521CA7"/>
    <w:rsid w:val="4E7804F6"/>
    <w:rsid w:val="4EDC27D7"/>
    <w:rsid w:val="4F381814"/>
    <w:rsid w:val="4F471032"/>
    <w:rsid w:val="51590A5F"/>
    <w:rsid w:val="51D40137"/>
    <w:rsid w:val="53CA4D10"/>
    <w:rsid w:val="55FA2F40"/>
    <w:rsid w:val="57217001"/>
    <w:rsid w:val="57E45EA9"/>
    <w:rsid w:val="5973378A"/>
    <w:rsid w:val="59944516"/>
    <w:rsid w:val="5A953747"/>
    <w:rsid w:val="5B8F57B1"/>
    <w:rsid w:val="5ECC0E9C"/>
    <w:rsid w:val="5F7C4FBA"/>
    <w:rsid w:val="5F9A7134"/>
    <w:rsid w:val="5FB97A1D"/>
    <w:rsid w:val="60717033"/>
    <w:rsid w:val="617E35D7"/>
    <w:rsid w:val="62F82735"/>
    <w:rsid w:val="652528F6"/>
    <w:rsid w:val="66EB382D"/>
    <w:rsid w:val="67850E77"/>
    <w:rsid w:val="67A14061"/>
    <w:rsid w:val="6A3405DC"/>
    <w:rsid w:val="6A6962D9"/>
    <w:rsid w:val="6ACA5E1A"/>
    <w:rsid w:val="6B90712B"/>
    <w:rsid w:val="6E650A4F"/>
    <w:rsid w:val="70344062"/>
    <w:rsid w:val="7587475D"/>
    <w:rsid w:val="76E56501"/>
    <w:rsid w:val="77D76E0F"/>
    <w:rsid w:val="7B04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E358FB"/>
  <w15:docId w15:val="{3BC53A72-4BF0-4AB0-850D-EF6F1C5F9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794</Words>
  <Characters>4531</Characters>
  <Application>Microsoft Office Word</Application>
  <DocSecurity>0</DocSecurity>
  <Lines>37</Lines>
  <Paragraphs>10</Paragraphs>
  <ScaleCrop>false</ScaleCrop>
  <Company/>
  <LinksUpToDate>false</LinksUpToDate>
  <CharactersWithSpaces>5315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胡林辉</dc:creator>
  <cp:lastModifiedBy>Jini Mol</cp:lastModifiedBy>
  <cp:revision>7</cp:revision>
  <dcterms:created xsi:type="dcterms:W3CDTF">2022-05-15T21:37:00Z</dcterms:created>
  <dcterms:modified xsi:type="dcterms:W3CDTF">2022-05-23T06:21:00Z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42622EB417BF44D19E963FEEB91BADBC</vt:lpwstr>
  </property>
</Properties>
</file>