
<file path=[Content_Types].xml><?xml version="1.0" encoding="utf-8"?>
<Types xmlns="http://schemas.openxmlformats.org/package/2006/content-types">
  <Default Extension="emf" ContentType="image/x-emf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02026" w14:textId="4BA71537" w:rsidR="0045442D" w:rsidRPr="009B0794" w:rsidRDefault="0045442D" w:rsidP="00E750EE">
      <w:pPr>
        <w:spacing w:line="276" w:lineRule="auto"/>
        <w:rPr>
          <w:rFonts w:ascii="Times New Roman" w:hAnsi="Times New Roman" w:cs="Times New Roman"/>
          <w:b/>
          <w:sz w:val="24"/>
        </w:rPr>
      </w:pPr>
      <w:r w:rsidRPr="009B0794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63E5AF27" wp14:editId="45AF7D8B">
            <wp:extent cx="5270500" cy="52070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20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C3D88" w14:textId="32C6CA6A" w:rsidR="00E750EE" w:rsidRPr="009B0794" w:rsidRDefault="00E750EE" w:rsidP="00E750EE">
      <w:pPr>
        <w:spacing w:line="276" w:lineRule="auto"/>
        <w:rPr>
          <w:rFonts w:ascii="Times New Roman" w:hAnsi="Times New Roman" w:cs="Times New Roman"/>
          <w:b/>
          <w:sz w:val="24"/>
        </w:rPr>
      </w:pPr>
      <w:r w:rsidRPr="009B0794">
        <w:rPr>
          <w:rFonts w:ascii="Times New Roman" w:hAnsi="Times New Roman" w:cs="Times New Roman"/>
          <w:b/>
          <w:sz w:val="24"/>
        </w:rPr>
        <w:t>Supplementary Figure S1. Study population flowchart.</w:t>
      </w:r>
    </w:p>
    <w:p w14:paraId="67B16751" w14:textId="044B6424" w:rsidR="00E750EE" w:rsidRPr="009B0794" w:rsidRDefault="00E750EE" w:rsidP="00E750EE">
      <w:pPr>
        <w:spacing w:line="276" w:lineRule="auto"/>
        <w:rPr>
          <w:rFonts w:ascii="Times New Roman" w:hAnsi="Times New Roman" w:cs="Times New Roman"/>
          <w:sz w:val="22"/>
        </w:rPr>
      </w:pPr>
      <w:bookmarkStart w:id="0" w:name="OLE_LINK3"/>
      <w:bookmarkStart w:id="1" w:name="OLE_LINK4"/>
      <w:r w:rsidRPr="009B0794">
        <w:rPr>
          <w:rFonts w:ascii="Times New Roman" w:hAnsi="Times New Roman" w:cs="Times New Roman"/>
          <w:sz w:val="22"/>
        </w:rPr>
        <w:t xml:space="preserve">Abbreviations: HR, hormone receptor; RS, </w:t>
      </w:r>
      <w:r w:rsidR="00854460" w:rsidRPr="009B0794">
        <w:rPr>
          <w:rFonts w:ascii="Times New Roman" w:hAnsi="Times New Roman"/>
        </w:rPr>
        <w:t xml:space="preserve">recurrence </w:t>
      </w:r>
      <w:r w:rsidRPr="009B0794">
        <w:rPr>
          <w:rFonts w:ascii="Times New Roman" w:hAnsi="Times New Roman" w:cs="Times New Roman"/>
          <w:sz w:val="22"/>
        </w:rPr>
        <w:t>score;</w:t>
      </w:r>
      <w:bookmarkStart w:id="2" w:name="OLE_LINK1"/>
      <w:bookmarkStart w:id="3" w:name="OLE_LINK2"/>
      <w:r w:rsidRPr="009B0794">
        <w:rPr>
          <w:rFonts w:ascii="Times New Roman" w:hAnsi="Times New Roman" w:cs="Times New Roman"/>
          <w:sz w:val="22"/>
        </w:rPr>
        <w:t xml:space="preserve"> IHC, immunohistochemistry.</w:t>
      </w:r>
      <w:bookmarkEnd w:id="2"/>
      <w:bookmarkEnd w:id="3"/>
    </w:p>
    <w:p w14:paraId="1BD57142" w14:textId="77777777" w:rsidR="00E750EE" w:rsidRPr="009B0794" w:rsidRDefault="00E750EE" w:rsidP="00E750EE">
      <w:pPr>
        <w:spacing w:line="276" w:lineRule="auto"/>
        <w:rPr>
          <w:rFonts w:ascii="Times New Roman" w:hAnsi="Times New Roman" w:cs="Times New Roman"/>
          <w:sz w:val="22"/>
        </w:rPr>
      </w:pPr>
    </w:p>
    <w:p w14:paraId="6666BADB" w14:textId="032BFCE3" w:rsidR="000F1710" w:rsidRPr="009B0794" w:rsidRDefault="000F1710">
      <w:pPr>
        <w:widowControl/>
        <w:jc w:val="left"/>
        <w:rPr>
          <w:rFonts w:ascii="Times New Roman" w:hAnsi="Times New Roman" w:cs="Times New Roman"/>
          <w:sz w:val="22"/>
        </w:rPr>
      </w:pPr>
      <w:r w:rsidRPr="009B0794">
        <w:rPr>
          <w:rFonts w:ascii="Times New Roman" w:hAnsi="Times New Roman" w:cs="Times New Roman"/>
          <w:sz w:val="22"/>
        </w:rPr>
        <w:br w:type="page"/>
      </w:r>
    </w:p>
    <w:p w14:paraId="4991516D" w14:textId="4AF2F9CF" w:rsidR="00E750EE" w:rsidRPr="009B0794" w:rsidRDefault="000F1710" w:rsidP="00E750EE">
      <w:pPr>
        <w:spacing w:line="276" w:lineRule="auto"/>
        <w:rPr>
          <w:rFonts w:ascii="Times New Roman" w:hAnsi="Times New Roman" w:cs="Times New Roman"/>
          <w:sz w:val="22"/>
        </w:rPr>
      </w:pPr>
      <w:r w:rsidRPr="009B0794">
        <w:rPr>
          <w:rFonts w:ascii="Times New Roman" w:hAnsi="Times New Roman"/>
          <w:noProof/>
        </w:rPr>
        <w:lastRenderedPageBreak/>
        <w:drawing>
          <wp:inline distT="0" distB="0" distL="0" distR="0" wp14:anchorId="1F733CF3" wp14:editId="13F79704">
            <wp:extent cx="5270500" cy="3572836"/>
            <wp:effectExtent l="0" t="0" r="0" b="0"/>
            <wp:docPr id="15" name="图片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0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572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64786" w14:textId="7CD2CAE6" w:rsidR="000F1710" w:rsidRPr="009B0794" w:rsidRDefault="000F1710" w:rsidP="00E750EE">
      <w:pPr>
        <w:spacing w:line="276" w:lineRule="auto"/>
        <w:rPr>
          <w:rFonts w:ascii="Times New Roman" w:hAnsi="Times New Roman" w:cs="Times New Roman"/>
          <w:sz w:val="22"/>
        </w:rPr>
      </w:pPr>
    </w:p>
    <w:p w14:paraId="58DFB69B" w14:textId="4889CDF8" w:rsidR="000F1710" w:rsidRPr="009B0794" w:rsidRDefault="000F1710" w:rsidP="000F1710">
      <w:pPr>
        <w:spacing w:line="480" w:lineRule="auto"/>
        <w:rPr>
          <w:rFonts w:ascii="Times New Roman" w:hAnsi="Times New Roman"/>
        </w:rPr>
      </w:pPr>
      <w:r w:rsidRPr="009B0794">
        <w:rPr>
          <w:rFonts w:ascii="Times New Roman" w:hAnsi="Times New Roman"/>
          <w:b/>
        </w:rPr>
        <w:t>Supplementary Figure S2. Single gene expression from 21-gene RS panel according to TIME markers.</w:t>
      </w:r>
      <w:r w:rsidRPr="009B0794">
        <w:rPr>
          <w:rFonts w:ascii="Times New Roman" w:hAnsi="Times New Roman"/>
          <w:b/>
          <w:bCs/>
        </w:rPr>
        <w:t xml:space="preserve"> </w:t>
      </w:r>
      <w:r w:rsidRPr="009B0794">
        <w:rPr>
          <w:rFonts w:ascii="Times New Roman" w:hAnsi="Times New Roman"/>
        </w:rPr>
        <w:t xml:space="preserve">The mRNA expression of genes in RS panel were tested by </w:t>
      </w:r>
      <w:proofErr w:type="spellStart"/>
      <w:r w:rsidRPr="009B0794">
        <w:rPr>
          <w:rFonts w:ascii="Times New Roman" w:hAnsi="Times New Roman"/>
        </w:rPr>
        <w:t>qRT</w:t>
      </w:r>
      <w:proofErr w:type="spellEnd"/>
      <w:r w:rsidRPr="009B0794">
        <w:rPr>
          <w:rFonts w:ascii="Times New Roman" w:hAnsi="Times New Roman"/>
        </w:rPr>
        <w:t xml:space="preserve">-PCR assay, measured by cycle threshold, </w:t>
      </w:r>
      <w:r w:rsidRPr="009B0794">
        <w:rPr>
          <w:rFonts w:ascii="Times New Roman" w:hAnsi="Times New Roman" w:hint="eastAsia"/>
        </w:rPr>
        <w:t>a</w:t>
      </w:r>
      <w:r w:rsidRPr="009B0794">
        <w:rPr>
          <w:rFonts w:ascii="Times New Roman" w:hAnsi="Times New Roman"/>
        </w:rPr>
        <w:t xml:space="preserve">djusted by endogenous genes β-actin, GAPDH, GUS, RPLPO, and TFRC, and recorded as </w:t>
      </w:r>
      <w:r w:rsidRPr="009B0794">
        <w:rPr>
          <w:rStyle w:val="Hyperlink0"/>
          <w:rFonts w:ascii="Times New Roman" w:hAnsi="Times New Roman" w:cs="Times New Roman"/>
        </w:rPr>
        <w:t>ΔC</w:t>
      </w:r>
      <w:r w:rsidRPr="009B0794">
        <w:rPr>
          <w:rFonts w:ascii="Times New Roman" w:hAnsi="Times New Roman"/>
          <w:vertAlign w:val="subscript"/>
        </w:rPr>
        <w:t>T</w:t>
      </w:r>
      <w:r w:rsidRPr="009B0794">
        <w:rPr>
          <w:rStyle w:val="Hyperlink0"/>
          <w:rFonts w:ascii="Times New Roman" w:hAnsi="Times New Roman" w:cs="Times New Roman"/>
        </w:rPr>
        <w:t>= C</w:t>
      </w:r>
      <w:r w:rsidRPr="009B0794">
        <w:rPr>
          <w:rFonts w:ascii="Times New Roman" w:hAnsi="Times New Roman"/>
          <w:vertAlign w:val="subscript"/>
        </w:rPr>
        <w:t>T</w:t>
      </w:r>
      <w:r w:rsidRPr="009B0794">
        <w:rPr>
          <w:rStyle w:val="Hyperlink0"/>
          <w:rFonts w:ascii="Times New Roman" w:hAnsi="Times New Roman" w:cs="Times New Roman"/>
        </w:rPr>
        <w:t xml:space="preserve"> </w:t>
      </w:r>
      <w:r w:rsidRPr="009B0794">
        <w:rPr>
          <w:rStyle w:val="a3"/>
          <w:rFonts w:ascii="Times New Roman" w:hAnsi="Times New Roman"/>
          <w:vertAlign w:val="subscript"/>
        </w:rPr>
        <w:t>Gene</w:t>
      </w:r>
      <w:r w:rsidRPr="009B0794">
        <w:rPr>
          <w:rStyle w:val="Hyperlink0"/>
          <w:rFonts w:ascii="Times New Roman" w:hAnsi="Times New Roman" w:cs="Times New Roman"/>
        </w:rPr>
        <w:t xml:space="preserve"> – C</w:t>
      </w:r>
      <w:r w:rsidRPr="009B0794">
        <w:rPr>
          <w:rFonts w:ascii="Times New Roman" w:hAnsi="Times New Roman"/>
          <w:vertAlign w:val="subscript"/>
        </w:rPr>
        <w:t>T</w:t>
      </w:r>
      <w:r w:rsidRPr="009B0794">
        <w:rPr>
          <w:rStyle w:val="Hyperlink0"/>
          <w:rFonts w:ascii="Times New Roman" w:hAnsi="Times New Roman" w:cs="Times New Roman"/>
        </w:rPr>
        <w:t xml:space="preserve"> </w:t>
      </w:r>
      <w:r w:rsidRPr="009B0794">
        <w:rPr>
          <w:rStyle w:val="a3"/>
          <w:rFonts w:ascii="Times New Roman" w:hAnsi="Times New Roman"/>
          <w:vertAlign w:val="subscript"/>
        </w:rPr>
        <w:t>Reference</w:t>
      </w:r>
      <w:r w:rsidRPr="009B0794">
        <w:rPr>
          <w:rStyle w:val="a3"/>
          <w:rFonts w:ascii="Times New Roman" w:hAnsi="Times New Roman"/>
        </w:rPr>
        <w:t xml:space="preserve">. </w:t>
      </w:r>
      <w:r w:rsidRPr="009B0794">
        <w:rPr>
          <w:rStyle w:val="Hyperlink0"/>
          <w:rFonts w:ascii="Times New Roman" w:hAnsi="Times New Roman" w:cs="Times New Roman"/>
        </w:rPr>
        <w:t>ΔC</w:t>
      </w:r>
      <w:r w:rsidRPr="009B0794">
        <w:rPr>
          <w:rFonts w:ascii="Times New Roman" w:hAnsi="Times New Roman"/>
          <w:vertAlign w:val="subscript"/>
        </w:rPr>
        <w:t>T</w:t>
      </w:r>
      <w:r w:rsidRPr="009B0794">
        <w:rPr>
          <w:rFonts w:ascii="Times New Roman" w:hAnsi="Times New Roman"/>
        </w:rPr>
        <w:t xml:space="preserve"> was compared using Kruskal-Wallis test to compare </w:t>
      </w:r>
      <w:r w:rsidRPr="009B0794">
        <w:rPr>
          <w:rStyle w:val="Hyperlink0"/>
          <w:rFonts w:ascii="Times New Roman" w:hAnsi="Times New Roman" w:cs="Times New Roman"/>
        </w:rPr>
        <w:t>ΔC</w:t>
      </w:r>
      <w:r w:rsidRPr="009B0794">
        <w:rPr>
          <w:rFonts w:ascii="Times New Roman" w:hAnsi="Times New Roman"/>
          <w:vertAlign w:val="subscript"/>
        </w:rPr>
        <w:t>T</w:t>
      </w:r>
      <w:r w:rsidRPr="009B0794">
        <w:rPr>
          <w:rFonts w:ascii="Times New Roman" w:hAnsi="Times New Roman"/>
        </w:rPr>
        <w:t xml:space="preserve"> by different TIME markers.</w:t>
      </w:r>
      <w:r w:rsidRPr="009B0794">
        <w:rPr>
          <w:rFonts w:ascii="Times New Roman" w:hAnsi="Times New Roman" w:hint="eastAsia"/>
        </w:rPr>
        <w:t xml:space="preserve"> </w:t>
      </w:r>
      <w:r w:rsidRPr="009B0794">
        <w:rPr>
          <w:rFonts w:ascii="Times New Roman" w:hAnsi="Times New Roman"/>
        </w:rPr>
        <w:t>*</w:t>
      </w:r>
      <w:r w:rsidRPr="009B0794">
        <w:rPr>
          <w:rFonts w:ascii="Times New Roman" w:hAnsi="Times New Roman"/>
          <w:i/>
          <w:iCs/>
        </w:rPr>
        <w:t xml:space="preserve">P </w:t>
      </w:r>
      <w:r w:rsidRPr="009B0794">
        <w:rPr>
          <w:rFonts w:ascii="Times New Roman" w:hAnsi="Times New Roman"/>
        </w:rPr>
        <w:t>&lt;0.05, **</w:t>
      </w:r>
      <w:r w:rsidRPr="009B0794">
        <w:rPr>
          <w:rFonts w:ascii="Times New Roman" w:hAnsi="Times New Roman"/>
          <w:i/>
          <w:iCs/>
        </w:rPr>
        <w:t xml:space="preserve"> P</w:t>
      </w:r>
      <w:r w:rsidRPr="009B0794">
        <w:rPr>
          <w:rFonts w:ascii="Times New Roman" w:hAnsi="Times New Roman"/>
        </w:rPr>
        <w:t xml:space="preserve"> &lt;0.01, ****</w:t>
      </w:r>
      <w:r w:rsidRPr="009B0794">
        <w:rPr>
          <w:rFonts w:ascii="Times New Roman" w:hAnsi="Times New Roman"/>
          <w:i/>
          <w:iCs/>
        </w:rPr>
        <w:t xml:space="preserve"> P</w:t>
      </w:r>
      <w:r w:rsidRPr="009B0794">
        <w:rPr>
          <w:rFonts w:ascii="Times New Roman" w:hAnsi="Times New Roman"/>
        </w:rPr>
        <w:t xml:space="preserve"> &lt;0.001, ****</w:t>
      </w:r>
      <w:r w:rsidRPr="009B0794">
        <w:rPr>
          <w:rFonts w:ascii="Times New Roman" w:hAnsi="Times New Roman"/>
          <w:i/>
          <w:iCs/>
        </w:rPr>
        <w:t xml:space="preserve"> P</w:t>
      </w:r>
      <w:r w:rsidRPr="009B0794">
        <w:rPr>
          <w:rFonts w:ascii="Times New Roman" w:hAnsi="Times New Roman"/>
        </w:rPr>
        <w:t xml:space="preserve"> &lt;0.0001.</w:t>
      </w:r>
    </w:p>
    <w:p w14:paraId="196D37B2" w14:textId="77777777" w:rsidR="000F1710" w:rsidRPr="009B0794" w:rsidRDefault="000F1710" w:rsidP="000F1710">
      <w:pPr>
        <w:spacing w:line="480" w:lineRule="auto"/>
        <w:rPr>
          <w:rFonts w:ascii="Times New Roman" w:hAnsi="Times New Roman"/>
        </w:rPr>
      </w:pPr>
      <w:r w:rsidRPr="009B0794">
        <w:rPr>
          <w:rFonts w:ascii="Times New Roman" w:hAnsi="Times New Roman"/>
        </w:rPr>
        <w:t>Abbreviations: TIL, tumor-infiltrating lymphocyte; C</w:t>
      </w:r>
      <w:r w:rsidRPr="009B0794">
        <w:rPr>
          <w:rFonts w:ascii="Times New Roman" w:hAnsi="Times New Roman"/>
          <w:vertAlign w:val="subscript"/>
        </w:rPr>
        <w:t>T</w:t>
      </w:r>
      <w:r w:rsidRPr="009B0794">
        <w:rPr>
          <w:rFonts w:ascii="Times New Roman" w:hAnsi="Times New Roman"/>
        </w:rPr>
        <w:t>, cycle threshold; HER2, human epidermal growth factor receptor-2; PD-L1, programmed cell death-ligand 1; RS, recurrence score; TIME, tumor immune microenvironment.</w:t>
      </w:r>
    </w:p>
    <w:p w14:paraId="3DBED6FC" w14:textId="77777777" w:rsidR="000F1710" w:rsidRPr="009B0794" w:rsidRDefault="000F1710" w:rsidP="00E750EE">
      <w:pPr>
        <w:spacing w:line="276" w:lineRule="auto"/>
        <w:rPr>
          <w:rFonts w:ascii="Times New Roman" w:hAnsi="Times New Roman" w:cs="Times New Roman"/>
          <w:sz w:val="22"/>
        </w:rPr>
      </w:pPr>
    </w:p>
    <w:p w14:paraId="01F6907E" w14:textId="77777777" w:rsidR="0045442D" w:rsidRPr="009B0794" w:rsidRDefault="0045442D">
      <w:pPr>
        <w:widowControl/>
        <w:jc w:val="left"/>
        <w:rPr>
          <w:rFonts w:ascii="Times New Roman" w:hAnsi="Times New Roman" w:cs="Times New Roman"/>
          <w:b/>
          <w:sz w:val="24"/>
        </w:rPr>
      </w:pPr>
      <w:r w:rsidRPr="009B0794">
        <w:rPr>
          <w:rFonts w:ascii="Times New Roman" w:hAnsi="Times New Roman" w:cs="Times New Roman"/>
          <w:b/>
          <w:sz w:val="24"/>
        </w:rPr>
        <w:br w:type="page"/>
      </w:r>
    </w:p>
    <w:bookmarkEnd w:id="0"/>
    <w:bookmarkEnd w:id="1"/>
    <w:p w14:paraId="5C7DFFE6" w14:textId="4C1B806D" w:rsidR="0045442D" w:rsidRPr="009B0794" w:rsidRDefault="00254CF7" w:rsidP="00E750EE">
      <w:pPr>
        <w:spacing w:line="276" w:lineRule="auto"/>
        <w:rPr>
          <w:rFonts w:ascii="Times New Roman" w:hAnsi="Times New Roman" w:cs="Times New Roman"/>
          <w:b/>
          <w:sz w:val="24"/>
        </w:rPr>
      </w:pPr>
      <w:r w:rsidRPr="009B0794">
        <w:rPr>
          <w:rFonts w:ascii="Times New Roman" w:hAnsi="Times New Roman" w:cs="Times New Roman"/>
          <w:b/>
          <w:noProof/>
          <w:sz w:val="24"/>
        </w:rPr>
        <w:lastRenderedPageBreak/>
        <w:drawing>
          <wp:inline distT="0" distB="0" distL="0" distR="0" wp14:anchorId="561ABF79" wp14:editId="22CADA99">
            <wp:extent cx="5056605" cy="7864544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8469" cy="7867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4E0D3" w14:textId="5CA001C9" w:rsidR="00E750EE" w:rsidRPr="009B0794" w:rsidRDefault="00E750EE" w:rsidP="00E750EE">
      <w:pPr>
        <w:spacing w:line="276" w:lineRule="auto"/>
        <w:rPr>
          <w:rFonts w:ascii="Times New Roman" w:hAnsi="Times New Roman" w:cs="Times New Roman"/>
          <w:b/>
          <w:sz w:val="24"/>
        </w:rPr>
      </w:pPr>
      <w:r w:rsidRPr="009B0794">
        <w:rPr>
          <w:rFonts w:ascii="Times New Roman" w:hAnsi="Times New Roman" w:cs="Times New Roman"/>
          <w:b/>
          <w:sz w:val="24"/>
        </w:rPr>
        <w:t>Supplementary Figure S</w:t>
      </w:r>
      <w:r w:rsidR="00882F21" w:rsidRPr="009B0794">
        <w:rPr>
          <w:rFonts w:ascii="Times New Roman" w:hAnsi="Times New Roman" w:cs="Times New Roman"/>
          <w:b/>
          <w:sz w:val="24"/>
        </w:rPr>
        <w:t>3</w:t>
      </w:r>
      <w:r w:rsidRPr="009B0794">
        <w:rPr>
          <w:rFonts w:ascii="Times New Roman" w:hAnsi="Times New Roman" w:cs="Times New Roman"/>
          <w:b/>
          <w:sz w:val="24"/>
        </w:rPr>
        <w:t xml:space="preserve">. Clinical outcomes of Luminal-like patients according to </w:t>
      </w:r>
      <w:r w:rsidR="00E55865" w:rsidRPr="009B0794">
        <w:rPr>
          <w:rFonts w:ascii="Times New Roman" w:hAnsi="Times New Roman" w:cs="Times New Roman"/>
          <w:b/>
          <w:sz w:val="24"/>
        </w:rPr>
        <w:t xml:space="preserve">TIME </w:t>
      </w:r>
      <w:r w:rsidR="00E55865" w:rsidRPr="009B0794">
        <w:rPr>
          <w:rFonts w:ascii="Times New Roman" w:hAnsi="Times New Roman" w:cs="Times New Roman" w:hint="eastAsia"/>
          <w:b/>
          <w:sz w:val="24"/>
        </w:rPr>
        <w:t>ma</w:t>
      </w:r>
      <w:r w:rsidR="00E55865" w:rsidRPr="009B0794">
        <w:rPr>
          <w:rFonts w:ascii="Times New Roman" w:hAnsi="Times New Roman" w:cs="Times New Roman"/>
          <w:b/>
          <w:sz w:val="24"/>
        </w:rPr>
        <w:t>rkers</w:t>
      </w:r>
      <w:r w:rsidRPr="009B0794">
        <w:rPr>
          <w:rFonts w:ascii="Times New Roman" w:hAnsi="Times New Roman" w:cs="Times New Roman"/>
          <w:b/>
          <w:sz w:val="24"/>
        </w:rPr>
        <w:t>.</w:t>
      </w:r>
      <w:r w:rsidR="00384476" w:rsidRPr="009B0794">
        <w:rPr>
          <w:rFonts w:ascii="Times New Roman" w:hAnsi="Times New Roman"/>
        </w:rPr>
        <w:t xml:space="preserve"> </w:t>
      </w:r>
      <w:r w:rsidR="00384476" w:rsidRPr="009B0794">
        <w:rPr>
          <w:rFonts w:ascii="Times New Roman" w:hAnsi="Times New Roman"/>
          <w:sz w:val="24"/>
        </w:rPr>
        <w:t xml:space="preserve">BCFI and BCSS were compared </w:t>
      </w:r>
      <w:r w:rsidR="00820BE2" w:rsidRPr="009B0794">
        <w:rPr>
          <w:rFonts w:ascii="Times New Roman" w:hAnsi="Times New Roman"/>
          <w:sz w:val="24"/>
        </w:rPr>
        <w:t xml:space="preserve">by </w:t>
      </w:r>
      <w:r w:rsidR="00384476" w:rsidRPr="009B0794">
        <w:rPr>
          <w:rFonts w:ascii="Times New Roman" w:hAnsi="Times New Roman"/>
          <w:sz w:val="24"/>
        </w:rPr>
        <w:t xml:space="preserve">TIME markers </w:t>
      </w:r>
      <w:r w:rsidR="00820BE2" w:rsidRPr="009B0794">
        <w:rPr>
          <w:rFonts w:ascii="Times New Roman" w:hAnsi="Times New Roman"/>
          <w:sz w:val="24"/>
        </w:rPr>
        <w:t xml:space="preserve">using </w:t>
      </w:r>
      <w:r w:rsidR="00384476" w:rsidRPr="009B0794">
        <w:rPr>
          <w:rFonts w:ascii="Times New Roman" w:hAnsi="Times New Roman"/>
          <w:sz w:val="24"/>
        </w:rPr>
        <w:t>Kaplan–Meier curves.</w:t>
      </w:r>
    </w:p>
    <w:p w14:paraId="40E1A3AB" w14:textId="5F617A4A" w:rsidR="00E750EE" w:rsidRPr="009B0794" w:rsidRDefault="00E750EE" w:rsidP="00E750EE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9B0794">
        <w:rPr>
          <w:rFonts w:ascii="Times New Roman" w:hAnsi="Times New Roman" w:cs="Times New Roman"/>
          <w:sz w:val="22"/>
          <w:szCs w:val="22"/>
        </w:rPr>
        <w:t>Abbreviations: BCFI, breast cancer-free interval; BCSS, breast cancer-specific survival.</w:t>
      </w:r>
    </w:p>
    <w:p w14:paraId="3DC532C5" w14:textId="008809F4" w:rsidR="00526FA2" w:rsidRPr="009B0794" w:rsidRDefault="00526FA2" w:rsidP="00B016F9">
      <w:pPr>
        <w:widowControl/>
        <w:jc w:val="left"/>
        <w:rPr>
          <w:rFonts w:ascii="Times New Roman" w:hAnsi="Times New Roman" w:cs="Times New Roman"/>
          <w:sz w:val="22"/>
          <w:szCs w:val="22"/>
        </w:rPr>
      </w:pPr>
    </w:p>
    <w:p w14:paraId="36DDEEAC" w14:textId="1F487B94" w:rsidR="00526FA2" w:rsidRPr="009B0794" w:rsidRDefault="00526FA2" w:rsidP="00B016F9">
      <w:pPr>
        <w:widowControl/>
        <w:jc w:val="left"/>
        <w:rPr>
          <w:rFonts w:ascii="Times New Roman" w:hAnsi="Times New Roman" w:cs="Times New Roman"/>
          <w:sz w:val="22"/>
          <w:szCs w:val="22"/>
        </w:rPr>
      </w:pPr>
      <w:r w:rsidRPr="009B0794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3AB98FF1" wp14:editId="32663C13">
            <wp:extent cx="5270500" cy="747839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47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F115F" w14:textId="78D172B9" w:rsidR="00526FA2" w:rsidRPr="009B0794" w:rsidRDefault="00526FA2" w:rsidP="00526FA2">
      <w:pPr>
        <w:spacing w:line="276" w:lineRule="auto"/>
        <w:rPr>
          <w:rFonts w:ascii="Times New Roman" w:hAnsi="Times New Roman" w:cs="Times New Roman"/>
          <w:b/>
          <w:sz w:val="24"/>
        </w:rPr>
      </w:pPr>
      <w:r w:rsidRPr="009B0794">
        <w:rPr>
          <w:rFonts w:ascii="Times New Roman" w:hAnsi="Times New Roman" w:cs="Times New Roman"/>
          <w:b/>
          <w:sz w:val="24"/>
        </w:rPr>
        <w:t>Supplementary Figure S</w:t>
      </w:r>
      <w:r w:rsidR="00882F21" w:rsidRPr="009B0794">
        <w:rPr>
          <w:rFonts w:ascii="Times New Roman" w:hAnsi="Times New Roman" w:cs="Times New Roman"/>
          <w:b/>
          <w:sz w:val="24"/>
        </w:rPr>
        <w:t>4</w:t>
      </w:r>
      <w:r w:rsidRPr="009B0794">
        <w:rPr>
          <w:rFonts w:ascii="Times New Roman" w:hAnsi="Times New Roman" w:cs="Times New Roman"/>
          <w:b/>
          <w:sz w:val="24"/>
        </w:rPr>
        <w:t xml:space="preserve">. BCFI according to RS, TILs, and PD-L1 level </w:t>
      </w:r>
      <w:r w:rsidRPr="009B0794">
        <w:rPr>
          <w:rFonts w:ascii="Times New Roman" w:hAnsi="Times New Roman" w:cs="Times New Roman" w:hint="eastAsia"/>
          <w:b/>
          <w:sz w:val="24"/>
        </w:rPr>
        <w:t>by</w:t>
      </w:r>
      <w:r w:rsidRPr="009B0794">
        <w:rPr>
          <w:rFonts w:ascii="Times New Roman" w:hAnsi="Times New Roman" w:cs="Times New Roman"/>
          <w:b/>
          <w:sz w:val="24"/>
        </w:rPr>
        <w:t xml:space="preserve"> luminal subtypes.</w:t>
      </w:r>
    </w:p>
    <w:p w14:paraId="687EA8D0" w14:textId="3CFD3225" w:rsidR="00526FA2" w:rsidRPr="009B0794" w:rsidRDefault="00526FA2" w:rsidP="00526FA2">
      <w:pPr>
        <w:spacing w:line="480" w:lineRule="auto"/>
        <w:rPr>
          <w:rFonts w:ascii="Times New Roman" w:hAnsi="Times New Roman"/>
        </w:rPr>
      </w:pPr>
      <w:r w:rsidRPr="009B0794">
        <w:rPr>
          <w:rFonts w:ascii="Times New Roman" w:hAnsi="Times New Roman" w:cs="Times New Roman"/>
          <w:sz w:val="22"/>
          <w:szCs w:val="22"/>
        </w:rPr>
        <w:t xml:space="preserve">Abbreviations: BCFI, breast cancer-free interval; </w:t>
      </w:r>
      <w:r w:rsidRPr="009B0794">
        <w:rPr>
          <w:rFonts w:ascii="Times New Roman" w:hAnsi="Times New Roman"/>
        </w:rPr>
        <w:t xml:space="preserve">RS, </w:t>
      </w:r>
      <w:r w:rsidR="00854460" w:rsidRPr="009B0794">
        <w:rPr>
          <w:rFonts w:ascii="Times New Roman" w:hAnsi="Times New Roman"/>
        </w:rPr>
        <w:t>recurrence</w:t>
      </w:r>
      <w:r w:rsidRPr="009B0794">
        <w:rPr>
          <w:rFonts w:ascii="Times New Roman" w:hAnsi="Times New Roman"/>
        </w:rPr>
        <w:t xml:space="preserve"> score; TIL, tumor infiltrating lymphocyte; PD-L1, programmed cell death-ligand 1.</w:t>
      </w:r>
    </w:p>
    <w:sectPr w:rsidR="00526FA2" w:rsidRPr="009B0794" w:rsidSect="00550327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0EE"/>
    <w:rsid w:val="000F1710"/>
    <w:rsid w:val="00140447"/>
    <w:rsid w:val="00254CF7"/>
    <w:rsid w:val="00384476"/>
    <w:rsid w:val="003D5108"/>
    <w:rsid w:val="0045442D"/>
    <w:rsid w:val="00473AAA"/>
    <w:rsid w:val="00526FA2"/>
    <w:rsid w:val="00550327"/>
    <w:rsid w:val="00582A9A"/>
    <w:rsid w:val="0058743E"/>
    <w:rsid w:val="006A3259"/>
    <w:rsid w:val="007D4393"/>
    <w:rsid w:val="00820BE2"/>
    <w:rsid w:val="00854460"/>
    <w:rsid w:val="00882F21"/>
    <w:rsid w:val="009449FF"/>
    <w:rsid w:val="00947826"/>
    <w:rsid w:val="00967FCF"/>
    <w:rsid w:val="009B0794"/>
    <w:rsid w:val="00A25145"/>
    <w:rsid w:val="00B016F9"/>
    <w:rsid w:val="00B1710A"/>
    <w:rsid w:val="00BD5BDD"/>
    <w:rsid w:val="00C84EAE"/>
    <w:rsid w:val="00C87764"/>
    <w:rsid w:val="00E11626"/>
    <w:rsid w:val="00E55865"/>
    <w:rsid w:val="00E750EE"/>
    <w:rsid w:val="00ED303C"/>
    <w:rsid w:val="00F01C19"/>
    <w:rsid w:val="00F94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3B72B"/>
  <w15:chartTrackingRefBased/>
  <w15:docId w15:val="{B4B6FCA1-8A53-1F49-863D-CAFF6B5E4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50E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无"/>
    <w:rsid w:val="000F1710"/>
  </w:style>
  <w:style w:type="character" w:customStyle="1" w:styleId="Hyperlink0">
    <w:name w:val="Hyperlink.0"/>
    <w:rsid w:val="000F1710"/>
    <w:rPr>
      <w:rFonts w:ascii="Arial" w:eastAsia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195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童 一苇</cp:lastModifiedBy>
  <cp:revision>14</cp:revision>
  <dcterms:created xsi:type="dcterms:W3CDTF">2022-06-01T13:06:00Z</dcterms:created>
  <dcterms:modified xsi:type="dcterms:W3CDTF">2022-12-01T14:00:00Z</dcterms:modified>
</cp:coreProperties>
</file>