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4A428" w14:textId="1D581BAB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  <w:r w:rsidRPr="00F54F3B">
        <w:rPr>
          <w:rFonts w:ascii="Calibri" w:eastAsia="DengXian" w:hAnsi="Calibri" w:cs="Microsoft Himalaya"/>
          <w:b/>
          <w:bCs/>
          <w:sz w:val="24"/>
          <w:szCs w:val="28"/>
        </w:rPr>
        <w:t>supplementary material</w:t>
      </w:r>
    </w:p>
    <w:p w14:paraId="797C6523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1AA3212C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  <w:r>
        <w:rPr>
          <w:rFonts w:ascii="Calibri" w:eastAsia="DengXian" w:hAnsi="Calibri" w:cs="Microsoft Himalaya" w:hint="eastAsia"/>
          <w:b/>
          <w:bCs/>
          <w:noProof/>
          <w:sz w:val="24"/>
          <w:szCs w:val="28"/>
          <w:lang w:val="en-IN" w:eastAsia="en-IN"/>
        </w:rPr>
        <w:drawing>
          <wp:inline distT="0" distB="0" distL="0" distR="0" wp14:anchorId="1F217329" wp14:editId="614BBE8A">
            <wp:extent cx="5274310" cy="6031865"/>
            <wp:effectExtent l="0" t="0" r="2540" b="6985"/>
            <wp:docPr id="489358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58532" name="图片 4893585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3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C5D83" w14:textId="7C816C42" w:rsidR="00663DAF" w:rsidRPr="0017149C" w:rsidRDefault="00663DAF" w:rsidP="00663DAF">
      <w:pPr>
        <w:rPr>
          <w:rFonts w:ascii="Calibri" w:eastAsia="DengXian" w:hAnsi="Calibri" w:cs="Calibri"/>
          <w:b/>
          <w:bCs/>
        </w:rPr>
      </w:pPr>
      <w:r w:rsidRPr="0017149C">
        <w:rPr>
          <w:rFonts w:ascii="Calibri" w:eastAsia="DengXian" w:hAnsi="Calibri" w:cs="Calibri"/>
          <w:b/>
          <w:bCs/>
        </w:rPr>
        <w:t xml:space="preserve">Supplementary figure </w:t>
      </w:r>
      <w:r w:rsidR="005D1544">
        <w:rPr>
          <w:rFonts w:ascii="Calibri" w:eastAsia="DengXian" w:hAnsi="Calibri" w:cs="Calibri"/>
          <w:b/>
          <w:bCs/>
        </w:rPr>
        <w:t>1</w:t>
      </w:r>
      <w:r w:rsidRPr="0017149C">
        <w:rPr>
          <w:rFonts w:ascii="Calibri" w:eastAsia="DengXian" w:hAnsi="Calibri" w:cs="Calibri"/>
          <w:b/>
          <w:bCs/>
        </w:rPr>
        <w:t>. Quality control of CYB561 single-cell analysis data.A. Screening of top 2000 variable genes based on GSE199515 dataset.B. The top 15 principal components were selected for further analysis.C. Reduced-dimensional class clustering of cells using UMAP.</w:t>
      </w:r>
    </w:p>
    <w:p w14:paraId="49DC6433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26FCCAE0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640DD2C9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4F0A1ABA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6EBD756F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74B74A61" w14:textId="77777777" w:rsidR="00663DAF" w:rsidRPr="005D1544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36A0988E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649B920D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6B9CE2BF" w14:textId="77777777" w:rsidR="00663DAF" w:rsidRP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</w:p>
    <w:p w14:paraId="4AFFBEC1" w14:textId="77777777" w:rsidR="00663DAF" w:rsidRDefault="00663DAF" w:rsidP="00663DAF">
      <w:pPr>
        <w:rPr>
          <w:rFonts w:ascii="Calibri" w:eastAsia="DengXian" w:hAnsi="Calibri" w:cs="Microsoft Himalaya"/>
          <w:b/>
          <w:bCs/>
          <w:sz w:val="24"/>
          <w:szCs w:val="28"/>
        </w:rPr>
      </w:pPr>
      <w:r>
        <w:rPr>
          <w:rFonts w:ascii="Calibri" w:eastAsia="DengXian" w:hAnsi="Calibri" w:cs="Microsoft Himalaya" w:hint="eastAsia"/>
          <w:b/>
          <w:bCs/>
          <w:noProof/>
          <w:sz w:val="24"/>
          <w:szCs w:val="28"/>
          <w:lang w:val="en-IN" w:eastAsia="en-IN"/>
        </w:rPr>
        <w:drawing>
          <wp:inline distT="0" distB="0" distL="0" distR="0" wp14:anchorId="31D99B63" wp14:editId="042AE3FC">
            <wp:extent cx="5274310" cy="7031990"/>
            <wp:effectExtent l="0" t="0" r="2540" b="0"/>
            <wp:docPr id="19351324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132455" name="图片 19351324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5C19D" w14:textId="4E9D0DC4" w:rsidR="00663DAF" w:rsidRPr="0017149C" w:rsidRDefault="00663DAF" w:rsidP="00663DAF">
      <w:pPr>
        <w:rPr>
          <w:rFonts w:ascii="Calibri" w:eastAsia="DengXian" w:hAnsi="Calibri" w:cs="Calibri"/>
          <w:b/>
          <w:bCs/>
        </w:rPr>
      </w:pPr>
      <w:r w:rsidRPr="0017149C">
        <w:rPr>
          <w:rFonts w:ascii="Calibri" w:eastAsia="DengXian" w:hAnsi="Calibri" w:cs="Calibri"/>
          <w:b/>
          <w:bCs/>
        </w:rPr>
        <w:t xml:space="preserve">Supplementary figure </w:t>
      </w:r>
      <w:r w:rsidR="00FF4D30">
        <w:rPr>
          <w:rFonts w:ascii="Calibri" w:eastAsia="DengXian" w:hAnsi="Calibri" w:cs="Calibri"/>
          <w:b/>
          <w:bCs/>
        </w:rPr>
        <w:t>2</w:t>
      </w:r>
      <w:r w:rsidRPr="0017149C">
        <w:rPr>
          <w:rFonts w:ascii="Calibri" w:eastAsia="DengXian" w:hAnsi="Calibri" w:cs="Calibri"/>
          <w:b/>
          <w:bCs/>
        </w:rPr>
        <w:t>. CYB561-related differential gene analysis.A. Based on the TCGA database, differential g</w:t>
      </w:r>
      <w:bookmarkStart w:id="0" w:name="_GoBack"/>
      <w:bookmarkEnd w:id="0"/>
      <w:r w:rsidRPr="0017149C">
        <w:rPr>
          <w:rFonts w:ascii="Calibri" w:eastAsia="DengXian" w:hAnsi="Calibri" w:cs="Calibri"/>
          <w:b/>
          <w:bCs/>
        </w:rPr>
        <w:t>enes between high and low expression groups of CYB561 were analyzed.B. Based on gene chips, relevant differential genes were analyzed between the scr-shRNA group and the CYB561-shRNA group.</w:t>
      </w:r>
    </w:p>
    <w:p w14:paraId="1BFCB74B" w14:textId="77777777" w:rsidR="000F18D2" w:rsidRPr="00663DAF" w:rsidRDefault="000F18D2"/>
    <w:sectPr w:rsidR="000F18D2" w:rsidRPr="00663DAF" w:rsidSect="00050E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22946" w14:textId="77777777" w:rsidR="00CE0AA2" w:rsidRDefault="00CE0AA2" w:rsidP="00663DAF">
      <w:r>
        <w:separator/>
      </w:r>
    </w:p>
  </w:endnote>
  <w:endnote w:type="continuationSeparator" w:id="0">
    <w:p w14:paraId="0BB4D79A" w14:textId="77777777" w:rsidR="00CE0AA2" w:rsidRDefault="00CE0AA2" w:rsidP="0066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10327E" w14:textId="77777777" w:rsidR="00CE0AA2" w:rsidRDefault="00CE0AA2" w:rsidP="00663DAF">
      <w:r>
        <w:separator/>
      </w:r>
    </w:p>
  </w:footnote>
  <w:footnote w:type="continuationSeparator" w:id="0">
    <w:p w14:paraId="0562EB05" w14:textId="77777777" w:rsidR="00CE0AA2" w:rsidRDefault="00CE0AA2" w:rsidP="00663D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D2"/>
    <w:rsid w:val="00050EDC"/>
    <w:rsid w:val="000F18D2"/>
    <w:rsid w:val="00177155"/>
    <w:rsid w:val="002F56CE"/>
    <w:rsid w:val="005D1544"/>
    <w:rsid w:val="00663DAF"/>
    <w:rsid w:val="00CE0AA2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6FD1C"/>
  <w15:chartTrackingRefBased/>
  <w15:docId w15:val="{548C8C3A-B174-4E7A-AAF5-2DC34C13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DAF"/>
    <w:pPr>
      <w:widowControl w:val="0"/>
      <w:jc w:val="both"/>
    </w:pPr>
    <w:rPr>
      <w:rFonts w:eastAsia="Times New Roma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DAF"/>
    <w:pP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63DA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3DAF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63D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见 卓</dc:creator>
  <cp:keywords/>
  <dc:description/>
  <cp:lastModifiedBy>Poornima Thiruvudaiselvi</cp:lastModifiedBy>
  <cp:revision>5</cp:revision>
  <dcterms:created xsi:type="dcterms:W3CDTF">2024-02-12T15:17:00Z</dcterms:created>
  <dcterms:modified xsi:type="dcterms:W3CDTF">2024-08-05T07:11:00Z</dcterms:modified>
</cp:coreProperties>
</file>