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9D6EC">
      <w:pPr>
        <w:rPr>
          <w:rFonts w:hint="default" w:ascii="Times New Roman" w:hAnsi="Times New Roman" w:cs="Times New Roman" w:eastAsiaTheme="minorEastAsia"/>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 xml:space="preserve">Association between volume of processed plasma and </w:t>
      </w:r>
      <w:r>
        <w:rPr>
          <w:rFonts w:hint="default" w:ascii="Times New Roman" w:hAnsi="Times New Roman" w:cs="Times New Roman"/>
          <w:b/>
          <w:bCs/>
          <w:color w:val="auto"/>
          <w:sz w:val="24"/>
          <w:szCs w:val="24"/>
          <w:highlight w:val="none"/>
        </w:rPr>
        <w:t>total bilirubin</w:t>
      </w:r>
      <w:r>
        <w:rPr>
          <w:rFonts w:hint="default" w:ascii="Times New Roman" w:hAnsi="Times New Roman"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rPr>
        <w:t>reduction</w:t>
      </w:r>
      <w:r>
        <w:rPr>
          <w:rFonts w:hint="default" w:ascii="Times New Roman" w:hAnsi="Times New Roman" w:cs="Times New Roman"/>
          <w:b/>
          <w:bCs/>
          <w:color w:val="auto"/>
          <w:sz w:val="24"/>
          <w:szCs w:val="24"/>
          <w:highlight w:val="none"/>
          <w:lang w:val="en-US" w:eastAsia="zh-CN"/>
        </w:rPr>
        <w:t xml:space="preserve"> during</w:t>
      </w:r>
      <w:r>
        <w:rPr>
          <w:rFonts w:hint="default" w:ascii="Times New Roman" w:hAnsi="Times New Roman" w:cs="Times New Roman"/>
          <w:b/>
          <w:bCs/>
          <w:color w:val="auto"/>
          <w:sz w:val="24"/>
          <w:szCs w:val="24"/>
          <w:highlight w:val="none"/>
          <w:lang w:val="en-US"/>
        </w:rPr>
        <w:t xml:space="preserve"> </w:t>
      </w:r>
      <w:r>
        <w:rPr>
          <w:rFonts w:hint="default" w:ascii="Times New Roman" w:hAnsi="Times New Roman" w:cs="Times New Roman"/>
          <w:b/>
          <w:bCs/>
          <w:color w:val="auto"/>
          <w:sz w:val="24"/>
          <w:szCs w:val="24"/>
          <w:highlight w:val="none"/>
        </w:rPr>
        <w:t>plasma adsorption</w:t>
      </w:r>
      <w:r>
        <w:rPr>
          <w:rFonts w:hint="default" w:ascii="Times New Roman" w:hAnsi="Times New Roman" w:cs="Times New Roman"/>
          <w:b/>
          <w:bCs/>
          <w:color w:val="auto"/>
          <w:sz w:val="24"/>
          <w:szCs w:val="24"/>
          <w:highlight w:val="none"/>
          <w:lang w:val="en-US" w:eastAsia="zh-CN"/>
        </w:rPr>
        <w:t xml:space="preserve"> for </w:t>
      </w:r>
      <w:r>
        <w:rPr>
          <w:rFonts w:hint="default" w:ascii="Times New Roman" w:hAnsi="Times New Roman" w:cs="Times New Roman"/>
          <w:b/>
          <w:bCs/>
          <w:color w:val="auto"/>
          <w:sz w:val="24"/>
          <w:szCs w:val="24"/>
          <w:highlight w:val="none"/>
        </w:rPr>
        <w:t>severe liver disease</w:t>
      </w:r>
    </w:p>
    <w:p w14:paraId="00435E49">
      <w:pPr>
        <w:rPr>
          <w:rFonts w:hint="default" w:ascii="Times New Roman" w:hAnsi="Times New Roman" w:cs="Times New Roman"/>
          <w:color w:val="auto"/>
          <w:sz w:val="24"/>
          <w:szCs w:val="24"/>
          <w:highlight w:val="none"/>
        </w:rPr>
      </w:pPr>
    </w:p>
    <w:p w14:paraId="76FBC5F0">
      <w:pP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Yuanji Ma, Yan Xu, Lingyao Du*, Lang Bai*, Hong Tang</w:t>
      </w:r>
    </w:p>
    <w:p w14:paraId="3D1633A1">
      <w:pPr>
        <w:rPr>
          <w:rFonts w:hint="default" w:ascii="Times New Roman" w:hAnsi="Times New Roman" w:cs="Times New Roman"/>
          <w:color w:val="auto"/>
          <w:sz w:val="24"/>
          <w:szCs w:val="24"/>
          <w:highlight w:val="none"/>
        </w:rPr>
      </w:pPr>
    </w:p>
    <w:p w14:paraId="78AF0EFA">
      <w:pP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Center of Infectious Diseases, West China Hospital of Sichuan University, Chengdu 610041, China</w:t>
      </w:r>
    </w:p>
    <w:p w14:paraId="04E151C6">
      <w:pPr>
        <w:rPr>
          <w:rFonts w:hint="default" w:ascii="Times New Roman" w:hAnsi="Times New Roman" w:cs="Times New Roman"/>
          <w:color w:val="auto"/>
          <w:sz w:val="24"/>
          <w:szCs w:val="24"/>
          <w:highlight w:val="none"/>
        </w:rPr>
      </w:pPr>
    </w:p>
    <w:p w14:paraId="260F7EEE">
      <w:pPr>
        <w:rPr>
          <w:rFonts w:hint="default" w:ascii="Times New Roman" w:hAnsi="Times New Roman" w:cs="Times New Roman"/>
          <w:b w:val="0"/>
          <w:bCs w:val="0"/>
          <w:color w:val="auto"/>
          <w:sz w:val="24"/>
          <w:szCs w:val="24"/>
          <w:highlight w:val="none"/>
        </w:rPr>
      </w:pPr>
      <w:r>
        <w:rPr>
          <w:rFonts w:hint="default" w:ascii="Times New Roman" w:hAnsi="Times New Roman" w:cs="Times New Roman"/>
          <w:b/>
          <w:color w:val="auto"/>
          <w:sz w:val="24"/>
          <w:szCs w:val="24"/>
          <w:highlight w:val="none"/>
          <w:lang w:eastAsia="de-CH"/>
        </w:rPr>
        <w:t>Running</w:t>
      </w:r>
      <w:r>
        <w:rPr>
          <w:rFonts w:hint="default" w:ascii="Times New Roman" w:hAnsi="Times New Roman" w:cs="Times New Roman"/>
          <w:b/>
          <w:color w:val="auto"/>
          <w:sz w:val="24"/>
          <w:szCs w:val="24"/>
          <w:highlight w:val="none"/>
        </w:rPr>
        <w:t xml:space="preserve"> t</w:t>
      </w:r>
      <w:r>
        <w:rPr>
          <w:rFonts w:hint="default" w:ascii="Times New Roman" w:hAnsi="Times New Roman" w:cs="Times New Roman"/>
          <w:b/>
          <w:color w:val="auto"/>
          <w:sz w:val="24"/>
          <w:szCs w:val="24"/>
          <w:highlight w:val="none"/>
          <w:lang w:eastAsia="de-CH"/>
        </w:rPr>
        <w:t>itle</w:t>
      </w:r>
      <w:r>
        <w:rPr>
          <w:rFonts w:hint="default" w:ascii="Times New Roman" w:hAnsi="Times New Roman" w:cs="Times New Roman"/>
          <w:b/>
          <w:color w:val="auto"/>
          <w:sz w:val="24"/>
          <w:szCs w:val="24"/>
          <w:highlight w:val="none"/>
        </w:rPr>
        <w:t>:</w:t>
      </w:r>
      <w:r>
        <w:rPr>
          <w:rFonts w:hint="default" w:ascii="Times New Roman" w:hAnsi="Times New Roman" w:cs="Times New Roman"/>
          <w:color w:val="auto"/>
          <w:sz w:val="24"/>
          <w:szCs w:val="24"/>
          <w:highlight w:val="none"/>
        </w:rPr>
        <w:t xml:space="preserve"> </w:t>
      </w:r>
      <w:r>
        <w:rPr>
          <w:rFonts w:ascii="Times New Roman" w:hAnsi="Times New Roman" w:cs="Times New Roman"/>
          <w:bCs/>
          <w:sz w:val="24"/>
        </w:rPr>
        <w:t xml:space="preserve">Therapeutic dosing for DPMAS </w:t>
      </w:r>
      <w:r>
        <w:rPr>
          <w:rFonts w:hint="eastAsia" w:ascii="Times New Roman" w:hAnsi="Times New Roman" w:cs="Times New Roman"/>
          <w:bCs/>
          <w:sz w:val="24"/>
        </w:rPr>
        <w:t>treatment</w:t>
      </w:r>
    </w:p>
    <w:p w14:paraId="42185095">
      <w:pPr>
        <w:rPr>
          <w:rFonts w:hint="default" w:ascii="Times New Roman" w:hAnsi="Times New Roman" w:cs="Times New Roman"/>
          <w:color w:val="auto"/>
          <w:sz w:val="24"/>
          <w:szCs w:val="24"/>
          <w:highlight w:val="none"/>
        </w:rPr>
      </w:pPr>
    </w:p>
    <w:p w14:paraId="23E32C2C">
      <w:pPr>
        <w:rPr>
          <w:rFonts w:ascii="Times New Roman" w:hAnsi="Times New Roman" w:eastAsia="宋体" w:cs="Times New Roman"/>
          <w:color w:val="auto"/>
          <w:sz w:val="24"/>
        </w:rPr>
      </w:pPr>
      <w:r>
        <w:rPr>
          <w:rFonts w:ascii="Times New Roman" w:hAnsi="Times New Roman" w:cs="Times New Roman"/>
          <w:b/>
          <w:bCs/>
          <w:color w:val="auto"/>
          <w:sz w:val="24"/>
        </w:rPr>
        <w:t>*Correspondence</w:t>
      </w:r>
      <w:r>
        <w:rPr>
          <w:rFonts w:ascii="Times New Roman" w:hAnsi="Times New Roman" w:eastAsia="宋体" w:cs="Times New Roman"/>
          <w:b/>
          <w:bCs/>
          <w:color w:val="auto"/>
          <w:sz w:val="24"/>
        </w:rPr>
        <w:t xml:space="preserve">: </w:t>
      </w:r>
      <w:r>
        <w:rPr>
          <w:rFonts w:ascii="Times New Roman" w:hAnsi="Times New Roman" w:cs="Times New Roman"/>
          <w:color w:val="auto"/>
          <w:sz w:val="24"/>
        </w:rPr>
        <w:t>Lingyao Du</w:t>
      </w:r>
      <w:r>
        <w:rPr>
          <w:rFonts w:ascii="Times New Roman" w:hAnsi="Times New Roman" w:eastAsia="宋体" w:cs="Times New Roman"/>
          <w:color w:val="auto"/>
          <w:sz w:val="24"/>
        </w:rPr>
        <w:t xml:space="preserve">, and </w:t>
      </w:r>
      <w:r>
        <w:rPr>
          <w:rFonts w:ascii="Times New Roman" w:hAnsi="Times New Roman" w:cs="Times New Roman"/>
          <w:color w:val="auto"/>
          <w:sz w:val="24"/>
        </w:rPr>
        <w:t>Lang Bai</w:t>
      </w:r>
      <w:r>
        <w:rPr>
          <w:rFonts w:ascii="Times New Roman" w:hAnsi="Times New Roman" w:eastAsia="宋体" w:cs="Times New Roman"/>
          <w:color w:val="auto"/>
          <w:sz w:val="24"/>
        </w:rPr>
        <w:t>.</w:t>
      </w:r>
    </w:p>
    <w:p w14:paraId="5D225ADD">
      <w:pPr>
        <w:rPr>
          <w:rFonts w:ascii="Times New Roman" w:hAnsi="Times New Roman" w:eastAsia="宋体" w:cs="Times New Roman"/>
          <w:color w:val="auto"/>
          <w:sz w:val="24"/>
        </w:rPr>
      </w:pPr>
      <w:r>
        <w:rPr>
          <w:rFonts w:ascii="Times New Roman" w:hAnsi="Times New Roman" w:cs="Times New Roman"/>
          <w:color w:val="auto"/>
          <w:sz w:val="24"/>
          <w:lang w:eastAsia="de-CH"/>
        </w:rPr>
        <w:t>Center of Infectious Diseases</w:t>
      </w:r>
      <w:r>
        <w:rPr>
          <w:rFonts w:ascii="Times New Roman" w:hAnsi="Times New Roman" w:eastAsia="宋体" w:cs="Times New Roman"/>
          <w:color w:val="auto"/>
          <w:sz w:val="24"/>
        </w:rPr>
        <w:t xml:space="preserve">, </w:t>
      </w:r>
      <w:r>
        <w:rPr>
          <w:rFonts w:ascii="Times New Roman" w:hAnsi="Times New Roman" w:cs="Times New Roman"/>
          <w:color w:val="auto"/>
          <w:sz w:val="24"/>
          <w:lang w:eastAsia="de-CH"/>
        </w:rPr>
        <w:t>West China Hospital of Sichuan University</w:t>
      </w:r>
      <w:r>
        <w:rPr>
          <w:rFonts w:ascii="Times New Roman" w:hAnsi="Times New Roman" w:eastAsia="宋体" w:cs="Times New Roman"/>
          <w:color w:val="auto"/>
          <w:sz w:val="24"/>
        </w:rPr>
        <w:t xml:space="preserve">, </w:t>
      </w:r>
      <w:r>
        <w:rPr>
          <w:rFonts w:ascii="Times New Roman" w:hAnsi="Times New Roman" w:cs="Times New Roman"/>
          <w:color w:val="auto"/>
          <w:sz w:val="24"/>
          <w:lang w:eastAsia="de-CH"/>
        </w:rPr>
        <w:t>No.37 GuoXue Xiang</w:t>
      </w:r>
      <w:r>
        <w:rPr>
          <w:rFonts w:ascii="Times New Roman" w:hAnsi="Times New Roman" w:eastAsia="宋体" w:cs="Times New Roman"/>
          <w:color w:val="auto"/>
          <w:sz w:val="24"/>
        </w:rPr>
        <w:t xml:space="preserve">, </w:t>
      </w:r>
      <w:r>
        <w:rPr>
          <w:rFonts w:ascii="Times New Roman" w:hAnsi="Times New Roman" w:cs="Times New Roman"/>
          <w:color w:val="auto"/>
          <w:sz w:val="24"/>
          <w:lang w:eastAsia="de-CH"/>
        </w:rPr>
        <w:t>Wuhou District, Chengdu, 610041, China</w:t>
      </w:r>
      <w:r>
        <w:rPr>
          <w:rFonts w:ascii="Times New Roman" w:hAnsi="Times New Roman" w:eastAsia="宋体" w:cs="Times New Roman"/>
          <w:color w:val="auto"/>
          <w:sz w:val="24"/>
        </w:rPr>
        <w:t xml:space="preserve">. </w:t>
      </w:r>
    </w:p>
    <w:p w14:paraId="0A04CA0C">
      <w:pPr>
        <w:rPr>
          <w:rFonts w:ascii="Times New Roman" w:hAnsi="Times New Roman" w:eastAsia="宋体" w:cs="Times New Roman"/>
          <w:color w:val="auto"/>
          <w:sz w:val="24"/>
        </w:rPr>
      </w:pPr>
      <w:r>
        <w:rPr>
          <w:rFonts w:ascii="Times New Roman" w:hAnsi="Times New Roman" w:cs="Times New Roman"/>
          <w:color w:val="auto"/>
          <w:sz w:val="24"/>
          <w:lang w:eastAsia="de-CH"/>
        </w:rPr>
        <w:t>Tel: 86-28-85422650</w:t>
      </w:r>
      <w:r>
        <w:rPr>
          <w:rFonts w:ascii="Times New Roman" w:hAnsi="Times New Roman" w:eastAsia="宋体" w:cs="Times New Roman"/>
          <w:color w:val="auto"/>
          <w:sz w:val="24"/>
        </w:rPr>
        <w:t xml:space="preserve">. </w:t>
      </w:r>
    </w:p>
    <w:p w14:paraId="74C7E833">
      <w:pPr>
        <w:rPr>
          <w:rFonts w:ascii="Times New Roman" w:hAnsi="Times New Roman" w:eastAsia="宋体" w:cs="Times New Roman"/>
          <w:color w:val="auto"/>
          <w:sz w:val="24"/>
        </w:rPr>
      </w:pPr>
      <w:r>
        <w:rPr>
          <w:rFonts w:ascii="Times New Roman" w:hAnsi="Times New Roman" w:cs="Times New Roman"/>
          <w:color w:val="auto"/>
          <w:sz w:val="24"/>
          <w:lang w:eastAsia="de-CH"/>
        </w:rPr>
        <w:t>Fax: 86-28-85423052</w:t>
      </w:r>
      <w:r>
        <w:rPr>
          <w:rFonts w:ascii="Times New Roman" w:hAnsi="Times New Roman" w:eastAsia="宋体" w:cs="Times New Roman"/>
          <w:color w:val="auto"/>
          <w:sz w:val="24"/>
        </w:rPr>
        <w:t xml:space="preserve">. </w:t>
      </w:r>
    </w:p>
    <w:p w14:paraId="3423F56C">
      <w:pPr>
        <w:rPr>
          <w:rFonts w:ascii="Times New Roman" w:hAnsi="Times New Roman" w:eastAsia="宋体" w:cs="Times New Roman"/>
          <w:color w:val="auto"/>
          <w:sz w:val="24"/>
        </w:rPr>
      </w:pPr>
      <w:r>
        <w:rPr>
          <w:rFonts w:ascii="Times New Roman" w:hAnsi="Times New Roman" w:cs="Times New Roman"/>
          <w:color w:val="auto"/>
          <w:sz w:val="24"/>
          <w:lang w:eastAsia="de-CH"/>
        </w:rPr>
        <w:t xml:space="preserve">E-mail: </w:t>
      </w:r>
      <w:r>
        <w:rPr>
          <w:rFonts w:ascii="Times New Roman" w:hAnsi="Times New Roman" w:cs="Times New Roman"/>
          <w:color w:val="auto"/>
          <w:sz w:val="24"/>
        </w:rPr>
        <w:t xml:space="preserve">n.sync@163.com </w:t>
      </w:r>
      <w:r>
        <w:rPr>
          <w:rFonts w:ascii="Times New Roman" w:hAnsi="Times New Roman" w:eastAsia="宋体" w:cs="Times New Roman"/>
          <w:color w:val="auto"/>
          <w:sz w:val="24"/>
        </w:rPr>
        <w:t>(</w:t>
      </w:r>
      <w:r>
        <w:rPr>
          <w:rFonts w:ascii="Times New Roman" w:hAnsi="Times New Roman" w:cs="Times New Roman"/>
          <w:color w:val="auto"/>
          <w:sz w:val="24"/>
        </w:rPr>
        <w:t>Lingyao Du</w:t>
      </w:r>
      <w:r>
        <w:rPr>
          <w:rFonts w:ascii="Times New Roman" w:hAnsi="Times New Roman" w:eastAsia="宋体" w:cs="Times New Roman"/>
          <w:color w:val="auto"/>
          <w:sz w:val="24"/>
        </w:rPr>
        <w:t>)</w:t>
      </w:r>
      <w:r>
        <w:rPr>
          <w:rFonts w:ascii="Times New Roman" w:hAnsi="Times New Roman" w:cs="Times New Roman"/>
          <w:color w:val="auto"/>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HYPERLINK "mailto:pangbailang@163.com" </w:instrText>
      </w:r>
      <w:r>
        <w:rPr>
          <w:rFonts w:ascii="Times New Roman" w:hAnsi="Times New Roman" w:cs="Times New Roman"/>
          <w:sz w:val="24"/>
        </w:rPr>
        <w:fldChar w:fldCharType="separate"/>
      </w:r>
      <w:r>
        <w:rPr>
          <w:rStyle w:val="5"/>
          <w:rFonts w:ascii="Times New Roman" w:hAnsi="Times New Roman" w:cs="Times New Roman"/>
          <w:color w:val="auto"/>
          <w:sz w:val="24"/>
          <w:u w:val="none"/>
        </w:rPr>
        <w:t>pangbailang@163.com</w:t>
      </w:r>
      <w:r>
        <w:rPr>
          <w:rStyle w:val="5"/>
          <w:rFonts w:ascii="Times New Roman" w:hAnsi="Times New Roman" w:cs="Times New Roman"/>
          <w:color w:val="auto"/>
          <w:sz w:val="24"/>
          <w:u w:val="none"/>
        </w:rPr>
        <w:fldChar w:fldCharType="end"/>
      </w:r>
      <w:r>
        <w:rPr>
          <w:rStyle w:val="5"/>
          <w:rFonts w:ascii="Times New Roman" w:hAnsi="Times New Roman" w:eastAsia="宋体" w:cs="Times New Roman"/>
          <w:color w:val="auto"/>
          <w:sz w:val="24"/>
          <w:u w:val="none"/>
        </w:rPr>
        <w:t xml:space="preserve"> </w:t>
      </w:r>
      <w:r>
        <w:rPr>
          <w:rFonts w:ascii="Times New Roman" w:hAnsi="Times New Roman" w:eastAsia="宋体" w:cs="Times New Roman"/>
          <w:color w:val="auto"/>
          <w:sz w:val="24"/>
        </w:rPr>
        <w:t>(</w:t>
      </w:r>
      <w:r>
        <w:rPr>
          <w:rFonts w:ascii="Times New Roman" w:hAnsi="Times New Roman" w:cs="Times New Roman"/>
          <w:color w:val="auto"/>
          <w:sz w:val="24"/>
        </w:rPr>
        <w:t>Lang Bai</w:t>
      </w:r>
      <w:r>
        <w:rPr>
          <w:rFonts w:ascii="Times New Roman" w:hAnsi="Times New Roman" w:eastAsia="宋体" w:cs="Times New Roman"/>
          <w:color w:val="auto"/>
          <w:sz w:val="24"/>
        </w:rPr>
        <w:t>).</w:t>
      </w:r>
    </w:p>
    <w:p w14:paraId="628B04AD">
      <w:pPr>
        <w:rPr>
          <w:rFonts w:ascii="Times New Roman" w:hAnsi="Times New Roman" w:eastAsia="宋体" w:cs="Times New Roman"/>
          <w:b/>
          <w:bCs/>
          <w:color w:val="auto"/>
          <w:sz w:val="24"/>
        </w:rPr>
      </w:pPr>
    </w:p>
    <w:p w14:paraId="0A3F55E4">
      <w:pPr>
        <w:rPr>
          <w:rFonts w:ascii="Times New Roman" w:hAnsi="Times New Roman" w:eastAsia="宋体" w:cs="Times New Roman"/>
          <w:color w:val="auto"/>
          <w:sz w:val="24"/>
        </w:rPr>
      </w:pPr>
      <w:r>
        <w:rPr>
          <w:rFonts w:ascii="Times New Roman" w:hAnsi="Times New Roman" w:eastAsia="宋体" w:cs="Times New Roman"/>
          <w:b/>
          <w:bCs/>
          <w:color w:val="auto"/>
          <w:sz w:val="24"/>
        </w:rPr>
        <w:t>Email address:</w:t>
      </w:r>
      <w:r>
        <w:rPr>
          <w:rFonts w:ascii="Times New Roman" w:hAnsi="Times New Roman" w:eastAsia="宋体" w:cs="Times New Roman"/>
          <w:color w:val="auto"/>
          <w:sz w:val="24"/>
        </w:rPr>
        <w:t xml:space="preserve"> </w:t>
      </w:r>
      <w:r>
        <w:rPr>
          <w:rStyle w:val="5"/>
          <w:rFonts w:ascii="Times New Roman" w:hAnsi="Times New Roman" w:eastAsia="宋体" w:cs="Times New Roman"/>
          <w:color w:val="auto"/>
          <w:sz w:val="24"/>
          <w:u w:val="none"/>
        </w:rPr>
        <w:t>maxe.doc@163.com,</w:t>
      </w:r>
      <w:r>
        <w:rPr>
          <w:rFonts w:ascii="Times New Roman" w:hAnsi="Times New Roman" w:eastAsia="宋体" w:cs="Times New Roman"/>
          <w:color w:val="auto"/>
          <w:sz w:val="24"/>
        </w:rPr>
        <w:t xml:space="preserve"> or </w:t>
      </w:r>
      <w:r>
        <w:rPr>
          <w:rFonts w:ascii="Times New Roman" w:hAnsi="Times New Roman" w:cs="Times New Roman"/>
          <w:color w:val="auto"/>
          <w:sz w:val="24"/>
          <w:lang w:eastAsia="de-CH"/>
        </w:rPr>
        <w:t>mayuanji@wchscu.edu.cn</w:t>
      </w:r>
      <w:r>
        <w:rPr>
          <w:rFonts w:ascii="Times New Roman" w:hAnsi="Times New Roman" w:eastAsia="宋体" w:cs="Times New Roman"/>
          <w:color w:val="auto"/>
          <w:sz w:val="24"/>
        </w:rPr>
        <w:t xml:space="preserve"> (</w:t>
      </w:r>
      <w:r>
        <w:rPr>
          <w:rFonts w:ascii="Times New Roman" w:hAnsi="Times New Roman" w:cs="Times New Roman"/>
          <w:color w:val="auto"/>
          <w:sz w:val="24"/>
        </w:rPr>
        <w:t>Yuanji Ma</w:t>
      </w:r>
      <w:r>
        <w:rPr>
          <w:rFonts w:ascii="Times New Roman" w:hAnsi="Times New Roman" w:eastAsia="宋体" w:cs="Times New Roman"/>
          <w:color w:val="auto"/>
          <w:sz w:val="24"/>
        </w:rPr>
        <w:t>)</w:t>
      </w:r>
      <w:r>
        <w:rPr>
          <w:rFonts w:ascii="Times New Roman" w:hAnsi="Times New Roman" w:cs="Times New Roman"/>
          <w:color w:val="auto"/>
          <w:sz w:val="24"/>
        </w:rPr>
        <w:t>,</w:t>
      </w:r>
      <w:r>
        <w:rPr>
          <w:rFonts w:ascii="Times New Roman" w:hAnsi="Times New Roman" w:eastAsia="宋体" w:cs="Times New Roman"/>
          <w:color w:val="auto"/>
          <w:sz w:val="24"/>
        </w:rPr>
        <w:t xml:space="preserve"> </w:t>
      </w:r>
      <w:r>
        <w:rPr>
          <w:rFonts w:hint="eastAsia" w:ascii="Times New Roman" w:hAnsi="Times New Roman" w:eastAsia="宋体" w:cs="Times New Roman"/>
          <w:color w:val="auto"/>
          <w:sz w:val="24"/>
        </w:rPr>
        <w:t>523568632@qq.com</w:t>
      </w:r>
      <w:r>
        <w:rPr>
          <w:rFonts w:hint="eastAsia" w:ascii="Times New Roman" w:hAnsi="Times New Roman" w:eastAsia="宋体" w:cs="Times New Roman"/>
          <w:color w:val="auto"/>
          <w:sz w:val="24"/>
          <w:lang w:val="en-US" w:eastAsia="zh-CN"/>
        </w:rPr>
        <w:t xml:space="preserve"> (</w:t>
      </w:r>
      <w:r>
        <w:rPr>
          <w:rFonts w:hint="default" w:ascii="Times New Roman" w:hAnsi="Times New Roman" w:cs="Times New Roman"/>
          <w:color w:val="auto"/>
          <w:sz w:val="24"/>
          <w:szCs w:val="24"/>
          <w:highlight w:val="none"/>
        </w:rPr>
        <w:t>Yan Xu</w:t>
      </w:r>
      <w:r>
        <w:rPr>
          <w:rFonts w:hint="eastAsia" w:ascii="Times New Roman" w:hAnsi="Times New Roman" w:eastAsia="宋体" w:cs="Times New Roman"/>
          <w:color w:val="auto"/>
          <w:sz w:val="24"/>
          <w:lang w:val="en-US" w:eastAsia="zh-CN"/>
        </w:rPr>
        <w:t xml:space="preserve">), </w:t>
      </w:r>
      <w:r>
        <w:rPr>
          <w:rFonts w:ascii="Times New Roman" w:hAnsi="Times New Roman" w:cs="Times New Roman"/>
          <w:color w:val="auto"/>
          <w:sz w:val="24"/>
        </w:rPr>
        <w:t xml:space="preserve">n.sync@163.com </w:t>
      </w:r>
      <w:r>
        <w:rPr>
          <w:rFonts w:ascii="Times New Roman" w:hAnsi="Times New Roman" w:eastAsia="宋体" w:cs="Times New Roman"/>
          <w:color w:val="auto"/>
          <w:sz w:val="24"/>
        </w:rPr>
        <w:t>(</w:t>
      </w:r>
      <w:r>
        <w:rPr>
          <w:rFonts w:ascii="Times New Roman" w:hAnsi="Times New Roman" w:cs="Times New Roman"/>
          <w:color w:val="auto"/>
          <w:sz w:val="24"/>
        </w:rPr>
        <w:t>Lingyao Du</w:t>
      </w:r>
      <w:r>
        <w:rPr>
          <w:rFonts w:ascii="Times New Roman" w:hAnsi="Times New Roman" w:eastAsia="宋体" w:cs="Times New Roman"/>
          <w:color w:val="auto"/>
          <w:sz w:val="24"/>
        </w:rPr>
        <w:t>)</w:t>
      </w:r>
      <w:r>
        <w:rPr>
          <w:rFonts w:ascii="Times New Roman" w:hAnsi="Times New Roman" w:cs="Times New Roman"/>
          <w:color w:val="auto"/>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HYPERLINK "mailto:pangbailang@163.com" </w:instrText>
      </w:r>
      <w:r>
        <w:rPr>
          <w:rFonts w:ascii="Times New Roman" w:hAnsi="Times New Roman" w:cs="Times New Roman"/>
          <w:sz w:val="24"/>
        </w:rPr>
        <w:fldChar w:fldCharType="separate"/>
      </w:r>
      <w:r>
        <w:rPr>
          <w:rStyle w:val="5"/>
          <w:rFonts w:ascii="Times New Roman" w:hAnsi="Times New Roman" w:cs="Times New Roman"/>
          <w:color w:val="auto"/>
          <w:sz w:val="24"/>
          <w:u w:val="none"/>
        </w:rPr>
        <w:t>pangbailang@163.com</w:t>
      </w:r>
      <w:r>
        <w:rPr>
          <w:rStyle w:val="5"/>
          <w:rFonts w:ascii="Times New Roman" w:hAnsi="Times New Roman" w:cs="Times New Roman"/>
          <w:color w:val="auto"/>
          <w:sz w:val="24"/>
          <w:u w:val="none"/>
        </w:rPr>
        <w:fldChar w:fldCharType="end"/>
      </w:r>
      <w:r>
        <w:rPr>
          <w:rStyle w:val="5"/>
          <w:rFonts w:ascii="Times New Roman" w:hAnsi="Times New Roman" w:eastAsia="宋体" w:cs="Times New Roman"/>
          <w:color w:val="auto"/>
          <w:sz w:val="24"/>
          <w:u w:val="none"/>
        </w:rPr>
        <w:t xml:space="preserve"> </w:t>
      </w:r>
      <w:r>
        <w:rPr>
          <w:rFonts w:ascii="Times New Roman" w:hAnsi="Times New Roman" w:eastAsia="宋体" w:cs="Times New Roman"/>
          <w:color w:val="auto"/>
          <w:sz w:val="24"/>
        </w:rPr>
        <w:t>(</w:t>
      </w:r>
      <w:r>
        <w:rPr>
          <w:rFonts w:ascii="Times New Roman" w:hAnsi="Times New Roman" w:cs="Times New Roman"/>
          <w:color w:val="auto"/>
          <w:sz w:val="24"/>
        </w:rPr>
        <w:t>Lang Bai</w:t>
      </w:r>
      <w:r>
        <w:rPr>
          <w:rFonts w:ascii="Times New Roman" w:hAnsi="Times New Roman" w:eastAsia="宋体" w:cs="Times New Roman"/>
          <w:color w:val="auto"/>
          <w:sz w:val="24"/>
        </w:rPr>
        <w:t>),</w:t>
      </w:r>
      <w:r>
        <w:rPr>
          <w:rFonts w:ascii="Times New Roman" w:hAnsi="Times New Roman" w:cs="Times New Roman"/>
          <w:color w:val="auto"/>
          <w:sz w:val="24"/>
        </w:rPr>
        <w:t xml:space="preserve"> </w:t>
      </w:r>
      <w:r>
        <w:rPr>
          <w:rStyle w:val="5"/>
          <w:rFonts w:ascii="Times New Roman" w:hAnsi="Times New Roman" w:cs="Times New Roman"/>
          <w:color w:val="auto"/>
          <w:sz w:val="24"/>
          <w:u w:val="none"/>
        </w:rPr>
        <w:t>htang6198@hotmail.com</w:t>
      </w:r>
      <w:r>
        <w:rPr>
          <w:rFonts w:ascii="Times New Roman" w:hAnsi="Times New Roman" w:eastAsia="宋体" w:cs="Times New Roman"/>
          <w:color w:val="auto"/>
          <w:sz w:val="24"/>
        </w:rPr>
        <w:t xml:space="preserve"> (</w:t>
      </w:r>
      <w:r>
        <w:rPr>
          <w:rFonts w:ascii="Times New Roman" w:hAnsi="Times New Roman" w:cs="Times New Roman"/>
          <w:color w:val="auto"/>
          <w:sz w:val="24"/>
        </w:rPr>
        <w:t>Hong Tang</w:t>
      </w:r>
      <w:r>
        <w:rPr>
          <w:rFonts w:ascii="Times New Roman" w:hAnsi="Times New Roman" w:eastAsia="宋体" w:cs="Times New Roman"/>
          <w:color w:val="auto"/>
          <w:sz w:val="24"/>
        </w:rPr>
        <w:t>).</w:t>
      </w:r>
    </w:p>
    <w:p w14:paraId="3ACEB4AA">
      <w:pPr>
        <w:rPr>
          <w:rFonts w:ascii="Times New Roman" w:hAnsi="Times New Roman" w:eastAsia="宋体" w:cs="Times New Roman"/>
          <w:color w:val="auto"/>
          <w:sz w:val="24"/>
        </w:rPr>
      </w:pPr>
    </w:p>
    <w:p w14:paraId="7F83AF77">
      <w:pPr>
        <w:rPr>
          <w:rFonts w:ascii="Times New Roman" w:hAnsi="Times New Roman" w:cs="Times New Roman"/>
          <w:sz w:val="24"/>
          <w:lang w:eastAsia="en-US" w:bidi="ar"/>
        </w:rPr>
        <w:sectPr>
          <w:pgSz w:w="16838" w:h="11906" w:orient="landscape"/>
          <w:pgMar w:top="567" w:right="1440" w:bottom="567" w:left="1440" w:header="851" w:footer="992" w:gutter="0"/>
          <w:cols w:space="425" w:num="1"/>
          <w:docGrid w:type="lines" w:linePitch="312" w:charSpace="0"/>
        </w:sectPr>
      </w:pPr>
      <w:r>
        <w:rPr>
          <w:rFonts w:ascii="Times New Roman" w:hAnsi="Times New Roman" w:cs="Times New Roman"/>
          <w:b/>
          <w:bCs/>
          <w:sz w:val="24"/>
          <w:lang w:bidi="ar"/>
        </w:rPr>
        <w:t>Conflicts of Interest and Source of Funding:</w:t>
      </w:r>
      <w:r>
        <w:rPr>
          <w:rFonts w:ascii="Times New Roman" w:hAnsi="Times New Roman" w:eastAsia="宋体" w:cs="Times New Roman"/>
          <w:sz w:val="24"/>
        </w:rPr>
        <w:t xml:space="preserve"> This study was supported by grants from the National Key Research and Development Program of China (2022YFC2304800)</w:t>
      </w:r>
      <w:r>
        <w:rPr>
          <w:rFonts w:ascii="Times New Roman" w:hAnsi="Times New Roman" w:eastAsia="MingLiU" w:cs="Times New Roman"/>
          <w:color w:val="000000"/>
          <w:kern w:val="0"/>
          <w:sz w:val="24"/>
        </w:rPr>
        <w:t xml:space="preserve"> </w:t>
      </w:r>
      <w:r>
        <w:rPr>
          <w:rFonts w:ascii="Times New Roman" w:hAnsi="Times New Roman" w:cs="Times New Roman"/>
          <w:sz w:val="24"/>
        </w:rPr>
        <w:t>and the 1.3.5 project for disciplines of excellence, West China Hospital, Sichuan University (ZYGD23030)</w:t>
      </w:r>
      <w:r>
        <w:rPr>
          <w:rFonts w:ascii="Times New Roman" w:hAnsi="Times New Roman" w:eastAsia="宋体" w:cs="Times New Roman"/>
          <w:sz w:val="24"/>
        </w:rPr>
        <w:t>.</w:t>
      </w:r>
      <w:r>
        <w:rPr>
          <w:rFonts w:ascii="Times New Roman" w:hAnsi="Times New Roman" w:eastAsia="宋体" w:cs="Times New Roman"/>
          <w:sz w:val="24"/>
          <w:lang w:bidi="ar"/>
        </w:rPr>
        <w:t xml:space="preserve"> </w:t>
      </w:r>
      <w:r>
        <w:rPr>
          <w:rFonts w:ascii="Times New Roman" w:hAnsi="Times New Roman" w:cs="Times New Roman"/>
          <w:sz w:val="24"/>
          <w:lang w:eastAsia="en-US" w:bidi="ar"/>
        </w:rPr>
        <w:t>The authors declare that this research was conducted in the absence of any commercial or financial relationships that could be construed as potential conflict</w:t>
      </w:r>
      <w:r>
        <w:rPr>
          <w:rFonts w:ascii="Times New Roman" w:hAnsi="Times New Roman" w:eastAsia="宋体" w:cs="Times New Roman"/>
          <w:sz w:val="24"/>
          <w:lang w:bidi="ar"/>
        </w:rPr>
        <w:t>s</w:t>
      </w:r>
      <w:r>
        <w:rPr>
          <w:rFonts w:ascii="Times New Roman" w:hAnsi="Times New Roman" w:cs="Times New Roman"/>
          <w:sz w:val="24"/>
          <w:lang w:eastAsia="en-US" w:bidi="ar"/>
        </w:rPr>
        <w:t xml:space="preserve"> of interest.</w:t>
      </w:r>
    </w:p>
    <w:p w14:paraId="10F4E1C1">
      <w:pPr>
        <w:rPr>
          <w:rFonts w:ascii="Times New Roman" w:hAnsi="Times New Roman" w:cs="Times New Roman"/>
          <w:sz w:val="24"/>
          <w:lang w:eastAsia="en-US" w:bidi="ar"/>
        </w:rPr>
      </w:pPr>
      <w:bookmarkStart w:id="0" w:name="_GoBack"/>
      <w:bookmarkEnd w:id="0"/>
    </w:p>
    <w:p w14:paraId="7E0861B9">
      <w:pPr>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Supplementary </w:t>
      </w:r>
      <w:r>
        <w:rPr>
          <w:rFonts w:hint="default" w:ascii="Times New Roman" w:hAnsi="Times New Roman" w:cs="Times New Roman"/>
          <w:b/>
          <w:bCs/>
          <w:color w:val="auto"/>
          <w:sz w:val="21"/>
          <w:szCs w:val="21"/>
        </w:rPr>
        <w:t xml:space="preserve">Table </w:t>
      </w:r>
      <w:r>
        <w:rPr>
          <w:rFonts w:hint="default" w:ascii="Times New Roman" w:hAnsi="Times New Roman" w:cs="Times New Roman"/>
          <w:b/>
          <w:bCs/>
          <w:color w:val="auto"/>
          <w:sz w:val="21"/>
          <w:szCs w:val="21"/>
          <w:lang w:val="en-US" w:eastAsia="zh-CN"/>
        </w:rPr>
        <w:t>S1</w:t>
      </w:r>
      <w:r>
        <w:rPr>
          <w:rFonts w:hint="default" w:ascii="Times New Roman" w:hAnsi="Times New Roman" w:cs="Times New Roman"/>
          <w:b/>
          <w:bCs/>
          <w:color w:val="auto"/>
          <w:sz w:val="21"/>
          <w:szCs w:val="21"/>
        </w:rPr>
        <w:t xml:space="preserve">. </w:t>
      </w:r>
      <w:r>
        <w:rPr>
          <w:rFonts w:hint="default" w:ascii="Times New Roman" w:hAnsi="Times New Roman" w:cs="Times New Roman"/>
          <w:b/>
          <w:bCs/>
          <w:color w:val="auto"/>
          <w:sz w:val="21"/>
          <w:szCs w:val="21"/>
          <w:lang w:val="en-US" w:eastAsia="zh-CN"/>
        </w:rPr>
        <w:t>Volume of processed plasma</w:t>
      </w:r>
      <w:r>
        <w:rPr>
          <w:rFonts w:hint="default" w:ascii="Times New Roman" w:hAnsi="Times New Roman" w:cs="Times New Roman"/>
          <w:b/>
          <w:bCs/>
          <w:color w:val="auto"/>
          <w:sz w:val="21"/>
          <w:szCs w:val="21"/>
        </w:rPr>
        <w:t xml:space="preserve"> of DPMAS treatment and its </w:t>
      </w:r>
      <w:r>
        <w:rPr>
          <w:rFonts w:hint="default" w:ascii="Times New Roman" w:hAnsi="Times New Roman" w:cs="Times New Roman"/>
          <w:b/>
          <w:bCs/>
          <w:color w:val="auto"/>
          <w:sz w:val="21"/>
          <w:szCs w:val="21"/>
          <w:shd w:val="clear" w:color="auto" w:fill="FFFFFF"/>
        </w:rPr>
        <w:t xml:space="preserve">immediate effect on </w:t>
      </w:r>
      <w:r>
        <w:rPr>
          <w:rFonts w:hint="default" w:ascii="Times New Roman" w:hAnsi="Times New Roman" w:cs="Times New Roman"/>
          <w:b/>
          <w:bCs/>
          <w:color w:val="auto"/>
          <w:sz w:val="21"/>
          <w:szCs w:val="21"/>
        </w:rPr>
        <w:t>total bilirubin</w:t>
      </w:r>
      <w:r>
        <w:rPr>
          <w:rFonts w:hint="default" w:ascii="Times New Roman" w:hAnsi="Times New Roman" w:cs="Times New Roman"/>
          <w:b/>
          <w:bCs/>
          <w:color w:val="auto"/>
          <w:sz w:val="21"/>
          <w:szCs w:val="21"/>
          <w:lang w:val="en-US" w:eastAsia="zh-CN"/>
        </w:rPr>
        <w:t>.</w:t>
      </w:r>
    </w:p>
    <w:tbl>
      <w:tblPr>
        <w:tblStyle w:val="3"/>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1"/>
        <w:gridCol w:w="1106"/>
        <w:gridCol w:w="2226"/>
        <w:gridCol w:w="1265"/>
        <w:gridCol w:w="235"/>
        <w:gridCol w:w="2277"/>
        <w:gridCol w:w="222"/>
        <w:gridCol w:w="1860"/>
        <w:gridCol w:w="1917"/>
        <w:gridCol w:w="1515"/>
      </w:tblGrid>
      <w:tr w14:paraId="17B1C6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547" w:type="pct"/>
            <w:vMerge w:val="restart"/>
            <w:vAlign w:val="center"/>
          </w:tcPr>
          <w:p w14:paraId="5EA5ED3C">
            <w:pPr>
              <w:spacing w:line="240" w:lineRule="auto"/>
              <w:rPr>
                <w:rFonts w:hint="default" w:ascii="Times New Roman" w:hAnsi="Times New Roman" w:cs="Times New Roman"/>
                <w:color w:val="auto"/>
                <w:sz w:val="21"/>
                <w:szCs w:val="21"/>
              </w:rPr>
            </w:pPr>
          </w:p>
        </w:tc>
        <w:tc>
          <w:tcPr>
            <w:tcW w:w="390" w:type="pct"/>
            <w:vMerge w:val="restart"/>
            <w:vAlign w:val="center"/>
          </w:tcPr>
          <w:p w14:paraId="1C69141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Blood flow</w:t>
            </w:r>
          </w:p>
          <w:p w14:paraId="37C34B5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(mL/min)</w:t>
            </w:r>
          </w:p>
        </w:tc>
        <w:tc>
          <w:tcPr>
            <w:tcW w:w="2117" w:type="pct"/>
            <w:gridSpan w:val="4"/>
            <w:tcBorders>
              <w:bottom w:val="single" w:color="auto" w:sz="4" w:space="0"/>
            </w:tcBorders>
            <w:vAlign w:val="center"/>
          </w:tcPr>
          <w:p w14:paraId="01ACA8B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Volume of processed plasma</w:t>
            </w:r>
            <w:r>
              <w:rPr>
                <w:rFonts w:hint="default" w:ascii="Times New Roman" w:hAnsi="Times New Roman" w:cs="Times New Roman"/>
                <w:color w:val="auto"/>
                <w:sz w:val="21"/>
                <w:szCs w:val="21"/>
              </w:rPr>
              <w:t xml:space="preserve"> </w:t>
            </w:r>
            <w:r>
              <w:rPr>
                <w:rFonts w:hint="eastAsia" w:ascii="Times New Roman" w:hAnsi="Times New Roman" w:cs="Times New Roman"/>
                <w:color w:val="auto"/>
                <w:sz w:val="21"/>
                <w:szCs w:val="21"/>
                <w:lang w:val="en-US" w:eastAsia="zh-CN"/>
              </w:rPr>
              <w:t xml:space="preserve">of </w:t>
            </w:r>
            <w:r>
              <w:rPr>
                <w:rFonts w:hint="default" w:ascii="Times New Roman" w:hAnsi="Times New Roman" w:cs="Times New Roman"/>
                <w:color w:val="auto"/>
                <w:sz w:val="21"/>
                <w:szCs w:val="21"/>
              </w:rPr>
              <w:t>DPMAS treatment</w:t>
            </w:r>
          </w:p>
        </w:tc>
        <w:tc>
          <w:tcPr>
            <w:tcW w:w="78" w:type="pct"/>
            <w:vAlign w:val="center"/>
          </w:tcPr>
          <w:p w14:paraId="64CDD7DD">
            <w:pPr>
              <w:spacing w:line="240" w:lineRule="auto"/>
              <w:rPr>
                <w:rFonts w:hint="default" w:ascii="Times New Roman" w:hAnsi="Times New Roman" w:cs="Times New Roman"/>
                <w:color w:val="auto"/>
                <w:sz w:val="21"/>
                <w:szCs w:val="21"/>
              </w:rPr>
            </w:pPr>
          </w:p>
        </w:tc>
        <w:tc>
          <w:tcPr>
            <w:tcW w:w="1866" w:type="pct"/>
            <w:gridSpan w:val="3"/>
            <w:vMerge w:val="restart"/>
            <w:vAlign w:val="center"/>
          </w:tcPr>
          <w:p w14:paraId="203FF30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shd w:val="clear" w:color="auto" w:fill="FFFFFF"/>
              </w:rPr>
              <w:t>Immediate effect on</w:t>
            </w:r>
            <w:r>
              <w:rPr>
                <w:rFonts w:hint="default" w:ascii="Times New Roman" w:hAnsi="Times New Roman" w:cs="Times New Roman"/>
                <w:color w:val="auto"/>
                <w:sz w:val="21"/>
                <w:szCs w:val="21"/>
              </w:rPr>
              <w:t xml:space="preserve"> total bilirubin</w:t>
            </w:r>
          </w:p>
        </w:tc>
      </w:tr>
      <w:tr w14:paraId="12A2CE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trPr>
        <w:tc>
          <w:tcPr>
            <w:tcW w:w="547" w:type="pct"/>
            <w:vMerge w:val="continue"/>
            <w:vAlign w:val="center"/>
          </w:tcPr>
          <w:p w14:paraId="48E1AD71">
            <w:pPr>
              <w:spacing w:line="240" w:lineRule="auto"/>
              <w:rPr>
                <w:rFonts w:hint="default" w:ascii="Times New Roman" w:hAnsi="Times New Roman" w:cs="Times New Roman"/>
                <w:color w:val="auto"/>
                <w:sz w:val="21"/>
                <w:szCs w:val="21"/>
              </w:rPr>
            </w:pPr>
          </w:p>
        </w:tc>
        <w:tc>
          <w:tcPr>
            <w:tcW w:w="390" w:type="pct"/>
            <w:vMerge w:val="continue"/>
            <w:vAlign w:val="center"/>
          </w:tcPr>
          <w:p w14:paraId="4EA3328E">
            <w:pPr>
              <w:spacing w:line="240" w:lineRule="auto"/>
              <w:rPr>
                <w:rFonts w:hint="default" w:ascii="Times New Roman" w:hAnsi="Times New Roman" w:cs="Times New Roman"/>
                <w:color w:val="auto"/>
                <w:sz w:val="21"/>
                <w:szCs w:val="21"/>
              </w:rPr>
            </w:pPr>
          </w:p>
        </w:tc>
        <w:tc>
          <w:tcPr>
            <w:tcW w:w="1231" w:type="pct"/>
            <w:gridSpan w:val="2"/>
            <w:tcBorders>
              <w:top w:val="single" w:color="auto" w:sz="4" w:space="0"/>
              <w:bottom w:val="single" w:color="auto" w:sz="4" w:space="0"/>
            </w:tcBorders>
            <w:vAlign w:val="center"/>
          </w:tcPr>
          <w:p w14:paraId="3CB12D86">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I</w:t>
            </w:r>
            <w:r>
              <w:rPr>
                <w:rFonts w:hint="default" w:ascii="Times New Roman" w:hAnsi="Times New Roman" w:cs="Times New Roman"/>
                <w:color w:val="auto"/>
                <w:sz w:val="21"/>
                <w:szCs w:val="21"/>
                <w:shd w:val="clear" w:color="auto" w:fill="FFFFFF"/>
              </w:rPr>
              <w:t>ndirectly hinted</w:t>
            </w:r>
          </w:p>
        </w:tc>
        <w:tc>
          <w:tcPr>
            <w:tcW w:w="83" w:type="pct"/>
            <w:tcBorders>
              <w:top w:val="single" w:color="auto" w:sz="4" w:space="0"/>
            </w:tcBorders>
            <w:vAlign w:val="center"/>
          </w:tcPr>
          <w:p w14:paraId="42F0BC94">
            <w:pPr>
              <w:spacing w:line="240" w:lineRule="auto"/>
              <w:rPr>
                <w:rFonts w:hint="default" w:ascii="Times New Roman" w:hAnsi="Times New Roman" w:cs="Times New Roman"/>
                <w:color w:val="auto"/>
                <w:sz w:val="21"/>
                <w:szCs w:val="21"/>
              </w:rPr>
            </w:pPr>
          </w:p>
        </w:tc>
        <w:tc>
          <w:tcPr>
            <w:tcW w:w="802" w:type="pct"/>
            <w:tcBorders>
              <w:top w:val="single" w:color="auto" w:sz="4" w:space="0"/>
              <w:bottom w:val="single" w:color="auto" w:sz="4" w:space="0"/>
            </w:tcBorders>
            <w:vAlign w:val="center"/>
          </w:tcPr>
          <w:p w14:paraId="4A101CA7">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D</w:t>
            </w:r>
            <w:r>
              <w:rPr>
                <w:rFonts w:hint="default" w:ascii="Times New Roman" w:hAnsi="Times New Roman" w:cs="Times New Roman"/>
                <w:color w:val="auto"/>
                <w:sz w:val="21"/>
                <w:szCs w:val="21"/>
                <w:shd w:val="clear" w:color="auto" w:fill="FFFFFF"/>
              </w:rPr>
              <w:t>irect representation</w:t>
            </w:r>
          </w:p>
        </w:tc>
        <w:tc>
          <w:tcPr>
            <w:tcW w:w="78" w:type="pct"/>
            <w:tcBorders>
              <w:bottom w:val="nil"/>
            </w:tcBorders>
            <w:vAlign w:val="center"/>
          </w:tcPr>
          <w:p w14:paraId="09BFBA31">
            <w:pPr>
              <w:spacing w:line="240" w:lineRule="auto"/>
              <w:rPr>
                <w:rFonts w:hint="default" w:ascii="Times New Roman" w:hAnsi="Times New Roman" w:cs="Times New Roman"/>
                <w:color w:val="auto"/>
                <w:sz w:val="21"/>
                <w:szCs w:val="21"/>
              </w:rPr>
            </w:pPr>
          </w:p>
        </w:tc>
        <w:tc>
          <w:tcPr>
            <w:tcW w:w="1866" w:type="pct"/>
            <w:gridSpan w:val="3"/>
            <w:vMerge w:val="continue"/>
            <w:tcBorders>
              <w:bottom w:val="single" w:color="auto" w:sz="4" w:space="0"/>
            </w:tcBorders>
            <w:vAlign w:val="center"/>
          </w:tcPr>
          <w:p w14:paraId="503C8813">
            <w:pPr>
              <w:spacing w:line="240" w:lineRule="auto"/>
              <w:rPr>
                <w:rFonts w:hint="default" w:ascii="Times New Roman" w:hAnsi="Times New Roman" w:cs="Times New Roman"/>
                <w:color w:val="auto"/>
                <w:sz w:val="21"/>
                <w:szCs w:val="21"/>
              </w:rPr>
            </w:pPr>
          </w:p>
        </w:tc>
      </w:tr>
      <w:tr w14:paraId="17D441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Merge w:val="continue"/>
            <w:tcBorders>
              <w:bottom w:val="single" w:color="auto" w:sz="4" w:space="0"/>
            </w:tcBorders>
            <w:vAlign w:val="center"/>
          </w:tcPr>
          <w:p w14:paraId="39CCFB2B">
            <w:pPr>
              <w:spacing w:line="240" w:lineRule="auto"/>
              <w:rPr>
                <w:rFonts w:hint="default" w:ascii="Times New Roman" w:hAnsi="Times New Roman" w:cs="Times New Roman"/>
                <w:color w:val="auto"/>
                <w:sz w:val="21"/>
                <w:szCs w:val="21"/>
              </w:rPr>
            </w:pPr>
          </w:p>
        </w:tc>
        <w:tc>
          <w:tcPr>
            <w:tcW w:w="390" w:type="pct"/>
            <w:vMerge w:val="continue"/>
            <w:tcBorders>
              <w:bottom w:val="single" w:color="auto" w:sz="4" w:space="0"/>
            </w:tcBorders>
            <w:vAlign w:val="center"/>
          </w:tcPr>
          <w:p w14:paraId="3437F48A">
            <w:pPr>
              <w:spacing w:line="240" w:lineRule="auto"/>
              <w:rPr>
                <w:rFonts w:hint="default" w:ascii="Times New Roman" w:hAnsi="Times New Roman" w:cs="Times New Roman"/>
                <w:color w:val="auto"/>
                <w:sz w:val="21"/>
                <w:szCs w:val="21"/>
              </w:rPr>
            </w:pPr>
          </w:p>
        </w:tc>
        <w:tc>
          <w:tcPr>
            <w:tcW w:w="785" w:type="pct"/>
            <w:tcBorders>
              <w:top w:val="single" w:color="auto" w:sz="4" w:space="0"/>
              <w:bottom w:val="single" w:color="auto" w:sz="4" w:space="0"/>
            </w:tcBorders>
            <w:vAlign w:val="center"/>
          </w:tcPr>
          <w:p w14:paraId="167E15D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Plasma separation flow (mL/min)</w:t>
            </w:r>
          </w:p>
        </w:tc>
        <w:tc>
          <w:tcPr>
            <w:tcW w:w="446" w:type="pct"/>
            <w:tcBorders>
              <w:top w:val="single" w:color="auto" w:sz="4" w:space="0"/>
              <w:bottom w:val="single" w:color="auto" w:sz="4" w:space="0"/>
            </w:tcBorders>
            <w:vAlign w:val="center"/>
          </w:tcPr>
          <w:p w14:paraId="53C20FF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Treatment duration (h)</w:t>
            </w:r>
          </w:p>
        </w:tc>
        <w:tc>
          <w:tcPr>
            <w:tcW w:w="83" w:type="pct"/>
            <w:tcBorders>
              <w:bottom w:val="single" w:color="auto" w:sz="4" w:space="0"/>
            </w:tcBorders>
            <w:vAlign w:val="center"/>
          </w:tcPr>
          <w:p w14:paraId="41FD728B">
            <w:pPr>
              <w:spacing w:line="240" w:lineRule="auto"/>
              <w:rPr>
                <w:rFonts w:hint="default" w:ascii="Times New Roman" w:hAnsi="Times New Roman" w:cs="Times New Roman"/>
                <w:color w:val="auto"/>
                <w:sz w:val="21"/>
                <w:szCs w:val="21"/>
              </w:rPr>
            </w:pPr>
          </w:p>
        </w:tc>
        <w:tc>
          <w:tcPr>
            <w:tcW w:w="802" w:type="pct"/>
            <w:tcBorders>
              <w:top w:val="single" w:color="auto" w:sz="4" w:space="0"/>
              <w:bottom w:val="single" w:color="auto" w:sz="4" w:space="0"/>
            </w:tcBorders>
            <w:vAlign w:val="center"/>
          </w:tcPr>
          <w:p w14:paraId="317BA06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Plasma processed (mL)</w:t>
            </w:r>
          </w:p>
        </w:tc>
        <w:tc>
          <w:tcPr>
            <w:tcW w:w="78" w:type="pct"/>
            <w:tcBorders>
              <w:top w:val="nil"/>
              <w:bottom w:val="single" w:color="auto" w:sz="4" w:space="0"/>
            </w:tcBorders>
            <w:vAlign w:val="center"/>
          </w:tcPr>
          <w:p w14:paraId="21741B5B">
            <w:pPr>
              <w:spacing w:line="240" w:lineRule="auto"/>
              <w:rPr>
                <w:rFonts w:hint="default" w:ascii="Times New Roman" w:hAnsi="Times New Roman" w:cs="Times New Roman"/>
                <w:color w:val="auto"/>
                <w:sz w:val="21"/>
                <w:szCs w:val="21"/>
              </w:rPr>
            </w:pPr>
          </w:p>
        </w:tc>
        <w:tc>
          <w:tcPr>
            <w:tcW w:w="656" w:type="pct"/>
            <w:tcBorders>
              <w:top w:val="single" w:color="auto" w:sz="4" w:space="0"/>
              <w:bottom w:val="single" w:color="auto" w:sz="4" w:space="0"/>
            </w:tcBorders>
            <w:vAlign w:val="center"/>
          </w:tcPr>
          <w:p w14:paraId="0EFE68C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Pre-treatment (μmol/L)</w:t>
            </w:r>
          </w:p>
        </w:tc>
        <w:tc>
          <w:tcPr>
            <w:tcW w:w="676" w:type="pct"/>
            <w:tcBorders>
              <w:top w:val="single" w:color="auto" w:sz="4" w:space="0"/>
              <w:bottom w:val="single" w:color="auto" w:sz="4" w:space="0"/>
            </w:tcBorders>
            <w:vAlign w:val="center"/>
          </w:tcPr>
          <w:p w14:paraId="049BF2B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Post-treatment (μmol/L)</w:t>
            </w:r>
          </w:p>
        </w:tc>
        <w:tc>
          <w:tcPr>
            <w:tcW w:w="534" w:type="pct"/>
            <w:tcBorders>
              <w:top w:val="single" w:color="auto" w:sz="4" w:space="0"/>
              <w:bottom w:val="single" w:color="auto" w:sz="4" w:space="0"/>
            </w:tcBorders>
            <w:vAlign w:val="center"/>
          </w:tcPr>
          <w:p w14:paraId="50AB7DA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shd w:val="clear" w:color="auto" w:fill="FFFFFF"/>
                <w:lang w:val="en-US" w:eastAsia="zh-CN"/>
              </w:rPr>
              <w:t>R</w:t>
            </w:r>
            <w:r>
              <w:rPr>
                <w:rFonts w:hint="default" w:ascii="Times New Roman" w:hAnsi="Times New Roman" w:cs="Times New Roman"/>
                <w:color w:val="auto"/>
                <w:sz w:val="21"/>
                <w:szCs w:val="21"/>
                <w:lang w:val="en-US" w:eastAsia="zh-CN"/>
              </w:rPr>
              <w:t>eduction</w:t>
            </w:r>
            <w:r>
              <w:rPr>
                <w:rFonts w:hint="default" w:ascii="Times New Roman" w:hAnsi="Times New Roman" w:cs="Times New Roman"/>
                <w:color w:val="auto"/>
                <w:sz w:val="21"/>
                <w:szCs w:val="21"/>
              </w:rPr>
              <w:t xml:space="preserve"> rate (%)</w:t>
            </w:r>
          </w:p>
        </w:tc>
      </w:tr>
      <w:tr w14:paraId="43AB8D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tcBorders>
              <w:top w:val="single" w:color="auto" w:sz="4" w:space="0"/>
            </w:tcBorders>
            <w:vAlign w:val="center"/>
          </w:tcPr>
          <w:p w14:paraId="782FC1D8">
            <w:pPr>
              <w:spacing w:line="240" w:lineRule="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shd w:val="clear" w:color="auto" w:fill="FFFFFF"/>
              </w:rPr>
              <w:t>Product manual</w:t>
            </w:r>
          </w:p>
        </w:tc>
        <w:tc>
          <w:tcPr>
            <w:tcW w:w="390" w:type="pct"/>
            <w:tcBorders>
              <w:top w:val="single" w:color="auto" w:sz="4" w:space="0"/>
            </w:tcBorders>
            <w:vAlign w:val="center"/>
          </w:tcPr>
          <w:p w14:paraId="24F40B0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5" w:type="pct"/>
            <w:tcBorders>
              <w:top w:val="single" w:color="auto" w:sz="4" w:space="0"/>
            </w:tcBorders>
            <w:vAlign w:val="center"/>
          </w:tcPr>
          <w:p w14:paraId="6612A12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20-50</w:t>
            </w:r>
          </w:p>
        </w:tc>
        <w:tc>
          <w:tcPr>
            <w:tcW w:w="446" w:type="pct"/>
            <w:tcBorders>
              <w:top w:val="single" w:color="auto" w:sz="4" w:space="0"/>
            </w:tcBorders>
            <w:vAlign w:val="center"/>
          </w:tcPr>
          <w:p w14:paraId="2114455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w:t>
            </w:r>
          </w:p>
        </w:tc>
        <w:tc>
          <w:tcPr>
            <w:tcW w:w="83" w:type="pct"/>
            <w:tcBorders>
              <w:top w:val="single" w:color="auto" w:sz="4" w:space="0"/>
            </w:tcBorders>
            <w:vAlign w:val="center"/>
          </w:tcPr>
          <w:p w14:paraId="324E0F10">
            <w:pPr>
              <w:spacing w:line="240" w:lineRule="auto"/>
              <w:rPr>
                <w:rFonts w:hint="default" w:ascii="Times New Roman" w:hAnsi="Times New Roman" w:cs="Times New Roman"/>
                <w:color w:val="auto"/>
                <w:sz w:val="21"/>
                <w:szCs w:val="21"/>
              </w:rPr>
            </w:pPr>
          </w:p>
        </w:tc>
        <w:tc>
          <w:tcPr>
            <w:tcW w:w="802" w:type="pct"/>
            <w:tcBorders>
              <w:top w:val="single" w:color="auto" w:sz="4" w:space="0"/>
            </w:tcBorders>
            <w:vAlign w:val="center"/>
          </w:tcPr>
          <w:p w14:paraId="411512C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3600-5400</w:t>
            </w:r>
          </w:p>
        </w:tc>
        <w:tc>
          <w:tcPr>
            <w:tcW w:w="78" w:type="pct"/>
            <w:tcBorders>
              <w:top w:val="single" w:color="auto" w:sz="4" w:space="0"/>
            </w:tcBorders>
            <w:vAlign w:val="center"/>
          </w:tcPr>
          <w:p w14:paraId="6EF9AC7B">
            <w:pPr>
              <w:spacing w:line="240" w:lineRule="auto"/>
              <w:rPr>
                <w:rFonts w:hint="default" w:ascii="Times New Roman" w:hAnsi="Times New Roman" w:cs="Times New Roman"/>
                <w:color w:val="auto"/>
                <w:sz w:val="21"/>
                <w:szCs w:val="21"/>
              </w:rPr>
            </w:pPr>
          </w:p>
        </w:tc>
        <w:tc>
          <w:tcPr>
            <w:tcW w:w="656" w:type="pct"/>
            <w:tcBorders>
              <w:top w:val="single" w:color="auto" w:sz="4" w:space="0"/>
            </w:tcBorders>
            <w:vAlign w:val="center"/>
          </w:tcPr>
          <w:p w14:paraId="3FEFDF5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tcBorders>
              <w:top w:val="single" w:color="auto" w:sz="4" w:space="0"/>
            </w:tcBorders>
            <w:vAlign w:val="center"/>
          </w:tcPr>
          <w:p w14:paraId="70783DF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tcBorders>
              <w:top w:val="single" w:color="auto" w:sz="4" w:space="0"/>
            </w:tcBorders>
            <w:vAlign w:val="center"/>
          </w:tcPr>
          <w:p w14:paraId="7C471FD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1F0364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4EEE553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Expert consensus</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KYMRREF{93EBA3E8-6F3A-4856-9B16-47EAA13064B5}464</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w:t>
            </w:r>
            <w:r>
              <w:rPr>
                <w:rFonts w:hint="default" w:ascii="Times New Roman" w:hAnsi="Times New Roman" w:cs="Times New Roman"/>
                <w:color w:val="auto"/>
                <w:sz w:val="21"/>
                <w:szCs w:val="21"/>
              </w:rPr>
              <w:fldChar w:fldCharType="end"/>
            </w:r>
          </w:p>
        </w:tc>
        <w:tc>
          <w:tcPr>
            <w:tcW w:w="390" w:type="pct"/>
            <w:vAlign w:val="center"/>
          </w:tcPr>
          <w:p w14:paraId="08340F6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785" w:type="pct"/>
            <w:vAlign w:val="center"/>
          </w:tcPr>
          <w:p w14:paraId="0FCA9F5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20-45</w:t>
            </w:r>
          </w:p>
        </w:tc>
        <w:tc>
          <w:tcPr>
            <w:tcW w:w="446" w:type="pct"/>
            <w:vAlign w:val="center"/>
          </w:tcPr>
          <w:p w14:paraId="6EAC76D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83" w:type="pct"/>
            <w:vAlign w:val="center"/>
          </w:tcPr>
          <w:p w14:paraId="68392A8E">
            <w:pPr>
              <w:spacing w:line="240" w:lineRule="auto"/>
              <w:rPr>
                <w:rFonts w:hint="default" w:ascii="Times New Roman" w:hAnsi="Times New Roman" w:cs="Times New Roman"/>
                <w:color w:val="auto"/>
                <w:sz w:val="21"/>
                <w:szCs w:val="21"/>
              </w:rPr>
            </w:pPr>
          </w:p>
        </w:tc>
        <w:tc>
          <w:tcPr>
            <w:tcW w:w="802" w:type="pct"/>
            <w:vAlign w:val="center"/>
          </w:tcPr>
          <w:p w14:paraId="3DE923C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superscript"/>
              </w:rPr>
              <w:t>▲</w:t>
            </w:r>
          </w:p>
        </w:tc>
        <w:tc>
          <w:tcPr>
            <w:tcW w:w="78" w:type="pct"/>
            <w:vAlign w:val="center"/>
          </w:tcPr>
          <w:p w14:paraId="7AE4E0CB">
            <w:pPr>
              <w:spacing w:line="240" w:lineRule="auto"/>
              <w:rPr>
                <w:rFonts w:hint="default" w:ascii="Times New Roman" w:hAnsi="Times New Roman" w:cs="Times New Roman"/>
                <w:color w:val="auto"/>
                <w:sz w:val="21"/>
                <w:szCs w:val="21"/>
              </w:rPr>
            </w:pPr>
          </w:p>
        </w:tc>
        <w:tc>
          <w:tcPr>
            <w:tcW w:w="656" w:type="pct"/>
            <w:vAlign w:val="center"/>
          </w:tcPr>
          <w:p w14:paraId="35EA3F8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0028A17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75D4848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326712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547" w:type="pct"/>
            <w:vAlign w:val="center"/>
          </w:tcPr>
          <w:p w14:paraId="7B1F25F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SOP</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KYMRREF{93EBA3E8-6F3A-4856-9B16-47EAA13064B5}454</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[2]</w:t>
            </w:r>
            <w:r>
              <w:rPr>
                <w:rFonts w:hint="default" w:ascii="Times New Roman" w:hAnsi="Times New Roman" w:cs="Times New Roman"/>
                <w:color w:val="auto"/>
                <w:sz w:val="21"/>
                <w:szCs w:val="21"/>
              </w:rPr>
              <w:fldChar w:fldCharType="end"/>
            </w:r>
          </w:p>
        </w:tc>
        <w:tc>
          <w:tcPr>
            <w:tcW w:w="390" w:type="pct"/>
            <w:vAlign w:val="center"/>
          </w:tcPr>
          <w:p w14:paraId="18ED0F9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785" w:type="pct"/>
            <w:vAlign w:val="center"/>
          </w:tcPr>
          <w:p w14:paraId="061C76A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25-50</w:t>
            </w:r>
          </w:p>
        </w:tc>
        <w:tc>
          <w:tcPr>
            <w:tcW w:w="446" w:type="pct"/>
            <w:vAlign w:val="center"/>
          </w:tcPr>
          <w:p w14:paraId="61812D3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w:t>
            </w:r>
          </w:p>
        </w:tc>
        <w:tc>
          <w:tcPr>
            <w:tcW w:w="83" w:type="pct"/>
            <w:vAlign w:val="center"/>
          </w:tcPr>
          <w:p w14:paraId="532B089B">
            <w:pPr>
              <w:spacing w:line="240" w:lineRule="auto"/>
              <w:rPr>
                <w:rFonts w:hint="default" w:ascii="Times New Roman" w:hAnsi="Times New Roman" w:cs="Times New Roman"/>
                <w:color w:val="auto"/>
                <w:sz w:val="21"/>
                <w:szCs w:val="21"/>
              </w:rPr>
            </w:pPr>
          </w:p>
        </w:tc>
        <w:tc>
          <w:tcPr>
            <w:tcW w:w="802" w:type="pct"/>
            <w:vAlign w:val="center"/>
          </w:tcPr>
          <w:p w14:paraId="36A167E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superscript"/>
              </w:rPr>
              <w:t>★</w:t>
            </w:r>
          </w:p>
        </w:tc>
        <w:tc>
          <w:tcPr>
            <w:tcW w:w="78" w:type="pct"/>
            <w:vAlign w:val="center"/>
          </w:tcPr>
          <w:p w14:paraId="50980A67">
            <w:pPr>
              <w:spacing w:line="240" w:lineRule="auto"/>
              <w:rPr>
                <w:rFonts w:hint="default" w:ascii="Times New Roman" w:hAnsi="Times New Roman" w:cs="Times New Roman"/>
                <w:color w:val="auto"/>
                <w:sz w:val="21"/>
                <w:szCs w:val="21"/>
              </w:rPr>
            </w:pPr>
          </w:p>
        </w:tc>
        <w:tc>
          <w:tcPr>
            <w:tcW w:w="656" w:type="pct"/>
            <w:vAlign w:val="center"/>
          </w:tcPr>
          <w:p w14:paraId="643A536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135404C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00CBF02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048EB9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24875F5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Wei M</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KYMRREF{93EBA3E8-6F3A-4856-9B16-47EAA13064B5}473</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[3]</w:t>
            </w:r>
            <w:r>
              <w:rPr>
                <w:rFonts w:hint="default" w:ascii="Times New Roman" w:hAnsi="Times New Roman" w:cs="Times New Roman"/>
                <w:color w:val="auto"/>
                <w:sz w:val="21"/>
                <w:szCs w:val="21"/>
              </w:rPr>
              <w:fldChar w:fldCharType="end"/>
            </w:r>
          </w:p>
        </w:tc>
        <w:tc>
          <w:tcPr>
            <w:tcW w:w="390" w:type="pct"/>
            <w:vAlign w:val="center"/>
          </w:tcPr>
          <w:p w14:paraId="2DEFBDA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785" w:type="pct"/>
            <w:vAlign w:val="center"/>
          </w:tcPr>
          <w:p w14:paraId="1EDAA8D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46" w:type="pct"/>
            <w:vAlign w:val="center"/>
          </w:tcPr>
          <w:p w14:paraId="40C4BFB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83" w:type="pct"/>
            <w:vAlign w:val="center"/>
          </w:tcPr>
          <w:p w14:paraId="4C2CC2AD">
            <w:pPr>
              <w:spacing w:line="240" w:lineRule="auto"/>
              <w:rPr>
                <w:rFonts w:hint="default" w:ascii="Times New Roman" w:hAnsi="Times New Roman" w:cs="Times New Roman"/>
                <w:color w:val="auto"/>
                <w:sz w:val="21"/>
                <w:szCs w:val="21"/>
              </w:rPr>
            </w:pPr>
          </w:p>
        </w:tc>
        <w:tc>
          <w:tcPr>
            <w:tcW w:w="802" w:type="pct"/>
            <w:vAlign w:val="center"/>
          </w:tcPr>
          <w:p w14:paraId="53CE6A4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4000-5000</w:t>
            </w:r>
          </w:p>
        </w:tc>
        <w:tc>
          <w:tcPr>
            <w:tcW w:w="78" w:type="pct"/>
            <w:vAlign w:val="center"/>
          </w:tcPr>
          <w:p w14:paraId="52D56CFB">
            <w:pPr>
              <w:spacing w:line="240" w:lineRule="auto"/>
              <w:rPr>
                <w:rFonts w:hint="default" w:ascii="Times New Roman" w:hAnsi="Times New Roman" w:cs="Times New Roman"/>
                <w:color w:val="auto"/>
                <w:sz w:val="21"/>
                <w:szCs w:val="21"/>
              </w:rPr>
            </w:pPr>
          </w:p>
        </w:tc>
        <w:tc>
          <w:tcPr>
            <w:tcW w:w="656" w:type="pct"/>
            <w:vAlign w:val="center"/>
          </w:tcPr>
          <w:p w14:paraId="673EF36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3FE0D7A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75896EB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64D0F8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6D9F7FD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Xu HM</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KYMRREF{93EBA3E8-6F3A-4856-9B16-47EAA13064B5}472</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[4]</w:t>
            </w:r>
            <w:r>
              <w:rPr>
                <w:rFonts w:hint="default" w:ascii="Times New Roman" w:hAnsi="Times New Roman" w:cs="Times New Roman"/>
                <w:color w:val="auto"/>
                <w:sz w:val="21"/>
                <w:szCs w:val="21"/>
              </w:rPr>
              <w:fldChar w:fldCharType="end"/>
            </w:r>
          </w:p>
        </w:tc>
        <w:tc>
          <w:tcPr>
            <w:tcW w:w="390" w:type="pct"/>
            <w:vAlign w:val="center"/>
          </w:tcPr>
          <w:p w14:paraId="5D490C4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100-120</w:t>
            </w:r>
          </w:p>
        </w:tc>
        <w:tc>
          <w:tcPr>
            <w:tcW w:w="785" w:type="pct"/>
            <w:vAlign w:val="center"/>
          </w:tcPr>
          <w:p w14:paraId="6F168C0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20-24</w:t>
            </w:r>
          </w:p>
        </w:tc>
        <w:tc>
          <w:tcPr>
            <w:tcW w:w="446" w:type="pct"/>
            <w:vAlign w:val="center"/>
          </w:tcPr>
          <w:p w14:paraId="14A4B52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w:t>
            </w:r>
          </w:p>
        </w:tc>
        <w:tc>
          <w:tcPr>
            <w:tcW w:w="83" w:type="pct"/>
            <w:vAlign w:val="center"/>
          </w:tcPr>
          <w:p w14:paraId="4BD4BB2E">
            <w:pPr>
              <w:spacing w:line="240" w:lineRule="auto"/>
              <w:rPr>
                <w:rFonts w:hint="default" w:ascii="Times New Roman" w:hAnsi="Times New Roman" w:cs="Times New Roman"/>
                <w:color w:val="auto"/>
                <w:sz w:val="21"/>
                <w:szCs w:val="21"/>
              </w:rPr>
            </w:pPr>
          </w:p>
        </w:tc>
        <w:tc>
          <w:tcPr>
            <w:tcW w:w="802" w:type="pct"/>
            <w:vAlign w:val="center"/>
          </w:tcPr>
          <w:p w14:paraId="5A725EBB">
            <w:pPr>
              <w:spacing w:line="240" w:lineRule="auto"/>
              <w:rPr>
                <w:rFonts w:hint="default" w:ascii="Times New Roman" w:hAnsi="Times New Roman" w:cs="Times New Roman"/>
                <w:color w:val="auto"/>
                <w:sz w:val="21"/>
                <w:szCs w:val="21"/>
              </w:rPr>
            </w:pPr>
          </w:p>
        </w:tc>
        <w:tc>
          <w:tcPr>
            <w:tcW w:w="78" w:type="pct"/>
            <w:vAlign w:val="center"/>
          </w:tcPr>
          <w:p w14:paraId="6E3B2AF2">
            <w:pPr>
              <w:spacing w:line="240" w:lineRule="auto"/>
              <w:rPr>
                <w:rFonts w:hint="default" w:ascii="Times New Roman" w:hAnsi="Times New Roman" w:cs="Times New Roman"/>
                <w:color w:val="auto"/>
                <w:sz w:val="21"/>
                <w:szCs w:val="21"/>
              </w:rPr>
            </w:pPr>
          </w:p>
        </w:tc>
        <w:tc>
          <w:tcPr>
            <w:tcW w:w="656" w:type="pct"/>
            <w:vAlign w:val="center"/>
          </w:tcPr>
          <w:p w14:paraId="27048385">
            <w:pPr>
              <w:spacing w:line="240" w:lineRule="auto"/>
              <w:rPr>
                <w:rFonts w:hint="default" w:ascii="Times New Roman" w:hAnsi="Times New Roman" w:cs="Times New Roman"/>
                <w:color w:val="auto"/>
                <w:sz w:val="21"/>
                <w:szCs w:val="21"/>
              </w:rPr>
            </w:pPr>
          </w:p>
        </w:tc>
        <w:tc>
          <w:tcPr>
            <w:tcW w:w="676" w:type="pct"/>
            <w:vAlign w:val="center"/>
          </w:tcPr>
          <w:p w14:paraId="70A616EB">
            <w:pPr>
              <w:spacing w:line="240" w:lineRule="auto"/>
              <w:rPr>
                <w:rFonts w:hint="default" w:ascii="Times New Roman" w:hAnsi="Times New Roman" w:cs="Times New Roman"/>
                <w:color w:val="auto"/>
                <w:sz w:val="21"/>
                <w:szCs w:val="21"/>
              </w:rPr>
            </w:pPr>
          </w:p>
        </w:tc>
        <w:tc>
          <w:tcPr>
            <w:tcW w:w="534" w:type="pct"/>
            <w:vAlign w:val="center"/>
          </w:tcPr>
          <w:p w14:paraId="4624D21F">
            <w:pPr>
              <w:spacing w:line="240" w:lineRule="auto"/>
              <w:rPr>
                <w:rFonts w:hint="default" w:ascii="Times New Roman" w:hAnsi="Times New Roman" w:cs="Times New Roman"/>
                <w:color w:val="auto"/>
                <w:sz w:val="21"/>
                <w:szCs w:val="21"/>
              </w:rPr>
            </w:pPr>
          </w:p>
        </w:tc>
      </w:tr>
      <w:tr w14:paraId="558180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34FABFF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Kong M</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KYMRREF{93EBA3E8-6F3A-4856-9B16-47EAA13064B5}471</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[5]</w:t>
            </w:r>
            <w:r>
              <w:rPr>
                <w:rFonts w:hint="default" w:ascii="Times New Roman" w:hAnsi="Times New Roman" w:cs="Times New Roman"/>
                <w:color w:val="auto"/>
                <w:sz w:val="21"/>
                <w:szCs w:val="21"/>
              </w:rPr>
              <w:fldChar w:fldCharType="end"/>
            </w:r>
          </w:p>
        </w:tc>
        <w:tc>
          <w:tcPr>
            <w:tcW w:w="390" w:type="pct"/>
            <w:vAlign w:val="center"/>
          </w:tcPr>
          <w:p w14:paraId="79093B8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120-160</w:t>
            </w:r>
          </w:p>
        </w:tc>
        <w:tc>
          <w:tcPr>
            <w:tcW w:w="785" w:type="pct"/>
            <w:vAlign w:val="center"/>
          </w:tcPr>
          <w:p w14:paraId="43A23FE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20-30</w:t>
            </w:r>
          </w:p>
        </w:tc>
        <w:tc>
          <w:tcPr>
            <w:tcW w:w="446" w:type="pct"/>
            <w:vAlign w:val="center"/>
          </w:tcPr>
          <w:p w14:paraId="273A069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1.5-2</w:t>
            </w:r>
          </w:p>
        </w:tc>
        <w:tc>
          <w:tcPr>
            <w:tcW w:w="83" w:type="pct"/>
            <w:vAlign w:val="center"/>
          </w:tcPr>
          <w:p w14:paraId="7247D8EF">
            <w:pPr>
              <w:spacing w:line="240" w:lineRule="auto"/>
              <w:rPr>
                <w:rFonts w:hint="default" w:ascii="Times New Roman" w:hAnsi="Times New Roman" w:cs="Times New Roman"/>
                <w:color w:val="auto"/>
                <w:sz w:val="21"/>
                <w:szCs w:val="21"/>
              </w:rPr>
            </w:pPr>
          </w:p>
        </w:tc>
        <w:tc>
          <w:tcPr>
            <w:tcW w:w="802" w:type="pct"/>
            <w:vAlign w:val="center"/>
          </w:tcPr>
          <w:p w14:paraId="075B28D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 w:type="pct"/>
            <w:vAlign w:val="center"/>
          </w:tcPr>
          <w:p w14:paraId="3846E3B8">
            <w:pPr>
              <w:spacing w:line="240" w:lineRule="auto"/>
              <w:rPr>
                <w:rFonts w:hint="default" w:ascii="Times New Roman" w:hAnsi="Times New Roman" w:cs="Times New Roman"/>
                <w:color w:val="auto"/>
                <w:sz w:val="21"/>
                <w:szCs w:val="21"/>
              </w:rPr>
            </w:pPr>
          </w:p>
        </w:tc>
        <w:tc>
          <w:tcPr>
            <w:tcW w:w="656" w:type="pct"/>
            <w:vAlign w:val="center"/>
          </w:tcPr>
          <w:p w14:paraId="1809716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43BEAE7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4E5EC79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6FC018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22959BC3">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Guo XJ</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KYMRREF{93EBA3E8-6F3A-4856-9B16-47EAA13064B5}459</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[6]</w:t>
            </w:r>
            <w:r>
              <w:rPr>
                <w:rFonts w:hint="default" w:ascii="Times New Roman" w:hAnsi="Times New Roman" w:cs="Times New Roman"/>
                <w:color w:val="auto"/>
                <w:sz w:val="21"/>
                <w:szCs w:val="21"/>
              </w:rPr>
              <w:fldChar w:fldCharType="end"/>
            </w:r>
          </w:p>
        </w:tc>
        <w:tc>
          <w:tcPr>
            <w:tcW w:w="390" w:type="pct"/>
            <w:vAlign w:val="center"/>
          </w:tcPr>
          <w:p w14:paraId="668BBB5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100-120</w:t>
            </w:r>
          </w:p>
        </w:tc>
        <w:tc>
          <w:tcPr>
            <w:tcW w:w="785" w:type="pct"/>
            <w:vAlign w:val="center"/>
          </w:tcPr>
          <w:p w14:paraId="4E60C64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20-30</w:t>
            </w:r>
          </w:p>
        </w:tc>
        <w:tc>
          <w:tcPr>
            <w:tcW w:w="446" w:type="pct"/>
            <w:vAlign w:val="center"/>
          </w:tcPr>
          <w:p w14:paraId="2050EBB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83" w:type="pct"/>
            <w:vAlign w:val="center"/>
          </w:tcPr>
          <w:p w14:paraId="7125146F">
            <w:pPr>
              <w:spacing w:line="240" w:lineRule="auto"/>
              <w:rPr>
                <w:rFonts w:hint="default" w:ascii="Times New Roman" w:hAnsi="Times New Roman" w:cs="Times New Roman"/>
                <w:color w:val="auto"/>
                <w:sz w:val="21"/>
                <w:szCs w:val="21"/>
              </w:rPr>
            </w:pPr>
          </w:p>
        </w:tc>
        <w:tc>
          <w:tcPr>
            <w:tcW w:w="802" w:type="pct"/>
            <w:vAlign w:val="center"/>
          </w:tcPr>
          <w:p w14:paraId="53C7C9B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 w:type="pct"/>
            <w:vAlign w:val="center"/>
          </w:tcPr>
          <w:p w14:paraId="238D8191">
            <w:pPr>
              <w:spacing w:line="240" w:lineRule="auto"/>
              <w:rPr>
                <w:rFonts w:hint="default" w:ascii="Times New Roman" w:hAnsi="Times New Roman" w:cs="Times New Roman"/>
                <w:color w:val="auto"/>
                <w:sz w:val="21"/>
                <w:szCs w:val="21"/>
              </w:rPr>
            </w:pPr>
          </w:p>
        </w:tc>
        <w:tc>
          <w:tcPr>
            <w:tcW w:w="656" w:type="pct"/>
            <w:vAlign w:val="center"/>
          </w:tcPr>
          <w:p w14:paraId="18FC7E4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260.9 ± 115.4</w:t>
            </w:r>
          </w:p>
        </w:tc>
        <w:tc>
          <w:tcPr>
            <w:tcW w:w="676" w:type="pct"/>
            <w:vAlign w:val="center"/>
          </w:tcPr>
          <w:p w14:paraId="54827DC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155.6 ± 59.5</w:t>
            </w:r>
          </w:p>
        </w:tc>
        <w:tc>
          <w:tcPr>
            <w:tcW w:w="534" w:type="pct"/>
            <w:vAlign w:val="center"/>
          </w:tcPr>
          <w:p w14:paraId="53215A5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&gt;40</w:t>
            </w:r>
          </w:p>
        </w:tc>
      </w:tr>
      <w:tr w14:paraId="0BD840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79A6BB2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Zhou YD</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KYMRREF{93EBA3E8-6F3A-4856-9B16-47EAA13064B5}456</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[7]</w:t>
            </w:r>
            <w:r>
              <w:rPr>
                <w:rFonts w:hint="default" w:ascii="Times New Roman" w:hAnsi="Times New Roman" w:cs="Times New Roman"/>
                <w:color w:val="auto"/>
                <w:sz w:val="21"/>
                <w:szCs w:val="21"/>
              </w:rPr>
              <w:fldChar w:fldCharType="end"/>
            </w:r>
          </w:p>
        </w:tc>
        <w:tc>
          <w:tcPr>
            <w:tcW w:w="390" w:type="pct"/>
            <w:vAlign w:val="center"/>
          </w:tcPr>
          <w:p w14:paraId="39FCAB6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100-160</w:t>
            </w:r>
          </w:p>
        </w:tc>
        <w:tc>
          <w:tcPr>
            <w:tcW w:w="785" w:type="pct"/>
            <w:vAlign w:val="center"/>
          </w:tcPr>
          <w:p w14:paraId="4873FC6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20-35</w:t>
            </w:r>
          </w:p>
        </w:tc>
        <w:tc>
          <w:tcPr>
            <w:tcW w:w="446" w:type="pct"/>
            <w:vAlign w:val="center"/>
          </w:tcPr>
          <w:p w14:paraId="646FAA0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83" w:type="pct"/>
            <w:vAlign w:val="center"/>
          </w:tcPr>
          <w:p w14:paraId="7B1B6DD9">
            <w:pPr>
              <w:spacing w:line="240" w:lineRule="auto"/>
              <w:rPr>
                <w:rFonts w:hint="default" w:ascii="Times New Roman" w:hAnsi="Times New Roman" w:cs="Times New Roman"/>
                <w:color w:val="auto"/>
                <w:sz w:val="21"/>
                <w:szCs w:val="21"/>
              </w:rPr>
            </w:pPr>
          </w:p>
        </w:tc>
        <w:tc>
          <w:tcPr>
            <w:tcW w:w="802" w:type="pct"/>
            <w:vAlign w:val="center"/>
          </w:tcPr>
          <w:p w14:paraId="66540FF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5000 ± 600</w:t>
            </w:r>
          </w:p>
        </w:tc>
        <w:tc>
          <w:tcPr>
            <w:tcW w:w="78" w:type="pct"/>
            <w:vAlign w:val="center"/>
          </w:tcPr>
          <w:p w14:paraId="5B6CA9C6">
            <w:pPr>
              <w:spacing w:line="240" w:lineRule="auto"/>
              <w:rPr>
                <w:rFonts w:hint="default" w:ascii="Times New Roman" w:hAnsi="Times New Roman" w:cs="Times New Roman"/>
                <w:color w:val="auto"/>
                <w:sz w:val="21"/>
                <w:szCs w:val="21"/>
              </w:rPr>
            </w:pPr>
          </w:p>
        </w:tc>
        <w:tc>
          <w:tcPr>
            <w:tcW w:w="656" w:type="pct"/>
            <w:vAlign w:val="center"/>
          </w:tcPr>
          <w:p w14:paraId="63D70C6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6C944DF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4D98E90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0578B8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09120C6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Yin GC</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KYMRREF{93EBA3E8-6F3A-4856-9B16-47EAA13064B5}465</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[8]</w:t>
            </w:r>
            <w:r>
              <w:rPr>
                <w:rFonts w:hint="default" w:ascii="Times New Roman" w:hAnsi="Times New Roman" w:cs="Times New Roman"/>
                <w:color w:val="auto"/>
                <w:sz w:val="21"/>
                <w:szCs w:val="21"/>
              </w:rPr>
              <w:fldChar w:fldCharType="end"/>
            </w:r>
          </w:p>
        </w:tc>
        <w:tc>
          <w:tcPr>
            <w:tcW w:w="390" w:type="pct"/>
            <w:vAlign w:val="center"/>
          </w:tcPr>
          <w:p w14:paraId="7BF2148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785" w:type="pct"/>
            <w:vAlign w:val="center"/>
          </w:tcPr>
          <w:p w14:paraId="7B039B2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20-50</w:t>
            </w:r>
          </w:p>
        </w:tc>
        <w:tc>
          <w:tcPr>
            <w:tcW w:w="446" w:type="pct"/>
            <w:vAlign w:val="center"/>
          </w:tcPr>
          <w:p w14:paraId="61E87AA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w:t>
            </w:r>
          </w:p>
        </w:tc>
        <w:tc>
          <w:tcPr>
            <w:tcW w:w="83" w:type="pct"/>
            <w:vAlign w:val="center"/>
          </w:tcPr>
          <w:p w14:paraId="5C91708F">
            <w:pPr>
              <w:spacing w:line="240" w:lineRule="auto"/>
              <w:rPr>
                <w:rFonts w:hint="default" w:ascii="Times New Roman" w:hAnsi="Times New Roman" w:cs="Times New Roman"/>
                <w:color w:val="auto"/>
                <w:sz w:val="21"/>
                <w:szCs w:val="21"/>
              </w:rPr>
            </w:pPr>
          </w:p>
        </w:tc>
        <w:tc>
          <w:tcPr>
            <w:tcW w:w="802" w:type="pct"/>
            <w:vAlign w:val="center"/>
          </w:tcPr>
          <w:p w14:paraId="0407148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 w:type="pct"/>
            <w:vAlign w:val="center"/>
          </w:tcPr>
          <w:p w14:paraId="400109F2">
            <w:pPr>
              <w:spacing w:line="240" w:lineRule="auto"/>
              <w:rPr>
                <w:rFonts w:hint="default" w:ascii="Times New Roman" w:hAnsi="Times New Roman" w:cs="Times New Roman"/>
                <w:color w:val="auto"/>
                <w:sz w:val="21"/>
                <w:szCs w:val="21"/>
              </w:rPr>
            </w:pPr>
          </w:p>
        </w:tc>
        <w:tc>
          <w:tcPr>
            <w:tcW w:w="656" w:type="pct"/>
            <w:vAlign w:val="center"/>
          </w:tcPr>
          <w:p w14:paraId="08D7C83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0E6C6AB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2D8907E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64.4 ± 4.6</w:t>
            </w:r>
          </w:p>
        </w:tc>
      </w:tr>
      <w:tr w14:paraId="156664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77B8180A">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shd w:val="clear" w:color="auto" w:fill="FFFFFF"/>
              </w:rPr>
              <w:t>Zhang J</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KYMRREF{93EBA3E8-6F3A-4856-9B16-47EAA13064B5}462</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[9]</w:t>
            </w:r>
            <w:r>
              <w:rPr>
                <w:rFonts w:hint="default" w:ascii="Times New Roman" w:hAnsi="Times New Roman" w:cs="Times New Roman"/>
                <w:color w:val="auto"/>
                <w:sz w:val="21"/>
                <w:szCs w:val="21"/>
              </w:rPr>
              <w:fldChar w:fldCharType="end"/>
            </w:r>
          </w:p>
        </w:tc>
        <w:tc>
          <w:tcPr>
            <w:tcW w:w="390" w:type="pct"/>
            <w:vAlign w:val="center"/>
          </w:tcPr>
          <w:p w14:paraId="3A25934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100-120</w:t>
            </w:r>
          </w:p>
        </w:tc>
        <w:tc>
          <w:tcPr>
            <w:tcW w:w="785" w:type="pct"/>
            <w:vAlign w:val="center"/>
          </w:tcPr>
          <w:p w14:paraId="4A0D0A7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20-50</w:t>
            </w:r>
          </w:p>
        </w:tc>
        <w:tc>
          <w:tcPr>
            <w:tcW w:w="446" w:type="pct"/>
            <w:vAlign w:val="center"/>
          </w:tcPr>
          <w:p w14:paraId="12FB8EA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83" w:type="pct"/>
            <w:vAlign w:val="center"/>
          </w:tcPr>
          <w:p w14:paraId="41747112">
            <w:pPr>
              <w:spacing w:line="240" w:lineRule="auto"/>
              <w:rPr>
                <w:rFonts w:hint="default" w:ascii="Times New Roman" w:hAnsi="Times New Roman" w:cs="Times New Roman"/>
                <w:color w:val="auto"/>
                <w:sz w:val="21"/>
                <w:szCs w:val="21"/>
              </w:rPr>
            </w:pPr>
          </w:p>
        </w:tc>
        <w:tc>
          <w:tcPr>
            <w:tcW w:w="802" w:type="pct"/>
            <w:vAlign w:val="center"/>
          </w:tcPr>
          <w:p w14:paraId="1CB0762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 w:type="pct"/>
            <w:vAlign w:val="center"/>
          </w:tcPr>
          <w:p w14:paraId="103E7F5A">
            <w:pPr>
              <w:spacing w:line="240" w:lineRule="auto"/>
              <w:rPr>
                <w:rFonts w:hint="default" w:ascii="Times New Roman" w:hAnsi="Times New Roman" w:cs="Times New Roman"/>
                <w:color w:val="auto"/>
                <w:sz w:val="21"/>
                <w:szCs w:val="21"/>
              </w:rPr>
            </w:pPr>
          </w:p>
        </w:tc>
        <w:tc>
          <w:tcPr>
            <w:tcW w:w="656" w:type="pct"/>
            <w:vAlign w:val="center"/>
          </w:tcPr>
          <w:p w14:paraId="485DD3D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350.4 ± 98.7</w:t>
            </w:r>
          </w:p>
        </w:tc>
        <w:tc>
          <w:tcPr>
            <w:tcW w:w="676" w:type="pct"/>
            <w:vAlign w:val="center"/>
          </w:tcPr>
          <w:p w14:paraId="6652DA1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237.8 ± 98.7</w:t>
            </w:r>
          </w:p>
        </w:tc>
        <w:tc>
          <w:tcPr>
            <w:tcW w:w="534" w:type="pct"/>
            <w:vAlign w:val="center"/>
          </w:tcPr>
          <w:p w14:paraId="7B6B937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36.7 ± 13.2</w:t>
            </w:r>
          </w:p>
        </w:tc>
      </w:tr>
      <w:tr w14:paraId="36D381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6845655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Yan GS</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KYMRREF{93EBA3E8-6F3A-4856-9B16-47EAA13064B5}467</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[10]</w:t>
            </w:r>
            <w:r>
              <w:rPr>
                <w:rFonts w:hint="default" w:ascii="Times New Roman" w:hAnsi="Times New Roman" w:cs="Times New Roman"/>
                <w:color w:val="auto"/>
                <w:sz w:val="21"/>
                <w:szCs w:val="21"/>
              </w:rPr>
              <w:fldChar w:fldCharType="end"/>
            </w:r>
          </w:p>
        </w:tc>
        <w:tc>
          <w:tcPr>
            <w:tcW w:w="390" w:type="pct"/>
            <w:vAlign w:val="center"/>
          </w:tcPr>
          <w:p w14:paraId="27E950C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120-150</w:t>
            </w:r>
          </w:p>
        </w:tc>
        <w:tc>
          <w:tcPr>
            <w:tcW w:w="785" w:type="pct"/>
            <w:vAlign w:val="center"/>
          </w:tcPr>
          <w:p w14:paraId="5B8578F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c>
          <w:tcPr>
            <w:tcW w:w="446" w:type="pct"/>
            <w:vAlign w:val="center"/>
          </w:tcPr>
          <w:p w14:paraId="7A0C640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83" w:type="pct"/>
            <w:vAlign w:val="center"/>
          </w:tcPr>
          <w:p w14:paraId="477F4EE6">
            <w:pPr>
              <w:spacing w:line="240" w:lineRule="auto"/>
              <w:rPr>
                <w:rFonts w:hint="default" w:ascii="Times New Roman" w:hAnsi="Times New Roman" w:cs="Times New Roman"/>
                <w:color w:val="auto"/>
                <w:sz w:val="21"/>
                <w:szCs w:val="21"/>
              </w:rPr>
            </w:pPr>
          </w:p>
        </w:tc>
        <w:tc>
          <w:tcPr>
            <w:tcW w:w="802" w:type="pct"/>
            <w:vAlign w:val="center"/>
          </w:tcPr>
          <w:p w14:paraId="0047E4A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3000</w:t>
            </w:r>
          </w:p>
        </w:tc>
        <w:tc>
          <w:tcPr>
            <w:tcW w:w="78" w:type="pct"/>
            <w:vAlign w:val="center"/>
          </w:tcPr>
          <w:p w14:paraId="368EB002">
            <w:pPr>
              <w:spacing w:line="240" w:lineRule="auto"/>
              <w:rPr>
                <w:rFonts w:hint="default" w:ascii="Times New Roman" w:hAnsi="Times New Roman" w:cs="Times New Roman"/>
                <w:color w:val="auto"/>
                <w:sz w:val="21"/>
                <w:szCs w:val="21"/>
              </w:rPr>
            </w:pPr>
          </w:p>
        </w:tc>
        <w:tc>
          <w:tcPr>
            <w:tcW w:w="656" w:type="pct"/>
            <w:vAlign w:val="center"/>
          </w:tcPr>
          <w:p w14:paraId="3543FC3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423.8 ± 147.6</w:t>
            </w:r>
          </w:p>
        </w:tc>
        <w:tc>
          <w:tcPr>
            <w:tcW w:w="676" w:type="pct"/>
            <w:vAlign w:val="center"/>
          </w:tcPr>
          <w:p w14:paraId="7565C83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281.4 ± 169.8</w:t>
            </w:r>
          </w:p>
        </w:tc>
        <w:tc>
          <w:tcPr>
            <w:tcW w:w="534" w:type="pct"/>
            <w:vAlign w:val="center"/>
          </w:tcPr>
          <w:p w14:paraId="6527572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421EBA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523C08E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Yan GS</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KYMRREF{93EBA3E8-6F3A-4856-9B16-47EAA13064B5}467</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[10]</w:t>
            </w:r>
            <w:r>
              <w:rPr>
                <w:rFonts w:hint="default" w:ascii="Times New Roman" w:hAnsi="Times New Roman" w:cs="Times New Roman"/>
                <w:color w:val="auto"/>
                <w:sz w:val="21"/>
                <w:szCs w:val="21"/>
              </w:rPr>
              <w:fldChar w:fldCharType="end"/>
            </w:r>
          </w:p>
        </w:tc>
        <w:tc>
          <w:tcPr>
            <w:tcW w:w="390" w:type="pct"/>
            <w:vAlign w:val="center"/>
          </w:tcPr>
          <w:p w14:paraId="4BD473C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120-150</w:t>
            </w:r>
          </w:p>
        </w:tc>
        <w:tc>
          <w:tcPr>
            <w:tcW w:w="785" w:type="pct"/>
            <w:vAlign w:val="center"/>
          </w:tcPr>
          <w:p w14:paraId="71BF28C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c>
          <w:tcPr>
            <w:tcW w:w="446" w:type="pct"/>
            <w:vAlign w:val="center"/>
          </w:tcPr>
          <w:p w14:paraId="63E1801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83" w:type="pct"/>
            <w:vAlign w:val="center"/>
          </w:tcPr>
          <w:p w14:paraId="1E953F63">
            <w:pPr>
              <w:spacing w:line="240" w:lineRule="auto"/>
              <w:rPr>
                <w:rFonts w:hint="default" w:ascii="Times New Roman" w:hAnsi="Times New Roman" w:cs="Times New Roman"/>
                <w:color w:val="auto"/>
                <w:sz w:val="21"/>
                <w:szCs w:val="21"/>
              </w:rPr>
            </w:pPr>
          </w:p>
        </w:tc>
        <w:tc>
          <w:tcPr>
            <w:tcW w:w="802" w:type="pct"/>
            <w:vAlign w:val="center"/>
          </w:tcPr>
          <w:p w14:paraId="42613BD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3000</w:t>
            </w:r>
          </w:p>
        </w:tc>
        <w:tc>
          <w:tcPr>
            <w:tcW w:w="78" w:type="pct"/>
            <w:vAlign w:val="center"/>
          </w:tcPr>
          <w:p w14:paraId="3C7E408B">
            <w:pPr>
              <w:spacing w:line="240" w:lineRule="auto"/>
              <w:rPr>
                <w:rFonts w:hint="default" w:ascii="Times New Roman" w:hAnsi="Times New Roman" w:cs="Times New Roman"/>
                <w:color w:val="auto"/>
                <w:sz w:val="21"/>
                <w:szCs w:val="21"/>
              </w:rPr>
            </w:pPr>
          </w:p>
        </w:tc>
        <w:tc>
          <w:tcPr>
            <w:tcW w:w="656" w:type="pct"/>
            <w:vAlign w:val="center"/>
          </w:tcPr>
          <w:p w14:paraId="6961366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409.3 ± 151.4</w:t>
            </w:r>
          </w:p>
        </w:tc>
        <w:tc>
          <w:tcPr>
            <w:tcW w:w="676" w:type="pct"/>
            <w:vAlign w:val="center"/>
          </w:tcPr>
          <w:p w14:paraId="3FD3081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276.9 ± 162.7</w:t>
            </w:r>
          </w:p>
        </w:tc>
        <w:tc>
          <w:tcPr>
            <w:tcW w:w="534" w:type="pct"/>
            <w:vAlign w:val="center"/>
          </w:tcPr>
          <w:p w14:paraId="10F5622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59C848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6A6A844D">
            <w:pPr>
              <w:spacing w:line="240" w:lineRule="auto"/>
              <w:rPr>
                <w:rFonts w:hint="default" w:ascii="Times New Roman" w:hAnsi="Times New Roman" w:cs="Times New Roman"/>
                <w:color w:val="auto"/>
                <w:sz w:val="21"/>
                <w:szCs w:val="21"/>
                <w:shd w:val="clear" w:color="auto" w:fill="FFFFFF"/>
              </w:rPr>
            </w:pPr>
            <w:r>
              <w:rPr>
                <w:rFonts w:hint="default" w:ascii="Times New Roman" w:hAnsi="Times New Roman" w:cs="Times New Roman"/>
                <w:color w:val="auto"/>
                <w:sz w:val="21"/>
                <w:szCs w:val="21"/>
                <w:shd w:val="clear" w:color="auto" w:fill="FFFFFF"/>
              </w:rPr>
              <w:t>This study</w:t>
            </w:r>
          </w:p>
        </w:tc>
        <w:tc>
          <w:tcPr>
            <w:tcW w:w="390" w:type="pct"/>
            <w:vAlign w:val="center"/>
          </w:tcPr>
          <w:p w14:paraId="71EC8AF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130</w:t>
            </w:r>
          </w:p>
        </w:tc>
        <w:tc>
          <w:tcPr>
            <w:tcW w:w="785" w:type="pct"/>
            <w:vAlign w:val="center"/>
          </w:tcPr>
          <w:p w14:paraId="42B242F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c>
          <w:tcPr>
            <w:tcW w:w="446" w:type="pct"/>
            <w:vAlign w:val="center"/>
          </w:tcPr>
          <w:p w14:paraId="30EAC42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83" w:type="pct"/>
            <w:vAlign w:val="center"/>
          </w:tcPr>
          <w:p w14:paraId="3F79AD73">
            <w:pPr>
              <w:spacing w:line="240" w:lineRule="auto"/>
              <w:rPr>
                <w:rFonts w:hint="default" w:ascii="Times New Roman" w:hAnsi="Times New Roman" w:cs="Times New Roman"/>
                <w:color w:val="auto"/>
                <w:sz w:val="21"/>
                <w:szCs w:val="21"/>
              </w:rPr>
            </w:pPr>
          </w:p>
        </w:tc>
        <w:tc>
          <w:tcPr>
            <w:tcW w:w="802" w:type="pct"/>
            <w:vAlign w:val="center"/>
          </w:tcPr>
          <w:p w14:paraId="707F6D0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4500</w:t>
            </w:r>
          </w:p>
        </w:tc>
        <w:tc>
          <w:tcPr>
            <w:tcW w:w="78" w:type="pct"/>
            <w:vAlign w:val="center"/>
          </w:tcPr>
          <w:p w14:paraId="542CD654">
            <w:pPr>
              <w:spacing w:line="240" w:lineRule="auto"/>
              <w:rPr>
                <w:rFonts w:hint="default" w:ascii="Times New Roman" w:hAnsi="Times New Roman" w:cs="Times New Roman"/>
                <w:color w:val="auto"/>
                <w:sz w:val="21"/>
                <w:szCs w:val="21"/>
              </w:rPr>
            </w:pPr>
          </w:p>
        </w:tc>
        <w:tc>
          <w:tcPr>
            <w:tcW w:w="656" w:type="pct"/>
            <w:vAlign w:val="center"/>
          </w:tcPr>
          <w:p w14:paraId="5A9C818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416.0 (342.5-493.4)</w:t>
            </w:r>
          </w:p>
        </w:tc>
        <w:tc>
          <w:tcPr>
            <w:tcW w:w="676" w:type="pct"/>
            <w:vAlign w:val="center"/>
          </w:tcPr>
          <w:p w14:paraId="5E4DC89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251.2 (195.1-305.2)</w:t>
            </w:r>
          </w:p>
        </w:tc>
        <w:tc>
          <w:tcPr>
            <w:tcW w:w="534" w:type="pct"/>
            <w:vAlign w:val="center"/>
          </w:tcPr>
          <w:p w14:paraId="06CE4F4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 (34.9-45.3)</w:t>
            </w:r>
          </w:p>
        </w:tc>
      </w:tr>
      <w:tr w14:paraId="586C69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6B8F0E2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Zhong S</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KYMRREF{93EBA3E8-6F3A-4856-9B16-47EAA13064B5}455</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[11]</w:t>
            </w:r>
            <w:r>
              <w:rPr>
                <w:rFonts w:hint="default" w:ascii="Times New Roman" w:hAnsi="Times New Roman" w:cs="Times New Roman"/>
                <w:color w:val="auto"/>
                <w:sz w:val="21"/>
                <w:szCs w:val="21"/>
              </w:rPr>
              <w:fldChar w:fldCharType="end"/>
            </w:r>
          </w:p>
        </w:tc>
        <w:tc>
          <w:tcPr>
            <w:tcW w:w="390" w:type="pct"/>
            <w:vAlign w:val="center"/>
          </w:tcPr>
          <w:p w14:paraId="1DF56D2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90-120</w:t>
            </w:r>
          </w:p>
        </w:tc>
        <w:tc>
          <w:tcPr>
            <w:tcW w:w="785" w:type="pct"/>
            <w:vAlign w:val="center"/>
          </w:tcPr>
          <w:p w14:paraId="3A478AF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25-28</w:t>
            </w:r>
          </w:p>
        </w:tc>
        <w:tc>
          <w:tcPr>
            <w:tcW w:w="446" w:type="pct"/>
            <w:vAlign w:val="center"/>
          </w:tcPr>
          <w:p w14:paraId="4C23D14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83" w:type="pct"/>
            <w:vAlign w:val="center"/>
          </w:tcPr>
          <w:p w14:paraId="3B6E5D60">
            <w:pPr>
              <w:spacing w:line="240" w:lineRule="auto"/>
              <w:rPr>
                <w:rFonts w:hint="default" w:ascii="Times New Roman" w:hAnsi="Times New Roman" w:cs="Times New Roman"/>
                <w:color w:val="auto"/>
                <w:sz w:val="21"/>
                <w:szCs w:val="21"/>
              </w:rPr>
            </w:pPr>
          </w:p>
        </w:tc>
        <w:tc>
          <w:tcPr>
            <w:tcW w:w="802" w:type="pct"/>
            <w:vAlign w:val="center"/>
          </w:tcPr>
          <w:p w14:paraId="516C447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6000</w:t>
            </w:r>
          </w:p>
        </w:tc>
        <w:tc>
          <w:tcPr>
            <w:tcW w:w="78" w:type="pct"/>
            <w:vAlign w:val="center"/>
          </w:tcPr>
          <w:p w14:paraId="2442A063">
            <w:pPr>
              <w:spacing w:line="240" w:lineRule="auto"/>
              <w:rPr>
                <w:rFonts w:hint="default" w:ascii="Times New Roman" w:hAnsi="Times New Roman" w:cs="Times New Roman"/>
                <w:color w:val="auto"/>
                <w:sz w:val="21"/>
                <w:szCs w:val="21"/>
              </w:rPr>
            </w:pPr>
          </w:p>
        </w:tc>
        <w:tc>
          <w:tcPr>
            <w:tcW w:w="656" w:type="pct"/>
            <w:vAlign w:val="center"/>
          </w:tcPr>
          <w:p w14:paraId="31C7015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2B8E5CE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52B44DB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066A49F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2CE6FD3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Li LL</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KYMRREF{93EBA3E8-6F3A-4856-9B16-47EAA13064B5}470</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[12]</w:t>
            </w:r>
            <w:r>
              <w:rPr>
                <w:rFonts w:hint="default" w:ascii="Times New Roman" w:hAnsi="Times New Roman" w:cs="Times New Roman"/>
                <w:color w:val="auto"/>
                <w:sz w:val="21"/>
                <w:szCs w:val="21"/>
              </w:rPr>
              <w:fldChar w:fldCharType="end"/>
            </w:r>
          </w:p>
        </w:tc>
        <w:tc>
          <w:tcPr>
            <w:tcW w:w="390" w:type="pct"/>
            <w:vAlign w:val="center"/>
          </w:tcPr>
          <w:p w14:paraId="1ACB8B2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785" w:type="pct"/>
            <w:vAlign w:val="center"/>
          </w:tcPr>
          <w:p w14:paraId="6E8FCA3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25-30</w:t>
            </w:r>
          </w:p>
        </w:tc>
        <w:tc>
          <w:tcPr>
            <w:tcW w:w="446" w:type="pct"/>
            <w:vAlign w:val="center"/>
          </w:tcPr>
          <w:p w14:paraId="78A122F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c>
          <w:tcPr>
            <w:tcW w:w="83" w:type="pct"/>
            <w:vAlign w:val="center"/>
          </w:tcPr>
          <w:p w14:paraId="066451B0">
            <w:pPr>
              <w:spacing w:line="240" w:lineRule="auto"/>
              <w:rPr>
                <w:rFonts w:hint="default" w:ascii="Times New Roman" w:hAnsi="Times New Roman" w:cs="Times New Roman"/>
                <w:color w:val="auto"/>
                <w:sz w:val="21"/>
                <w:szCs w:val="21"/>
              </w:rPr>
            </w:pPr>
          </w:p>
        </w:tc>
        <w:tc>
          <w:tcPr>
            <w:tcW w:w="802" w:type="pct"/>
            <w:vAlign w:val="center"/>
          </w:tcPr>
          <w:p w14:paraId="2A533FA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 w:type="pct"/>
            <w:vAlign w:val="center"/>
          </w:tcPr>
          <w:p w14:paraId="0E1F1E99">
            <w:pPr>
              <w:spacing w:line="240" w:lineRule="auto"/>
              <w:rPr>
                <w:rFonts w:hint="default" w:ascii="Times New Roman" w:hAnsi="Times New Roman" w:cs="Times New Roman"/>
                <w:color w:val="auto"/>
                <w:sz w:val="21"/>
                <w:szCs w:val="21"/>
              </w:rPr>
            </w:pPr>
          </w:p>
        </w:tc>
        <w:tc>
          <w:tcPr>
            <w:tcW w:w="656" w:type="pct"/>
            <w:vAlign w:val="center"/>
          </w:tcPr>
          <w:p w14:paraId="7B6F483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29779B1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19DC466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269C02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6F8498A9">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Yao J</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KYMRREF{93EBA3E8-6F3A-4856-9B16-47EAA13064B5}457</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[13]</w:t>
            </w:r>
            <w:r>
              <w:rPr>
                <w:rFonts w:hint="default" w:ascii="Times New Roman" w:hAnsi="Times New Roman" w:cs="Times New Roman"/>
                <w:color w:val="auto"/>
                <w:sz w:val="21"/>
                <w:szCs w:val="21"/>
              </w:rPr>
              <w:fldChar w:fldCharType="end"/>
            </w:r>
          </w:p>
        </w:tc>
        <w:tc>
          <w:tcPr>
            <w:tcW w:w="390" w:type="pct"/>
            <w:vAlign w:val="center"/>
          </w:tcPr>
          <w:p w14:paraId="603A1F4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120-150</w:t>
            </w:r>
          </w:p>
        </w:tc>
        <w:tc>
          <w:tcPr>
            <w:tcW w:w="785" w:type="pct"/>
            <w:vAlign w:val="center"/>
          </w:tcPr>
          <w:p w14:paraId="3B9481F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25-30</w:t>
            </w:r>
          </w:p>
        </w:tc>
        <w:tc>
          <w:tcPr>
            <w:tcW w:w="446" w:type="pct"/>
            <w:vAlign w:val="center"/>
          </w:tcPr>
          <w:p w14:paraId="2B74E4F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83" w:type="pct"/>
            <w:vAlign w:val="center"/>
          </w:tcPr>
          <w:p w14:paraId="11C949D7">
            <w:pPr>
              <w:spacing w:line="240" w:lineRule="auto"/>
              <w:rPr>
                <w:rFonts w:hint="default" w:ascii="Times New Roman" w:hAnsi="Times New Roman" w:cs="Times New Roman"/>
                <w:color w:val="auto"/>
                <w:sz w:val="21"/>
                <w:szCs w:val="21"/>
              </w:rPr>
            </w:pPr>
          </w:p>
        </w:tc>
        <w:tc>
          <w:tcPr>
            <w:tcW w:w="802" w:type="pct"/>
            <w:vAlign w:val="center"/>
          </w:tcPr>
          <w:p w14:paraId="3CE9249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5500-6000</w:t>
            </w:r>
          </w:p>
        </w:tc>
        <w:tc>
          <w:tcPr>
            <w:tcW w:w="78" w:type="pct"/>
            <w:vAlign w:val="center"/>
          </w:tcPr>
          <w:p w14:paraId="75F632E2">
            <w:pPr>
              <w:spacing w:line="240" w:lineRule="auto"/>
              <w:rPr>
                <w:rFonts w:hint="default" w:ascii="Times New Roman" w:hAnsi="Times New Roman" w:cs="Times New Roman"/>
                <w:color w:val="auto"/>
                <w:sz w:val="21"/>
                <w:szCs w:val="21"/>
              </w:rPr>
            </w:pPr>
          </w:p>
        </w:tc>
        <w:tc>
          <w:tcPr>
            <w:tcW w:w="656" w:type="pct"/>
            <w:vAlign w:val="center"/>
          </w:tcPr>
          <w:p w14:paraId="1CF7F6C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724390E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66C7909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5CB1D4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24E4B90D">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Xu WX</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KYMRREF{93EBA3E8-6F3A-4856-9B16-47EAA13064B5}466</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[14]</w:t>
            </w:r>
            <w:r>
              <w:rPr>
                <w:rFonts w:hint="default" w:ascii="Times New Roman" w:hAnsi="Times New Roman" w:cs="Times New Roman"/>
                <w:color w:val="auto"/>
                <w:sz w:val="21"/>
                <w:szCs w:val="21"/>
              </w:rPr>
              <w:fldChar w:fldCharType="end"/>
            </w:r>
          </w:p>
        </w:tc>
        <w:tc>
          <w:tcPr>
            <w:tcW w:w="390" w:type="pct"/>
            <w:vAlign w:val="center"/>
          </w:tcPr>
          <w:p w14:paraId="1EC9129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100-120</w:t>
            </w:r>
          </w:p>
        </w:tc>
        <w:tc>
          <w:tcPr>
            <w:tcW w:w="785" w:type="pct"/>
            <w:vAlign w:val="center"/>
          </w:tcPr>
          <w:p w14:paraId="1DF8B6D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25-30</w:t>
            </w:r>
          </w:p>
        </w:tc>
        <w:tc>
          <w:tcPr>
            <w:tcW w:w="446" w:type="pct"/>
            <w:vAlign w:val="center"/>
          </w:tcPr>
          <w:p w14:paraId="6719CF6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3.5-4</w:t>
            </w:r>
          </w:p>
        </w:tc>
        <w:tc>
          <w:tcPr>
            <w:tcW w:w="83" w:type="pct"/>
            <w:vAlign w:val="center"/>
          </w:tcPr>
          <w:p w14:paraId="4EBE94DC">
            <w:pPr>
              <w:spacing w:line="240" w:lineRule="auto"/>
              <w:rPr>
                <w:rFonts w:hint="default" w:ascii="Times New Roman" w:hAnsi="Times New Roman" w:cs="Times New Roman"/>
                <w:color w:val="auto"/>
                <w:sz w:val="21"/>
                <w:szCs w:val="21"/>
              </w:rPr>
            </w:pPr>
          </w:p>
        </w:tc>
        <w:tc>
          <w:tcPr>
            <w:tcW w:w="802" w:type="pct"/>
            <w:vAlign w:val="center"/>
          </w:tcPr>
          <w:p w14:paraId="79D860C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5000-6000</w:t>
            </w:r>
          </w:p>
        </w:tc>
        <w:tc>
          <w:tcPr>
            <w:tcW w:w="78" w:type="pct"/>
            <w:vAlign w:val="center"/>
          </w:tcPr>
          <w:p w14:paraId="460AC2C1">
            <w:pPr>
              <w:spacing w:line="240" w:lineRule="auto"/>
              <w:rPr>
                <w:rFonts w:hint="default" w:ascii="Times New Roman" w:hAnsi="Times New Roman" w:cs="Times New Roman"/>
                <w:color w:val="auto"/>
                <w:sz w:val="21"/>
                <w:szCs w:val="21"/>
              </w:rPr>
            </w:pPr>
          </w:p>
        </w:tc>
        <w:tc>
          <w:tcPr>
            <w:tcW w:w="656" w:type="pct"/>
            <w:vAlign w:val="center"/>
          </w:tcPr>
          <w:p w14:paraId="0979546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05A8C77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724379C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055F8E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64C6A839">
            <w:pPr>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Wan YM</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KYMRREF{93EBA3E8-6F3A-4856-9B16-47EAA13064B5}458</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[15]</w:t>
            </w:r>
            <w:r>
              <w:rPr>
                <w:rFonts w:hint="default" w:ascii="Times New Roman" w:hAnsi="Times New Roman" w:cs="Times New Roman"/>
                <w:color w:val="auto"/>
                <w:sz w:val="21"/>
                <w:szCs w:val="21"/>
              </w:rPr>
              <w:fldChar w:fldCharType="end"/>
            </w:r>
          </w:p>
        </w:tc>
        <w:tc>
          <w:tcPr>
            <w:tcW w:w="390" w:type="pct"/>
            <w:vAlign w:val="center"/>
          </w:tcPr>
          <w:p w14:paraId="07343BD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785" w:type="pct"/>
            <w:vAlign w:val="center"/>
          </w:tcPr>
          <w:p w14:paraId="3787DB9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25-50</w:t>
            </w:r>
          </w:p>
        </w:tc>
        <w:tc>
          <w:tcPr>
            <w:tcW w:w="446" w:type="pct"/>
            <w:vAlign w:val="center"/>
          </w:tcPr>
          <w:p w14:paraId="7511BDC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w:t>
            </w:r>
          </w:p>
        </w:tc>
        <w:tc>
          <w:tcPr>
            <w:tcW w:w="83" w:type="pct"/>
            <w:vAlign w:val="center"/>
          </w:tcPr>
          <w:p w14:paraId="47709389">
            <w:pPr>
              <w:spacing w:line="240" w:lineRule="auto"/>
              <w:rPr>
                <w:rFonts w:hint="default" w:ascii="Times New Roman" w:hAnsi="Times New Roman" w:cs="Times New Roman"/>
                <w:color w:val="auto"/>
                <w:sz w:val="21"/>
                <w:szCs w:val="21"/>
              </w:rPr>
            </w:pPr>
          </w:p>
        </w:tc>
        <w:tc>
          <w:tcPr>
            <w:tcW w:w="802" w:type="pct"/>
            <w:vAlign w:val="center"/>
          </w:tcPr>
          <w:p w14:paraId="1670D3D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 w:type="pct"/>
            <w:vAlign w:val="center"/>
          </w:tcPr>
          <w:p w14:paraId="0828B312">
            <w:pPr>
              <w:spacing w:line="240" w:lineRule="auto"/>
              <w:rPr>
                <w:rFonts w:hint="default" w:ascii="Times New Roman" w:hAnsi="Times New Roman" w:cs="Times New Roman"/>
                <w:color w:val="auto"/>
                <w:sz w:val="21"/>
                <w:szCs w:val="21"/>
              </w:rPr>
            </w:pPr>
          </w:p>
        </w:tc>
        <w:tc>
          <w:tcPr>
            <w:tcW w:w="656" w:type="pct"/>
            <w:vAlign w:val="center"/>
          </w:tcPr>
          <w:p w14:paraId="70C1ABD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291.9 ± 81.8</w:t>
            </w:r>
          </w:p>
        </w:tc>
        <w:tc>
          <w:tcPr>
            <w:tcW w:w="676" w:type="pct"/>
            <w:vAlign w:val="center"/>
          </w:tcPr>
          <w:p w14:paraId="0F755BA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184.5 ± 56.0</w:t>
            </w:r>
          </w:p>
        </w:tc>
        <w:tc>
          <w:tcPr>
            <w:tcW w:w="534" w:type="pct"/>
            <w:vAlign w:val="center"/>
          </w:tcPr>
          <w:p w14:paraId="67EAEB0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37.0 ± 9.1</w:t>
            </w:r>
          </w:p>
        </w:tc>
      </w:tr>
      <w:tr w14:paraId="0E12E6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55A3FAB3">
            <w:pPr>
              <w:spacing w:line="240" w:lineRule="auto"/>
              <w:rPr>
                <w:rFonts w:hint="default" w:ascii="Times New Roman" w:hAnsi="Times New Roman" w:eastAsia="宋体" w:cs="Times New Roman"/>
                <w:color w:val="auto"/>
                <w:sz w:val="21"/>
                <w:szCs w:val="21"/>
                <w:shd w:val="clear" w:color="auto" w:fill="FFFFFF"/>
              </w:rPr>
            </w:pPr>
            <w:r>
              <w:rPr>
                <w:rFonts w:hint="default" w:ascii="Times New Roman" w:hAnsi="Times New Roman" w:eastAsia="宋体" w:cs="Times New Roman"/>
                <w:color w:val="auto"/>
                <w:sz w:val="21"/>
                <w:szCs w:val="21"/>
                <w:shd w:val="clear" w:color="auto" w:fill="FFFFFF"/>
              </w:rPr>
              <w:t>Wu MM</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KYMRREF{93EBA3E8-6F3A-4856-9B16-47EAA13064B5}469</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[16]</w:t>
            </w:r>
            <w:r>
              <w:rPr>
                <w:rFonts w:hint="default" w:ascii="Times New Roman" w:hAnsi="Times New Roman" w:cs="Times New Roman"/>
                <w:color w:val="auto"/>
                <w:sz w:val="21"/>
                <w:szCs w:val="21"/>
              </w:rPr>
              <w:fldChar w:fldCharType="end"/>
            </w:r>
          </w:p>
        </w:tc>
        <w:tc>
          <w:tcPr>
            <w:tcW w:w="390" w:type="pct"/>
            <w:vAlign w:val="center"/>
          </w:tcPr>
          <w:p w14:paraId="20EF3CF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w:t>
            </w:r>
          </w:p>
        </w:tc>
        <w:tc>
          <w:tcPr>
            <w:tcW w:w="785" w:type="pct"/>
            <w:vAlign w:val="center"/>
          </w:tcPr>
          <w:p w14:paraId="3904859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27-28</w:t>
            </w:r>
          </w:p>
        </w:tc>
        <w:tc>
          <w:tcPr>
            <w:tcW w:w="446" w:type="pct"/>
            <w:vAlign w:val="center"/>
          </w:tcPr>
          <w:p w14:paraId="4812A89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3-4</w:t>
            </w:r>
          </w:p>
        </w:tc>
        <w:tc>
          <w:tcPr>
            <w:tcW w:w="83" w:type="pct"/>
            <w:vAlign w:val="center"/>
          </w:tcPr>
          <w:p w14:paraId="18FA7B5A">
            <w:pPr>
              <w:spacing w:line="240" w:lineRule="auto"/>
              <w:rPr>
                <w:rFonts w:hint="default" w:ascii="Times New Roman" w:hAnsi="Times New Roman" w:cs="Times New Roman"/>
                <w:color w:val="auto"/>
                <w:sz w:val="21"/>
                <w:szCs w:val="21"/>
              </w:rPr>
            </w:pPr>
          </w:p>
        </w:tc>
        <w:tc>
          <w:tcPr>
            <w:tcW w:w="802" w:type="pct"/>
            <w:vAlign w:val="center"/>
          </w:tcPr>
          <w:p w14:paraId="4D7260A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 w:type="pct"/>
            <w:vAlign w:val="center"/>
          </w:tcPr>
          <w:p w14:paraId="3C298104">
            <w:pPr>
              <w:spacing w:line="240" w:lineRule="auto"/>
              <w:rPr>
                <w:rFonts w:hint="default" w:ascii="Times New Roman" w:hAnsi="Times New Roman" w:cs="Times New Roman"/>
                <w:color w:val="auto"/>
                <w:sz w:val="21"/>
                <w:szCs w:val="21"/>
              </w:rPr>
            </w:pPr>
          </w:p>
        </w:tc>
        <w:tc>
          <w:tcPr>
            <w:tcW w:w="656" w:type="pct"/>
            <w:vAlign w:val="center"/>
          </w:tcPr>
          <w:p w14:paraId="281787E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2CC34CA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40CA1BC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5EA453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5E65D8FB">
            <w:pPr>
              <w:spacing w:line="240" w:lineRule="auto"/>
              <w:rPr>
                <w:rFonts w:hint="default" w:ascii="Times New Roman" w:hAnsi="Times New Roman" w:eastAsia="宋体" w:cs="Times New Roman"/>
                <w:color w:val="auto"/>
                <w:sz w:val="21"/>
                <w:szCs w:val="21"/>
                <w:shd w:val="clear" w:color="auto" w:fill="FFFFFF"/>
              </w:rPr>
            </w:pPr>
            <w:r>
              <w:rPr>
                <w:rFonts w:hint="default" w:ascii="Times New Roman" w:hAnsi="Times New Roman" w:eastAsia="宋体" w:cs="Times New Roman"/>
                <w:color w:val="auto"/>
                <w:sz w:val="21"/>
                <w:szCs w:val="21"/>
                <w:shd w:val="clear" w:color="auto" w:fill="FFFFFF"/>
              </w:rPr>
              <w:t>Ma YJ</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KYMRREF{93EBA3E8-6F3A-4856-9B16-47EAA13064B5}460</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[17]</w:t>
            </w:r>
            <w:r>
              <w:rPr>
                <w:rFonts w:hint="default" w:ascii="Times New Roman" w:hAnsi="Times New Roman" w:cs="Times New Roman"/>
                <w:color w:val="auto"/>
                <w:sz w:val="21"/>
                <w:szCs w:val="21"/>
              </w:rPr>
              <w:fldChar w:fldCharType="end"/>
            </w:r>
          </w:p>
        </w:tc>
        <w:tc>
          <w:tcPr>
            <w:tcW w:w="390" w:type="pct"/>
            <w:vAlign w:val="center"/>
          </w:tcPr>
          <w:p w14:paraId="30460C8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130</w:t>
            </w:r>
          </w:p>
        </w:tc>
        <w:tc>
          <w:tcPr>
            <w:tcW w:w="785" w:type="pct"/>
            <w:vAlign w:val="center"/>
          </w:tcPr>
          <w:p w14:paraId="5A37E9D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w:t>
            </w:r>
          </w:p>
        </w:tc>
        <w:tc>
          <w:tcPr>
            <w:tcW w:w="446" w:type="pct"/>
            <w:vAlign w:val="center"/>
          </w:tcPr>
          <w:p w14:paraId="4995728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83" w:type="pct"/>
            <w:vAlign w:val="center"/>
          </w:tcPr>
          <w:p w14:paraId="71FB8252">
            <w:pPr>
              <w:spacing w:line="240" w:lineRule="auto"/>
              <w:rPr>
                <w:rFonts w:hint="default" w:ascii="Times New Roman" w:hAnsi="Times New Roman" w:cs="Times New Roman"/>
                <w:color w:val="auto"/>
                <w:sz w:val="21"/>
                <w:szCs w:val="21"/>
              </w:rPr>
            </w:pPr>
          </w:p>
        </w:tc>
        <w:tc>
          <w:tcPr>
            <w:tcW w:w="802" w:type="pct"/>
            <w:vAlign w:val="center"/>
          </w:tcPr>
          <w:p w14:paraId="78940F7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3600</w:t>
            </w:r>
          </w:p>
        </w:tc>
        <w:tc>
          <w:tcPr>
            <w:tcW w:w="78" w:type="pct"/>
            <w:vAlign w:val="center"/>
          </w:tcPr>
          <w:p w14:paraId="16654591">
            <w:pPr>
              <w:spacing w:line="240" w:lineRule="auto"/>
              <w:rPr>
                <w:rFonts w:hint="default" w:ascii="Times New Roman" w:hAnsi="Times New Roman" w:cs="Times New Roman"/>
                <w:color w:val="auto"/>
                <w:sz w:val="21"/>
                <w:szCs w:val="21"/>
              </w:rPr>
            </w:pPr>
          </w:p>
        </w:tc>
        <w:tc>
          <w:tcPr>
            <w:tcW w:w="656" w:type="pct"/>
            <w:vAlign w:val="center"/>
          </w:tcPr>
          <w:p w14:paraId="12D8035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185F493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36768C7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317495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21DE9E7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Jiang Y</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KYMRREF{93EBA3E8-6F3A-4856-9B16-47EAA13064B5}474</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[18]</w:t>
            </w:r>
            <w:r>
              <w:rPr>
                <w:rFonts w:hint="default" w:ascii="Times New Roman" w:hAnsi="Times New Roman" w:cs="Times New Roman"/>
                <w:color w:val="auto"/>
                <w:sz w:val="21"/>
                <w:szCs w:val="21"/>
              </w:rPr>
              <w:fldChar w:fldCharType="end"/>
            </w:r>
          </w:p>
        </w:tc>
        <w:tc>
          <w:tcPr>
            <w:tcW w:w="390" w:type="pct"/>
            <w:vAlign w:val="center"/>
          </w:tcPr>
          <w:p w14:paraId="22864A9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120-150</w:t>
            </w:r>
          </w:p>
        </w:tc>
        <w:tc>
          <w:tcPr>
            <w:tcW w:w="785" w:type="pct"/>
            <w:vAlign w:val="center"/>
          </w:tcPr>
          <w:p w14:paraId="2B0F4A4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30-50</w:t>
            </w:r>
          </w:p>
        </w:tc>
        <w:tc>
          <w:tcPr>
            <w:tcW w:w="446" w:type="pct"/>
            <w:vAlign w:val="center"/>
          </w:tcPr>
          <w:p w14:paraId="4A1849D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w:t>
            </w:r>
          </w:p>
        </w:tc>
        <w:tc>
          <w:tcPr>
            <w:tcW w:w="83" w:type="pct"/>
            <w:vAlign w:val="center"/>
          </w:tcPr>
          <w:p w14:paraId="2639F7DA">
            <w:pPr>
              <w:spacing w:line="240" w:lineRule="auto"/>
              <w:rPr>
                <w:rFonts w:hint="default" w:ascii="Times New Roman" w:hAnsi="Times New Roman" w:cs="Times New Roman"/>
                <w:color w:val="auto"/>
                <w:sz w:val="21"/>
                <w:szCs w:val="21"/>
              </w:rPr>
            </w:pPr>
          </w:p>
        </w:tc>
        <w:tc>
          <w:tcPr>
            <w:tcW w:w="802" w:type="pct"/>
            <w:vAlign w:val="center"/>
          </w:tcPr>
          <w:p w14:paraId="3C40CBE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4000-5000</w:t>
            </w:r>
          </w:p>
        </w:tc>
        <w:tc>
          <w:tcPr>
            <w:tcW w:w="78" w:type="pct"/>
            <w:vAlign w:val="center"/>
          </w:tcPr>
          <w:p w14:paraId="34196BD7">
            <w:pPr>
              <w:spacing w:line="240" w:lineRule="auto"/>
              <w:rPr>
                <w:rFonts w:hint="default" w:ascii="Times New Roman" w:hAnsi="Times New Roman" w:cs="Times New Roman"/>
                <w:color w:val="auto"/>
                <w:sz w:val="21"/>
                <w:szCs w:val="21"/>
              </w:rPr>
            </w:pPr>
          </w:p>
        </w:tc>
        <w:tc>
          <w:tcPr>
            <w:tcW w:w="656" w:type="pct"/>
            <w:vAlign w:val="center"/>
          </w:tcPr>
          <w:p w14:paraId="0A13759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76" w:type="pct"/>
            <w:vAlign w:val="center"/>
          </w:tcPr>
          <w:p w14:paraId="4F8D848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34" w:type="pct"/>
            <w:vAlign w:val="center"/>
          </w:tcPr>
          <w:p w14:paraId="1EC62AD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65D8BC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7" w:type="pct"/>
            <w:vAlign w:val="center"/>
          </w:tcPr>
          <w:p w14:paraId="1C9559F4">
            <w:pPr>
              <w:spacing w:line="240" w:lineRule="auto"/>
              <w:rPr>
                <w:rFonts w:hint="default" w:ascii="Times New Roman" w:hAnsi="Times New Roman" w:eastAsia="宋体" w:cs="Times New Roman"/>
                <w:color w:val="auto"/>
                <w:sz w:val="21"/>
                <w:szCs w:val="21"/>
                <w:shd w:val="clear" w:color="auto" w:fill="FFFFFF"/>
              </w:rPr>
            </w:pPr>
            <w:r>
              <w:rPr>
                <w:rFonts w:hint="default" w:ascii="Times New Roman" w:hAnsi="Times New Roman" w:eastAsia="宋体" w:cs="Times New Roman"/>
                <w:color w:val="auto"/>
                <w:sz w:val="21"/>
                <w:szCs w:val="21"/>
                <w:shd w:val="clear" w:color="auto" w:fill="FFFFFF"/>
              </w:rPr>
              <w:t>Huang TH</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KYMRREF{93EBA3E8-6F3A-4856-9B16-47EAA13064B5}468</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[19]</w:t>
            </w:r>
            <w:r>
              <w:rPr>
                <w:rFonts w:hint="default" w:ascii="Times New Roman" w:hAnsi="Times New Roman" w:cs="Times New Roman"/>
                <w:color w:val="auto"/>
                <w:sz w:val="21"/>
                <w:szCs w:val="21"/>
              </w:rPr>
              <w:fldChar w:fldCharType="end"/>
            </w:r>
          </w:p>
        </w:tc>
        <w:tc>
          <w:tcPr>
            <w:tcW w:w="390" w:type="pct"/>
            <w:vAlign w:val="center"/>
          </w:tcPr>
          <w:p w14:paraId="6363737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785" w:type="pct"/>
            <w:vAlign w:val="center"/>
          </w:tcPr>
          <w:p w14:paraId="7A9B134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446" w:type="pct"/>
            <w:vAlign w:val="center"/>
          </w:tcPr>
          <w:p w14:paraId="073552F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83" w:type="pct"/>
            <w:vAlign w:val="center"/>
          </w:tcPr>
          <w:p w14:paraId="4EEF1AD2">
            <w:pPr>
              <w:spacing w:line="240" w:lineRule="auto"/>
              <w:rPr>
                <w:rFonts w:hint="default" w:ascii="Times New Roman" w:hAnsi="Times New Roman" w:cs="Times New Roman"/>
                <w:color w:val="auto"/>
                <w:sz w:val="21"/>
                <w:szCs w:val="21"/>
              </w:rPr>
            </w:pPr>
          </w:p>
        </w:tc>
        <w:tc>
          <w:tcPr>
            <w:tcW w:w="802" w:type="pct"/>
            <w:vAlign w:val="center"/>
          </w:tcPr>
          <w:p w14:paraId="04EE5E5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78" w:type="pct"/>
            <w:vAlign w:val="center"/>
          </w:tcPr>
          <w:p w14:paraId="0A1FADEF">
            <w:pPr>
              <w:spacing w:line="240" w:lineRule="auto"/>
              <w:rPr>
                <w:rFonts w:hint="default" w:ascii="Times New Roman" w:hAnsi="Times New Roman" w:cs="Times New Roman"/>
                <w:color w:val="auto"/>
                <w:sz w:val="21"/>
                <w:szCs w:val="21"/>
              </w:rPr>
            </w:pPr>
          </w:p>
        </w:tc>
        <w:tc>
          <w:tcPr>
            <w:tcW w:w="656" w:type="pct"/>
            <w:vAlign w:val="center"/>
          </w:tcPr>
          <w:p w14:paraId="67279B4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375.2 ± 193.4</w:t>
            </w:r>
          </w:p>
        </w:tc>
        <w:tc>
          <w:tcPr>
            <w:tcW w:w="676" w:type="pct"/>
            <w:vAlign w:val="center"/>
          </w:tcPr>
          <w:p w14:paraId="782EE26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220.8 ± 152.3</w:t>
            </w:r>
          </w:p>
        </w:tc>
        <w:tc>
          <w:tcPr>
            <w:tcW w:w="534" w:type="pct"/>
            <w:vAlign w:val="center"/>
          </w:tcPr>
          <w:p w14:paraId="0DFA96D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bl>
    <w:p w14:paraId="32BEF44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The information was not disclosed in the literature.</w:t>
      </w:r>
    </w:p>
    <w:p w14:paraId="540A69E6">
      <w:pPr>
        <w:spacing w:line="240" w:lineRule="auto"/>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vertAlign w:val="superscript"/>
        </w:rPr>
        <w:t>▲</w:t>
      </w:r>
      <w:r>
        <w:rPr>
          <w:rFonts w:hint="default" w:ascii="Times New Roman" w:hAnsi="Times New Roman" w:cs="Times New Roman"/>
          <w:color w:val="auto"/>
          <w:sz w:val="21"/>
          <w:szCs w:val="21"/>
        </w:rPr>
        <w:t xml:space="preserve">, </w:t>
      </w:r>
      <w:r>
        <w:rPr>
          <w:rFonts w:hint="default" w:ascii="Times New Roman" w:hAnsi="Times New Roman" w:cs="Times New Roman" w:eastAsiaTheme="majorEastAsia"/>
          <w:color w:val="auto"/>
          <w:sz w:val="21"/>
          <w:szCs w:val="21"/>
          <w:shd w:val="clear" w:color="auto" w:fill="FFFFFF"/>
        </w:rPr>
        <w:t>The "</w:t>
      </w:r>
      <w:r>
        <w:rPr>
          <w:rFonts w:hint="default" w:ascii="Times New Roman" w:hAnsi="Times New Roman" w:cs="Times New Roman"/>
          <w:color w:val="auto"/>
          <w:sz w:val="21"/>
          <w:szCs w:val="21"/>
          <w:shd w:val="clear" w:color="auto" w:fill="FFFFFF"/>
        </w:rPr>
        <w:t>Expert consensus on clinical application of artificial liver and blood purification (2022 edition)</w:t>
      </w:r>
      <w:r>
        <w:rPr>
          <w:rFonts w:hint="default" w:ascii="Times New Roman" w:hAnsi="Times New Roman" w:cs="Times New Roman" w:eastAsiaTheme="majorEastAsia"/>
          <w:color w:val="auto"/>
          <w:sz w:val="21"/>
          <w:szCs w:val="21"/>
          <w:shd w:val="clear" w:color="auto" w:fill="FFFFFF"/>
        </w:rPr>
        <w:t>"</w:t>
      </w:r>
      <w:r>
        <w:rPr>
          <w:rFonts w:hint="default" w:ascii="Times New Roman" w:hAnsi="Times New Roman" w:cs="Times New Roman"/>
          <w:color w:val="auto"/>
          <w:sz w:val="21"/>
          <w:szCs w:val="21"/>
          <w:shd w:val="clear" w:color="auto" w:fill="FFFFFF"/>
        </w:rPr>
        <w:t xml:space="preserve"> suggests setting the </w:t>
      </w:r>
      <w:r>
        <w:rPr>
          <w:rFonts w:hint="default" w:ascii="Times New Roman" w:hAnsi="Times New Roman" w:cs="Times New Roman"/>
          <w:color w:val="auto"/>
          <w:sz w:val="21"/>
          <w:szCs w:val="21"/>
        </w:rPr>
        <w:t>therapeutic dosing</w:t>
      </w:r>
      <w:r>
        <w:rPr>
          <w:rFonts w:hint="default" w:ascii="Times New Roman" w:hAnsi="Times New Roman" w:cs="Times New Roman" w:eastAsiaTheme="majorEastAsia"/>
          <w:color w:val="auto"/>
          <w:sz w:val="21"/>
          <w:szCs w:val="21"/>
          <w:shd w:val="clear" w:color="auto" w:fill="FFFFFF"/>
        </w:rPr>
        <w:t xml:space="preserve"> for</w:t>
      </w:r>
      <w:r>
        <w:rPr>
          <w:rFonts w:hint="default" w:ascii="Times New Roman" w:hAnsi="Times New Roman" w:cs="Times New Roman"/>
          <w:color w:val="auto"/>
          <w:sz w:val="21"/>
          <w:szCs w:val="21"/>
          <w:shd w:val="clear" w:color="auto" w:fill="FFFFFF"/>
        </w:rPr>
        <w:t xml:space="preserve"> plasma adsorption at a minimum of 1.2 plasma volume, generally within 2</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shd w:val="clear" w:color="auto" w:fill="FFFFFF"/>
        </w:rPr>
        <w:t>3 plasma volume, with a minimum treatment duration of 2 hours</w:t>
      </w:r>
      <w:r>
        <w:rPr>
          <w:rFonts w:hint="default" w:ascii="Times New Roman" w:hAnsi="Times New Roman" w:cs="Times New Roman"/>
          <w:color w:val="auto"/>
          <w:sz w:val="21"/>
          <w:szCs w:val="21"/>
        </w:rPr>
        <w:fldChar w:fldCharType="begin"/>
      </w:r>
      <w:r>
        <w:rPr>
          <w:rFonts w:hint="default" w:ascii="Times New Roman" w:hAnsi="Times New Roman" w:cs="Times New Roman"/>
          <w:color w:val="auto"/>
          <w:sz w:val="21"/>
          <w:szCs w:val="21"/>
        </w:rPr>
        <w:instrText xml:space="preserve"> ADDIN KYMRREF{93EBA3E8-6F3A-4856-9B16-47EAA13064B5}464</w:instrText>
      </w:r>
      <w:r>
        <w:rPr>
          <w:rFonts w:hint="default" w:ascii="Times New Roman" w:hAnsi="Times New Roman"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[1]</w:t>
      </w:r>
      <w:r>
        <w:rPr>
          <w:rFonts w:hint="default" w:ascii="Times New Roman" w:hAnsi="Times New Roman" w:cs="Times New Roman"/>
          <w:color w:val="auto"/>
          <w:sz w:val="21"/>
          <w:szCs w:val="21"/>
        </w:rPr>
        <w:fldChar w:fldCharType="end"/>
      </w:r>
      <w:r>
        <w:rPr>
          <w:rFonts w:hint="default" w:ascii="Times New Roman" w:hAnsi="Times New Roman" w:cs="Times New Roman"/>
          <w:color w:val="auto"/>
          <w:sz w:val="21"/>
          <w:szCs w:val="21"/>
        </w:rPr>
        <w:t>.</w:t>
      </w:r>
    </w:p>
    <w:p w14:paraId="24CAA7C2">
      <w:pP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vertAlign w:val="superscript"/>
        </w:rPr>
        <w:t>★</w:t>
      </w:r>
      <w:r>
        <w:rPr>
          <w:rFonts w:hint="default" w:ascii="Times New Roman" w:hAnsi="Times New Roman" w:eastAsia="宋体" w:cs="Times New Roman"/>
          <w:color w:val="auto"/>
          <w:sz w:val="21"/>
          <w:szCs w:val="21"/>
        </w:rPr>
        <w:t xml:space="preserve">, </w:t>
      </w:r>
      <w:r>
        <w:rPr>
          <w:rFonts w:hint="default" w:ascii="Times New Roman" w:hAnsi="Times New Roman" w:cs="Times New Roman"/>
          <w:color w:val="auto"/>
          <w:sz w:val="21"/>
          <w:szCs w:val="21"/>
          <w:shd w:val="clear" w:color="auto" w:fill="FFFFFF"/>
        </w:rPr>
        <w:t xml:space="preserve">The "Standard operating procedures (SOP) for blood purification (2021 edition)" proposes a </w:t>
      </w:r>
      <w:r>
        <w:rPr>
          <w:rFonts w:hint="default" w:ascii="Times New Roman" w:hAnsi="Times New Roman" w:eastAsia="宋体" w:cs="Times New Roman"/>
          <w:color w:val="auto"/>
          <w:sz w:val="21"/>
          <w:szCs w:val="21"/>
        </w:rPr>
        <w:t>therapeutic dosing</w:t>
      </w:r>
      <w:r>
        <w:rPr>
          <w:rFonts w:hint="default" w:ascii="Times New Roman" w:hAnsi="Times New Roman" w:cs="Times New Roman"/>
          <w:color w:val="auto"/>
          <w:sz w:val="21"/>
          <w:szCs w:val="21"/>
          <w:shd w:val="clear" w:color="auto" w:fill="FFFFFF"/>
        </w:rPr>
        <w:t xml:space="preserve"> for plasma adsorption as 2</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shd w:val="clear" w:color="auto" w:fill="FFFFFF"/>
        </w:rPr>
        <w:t>3 plasma volume with a treatment duration of 2</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shd w:val="clear" w:color="auto" w:fill="FFFFFF"/>
        </w:rPr>
        <w:t>3 hours</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ADDIN KYMRREF{93EBA3E8-6F3A-4856-9B16-47EAA13064B5}454</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b w:val="0"/>
          <w:i w:val="0"/>
          <w:color w:val="auto"/>
          <w:sz w:val="21"/>
          <w:szCs w:val="21"/>
          <w:u w:val="none"/>
          <w:lang w:eastAsia="zh-CN"/>
        </w:rPr>
        <w:t>[2]</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w:t>
      </w:r>
    </w:p>
    <w:p w14:paraId="0E48699C">
      <w:pPr>
        <w:rPr>
          <w:rFonts w:hint="default" w:ascii="Times New Roman" w:hAnsi="Times New Roman" w:cs="Times New Roman"/>
          <w:b/>
          <w:bCs/>
          <w:color w:val="auto"/>
          <w:sz w:val="21"/>
          <w:szCs w:val="21"/>
          <w:lang w:val="en-US" w:eastAsia="zh-CN"/>
        </w:rPr>
      </w:pPr>
    </w:p>
    <w:p w14:paraId="16F3D1BB">
      <w:pP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lang w:val="en-US" w:eastAsia="zh-CN"/>
        </w:rPr>
        <w:t xml:space="preserve">Supplementary </w:t>
      </w:r>
      <w:r>
        <w:rPr>
          <w:rFonts w:hint="default" w:ascii="Times New Roman" w:hAnsi="Times New Roman" w:cs="Times New Roman"/>
          <w:b/>
          <w:bCs/>
          <w:color w:val="auto"/>
          <w:sz w:val="21"/>
          <w:szCs w:val="21"/>
        </w:rPr>
        <w:t xml:space="preserve">Table </w:t>
      </w:r>
      <w:r>
        <w:rPr>
          <w:rFonts w:hint="default" w:ascii="Times New Roman" w:hAnsi="Times New Roman" w:cs="Times New Roman"/>
          <w:b/>
          <w:bCs/>
          <w:color w:val="auto"/>
          <w:sz w:val="21"/>
          <w:szCs w:val="21"/>
          <w:lang w:val="en-US" w:eastAsia="zh-CN"/>
        </w:rPr>
        <w:t>S2</w:t>
      </w:r>
      <w:r>
        <w:rPr>
          <w:rFonts w:hint="default" w:ascii="Times New Roman" w:hAnsi="Times New Roman" w:cs="Times New Roman"/>
          <w:b/>
          <w:bCs/>
          <w:color w:val="auto"/>
          <w:sz w:val="21"/>
          <w:szCs w:val="21"/>
        </w:rPr>
        <w:t>. Filtration fraction corresponding to hematocrit and different treatment parameters.</w:t>
      </w:r>
    </w:p>
    <w:tbl>
      <w:tblPr>
        <w:tblStyle w:val="3"/>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5"/>
        <w:gridCol w:w="2748"/>
        <w:gridCol w:w="1843"/>
        <w:gridCol w:w="2822"/>
        <w:gridCol w:w="2603"/>
        <w:gridCol w:w="2323"/>
      </w:tblGrid>
      <w:tr w14:paraId="0E9D24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Borders>
              <w:top w:val="single" w:color="auto" w:sz="4" w:space="0"/>
              <w:bottom w:val="single" w:color="auto" w:sz="4" w:space="0"/>
            </w:tcBorders>
          </w:tcPr>
          <w:p w14:paraId="291ACDE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Hematocrit</w:t>
            </w:r>
          </w:p>
        </w:tc>
        <w:tc>
          <w:tcPr>
            <w:tcW w:w="969" w:type="pct"/>
            <w:tcBorders>
              <w:top w:val="single" w:color="auto" w:sz="4" w:space="0"/>
              <w:bottom w:val="single" w:color="auto" w:sz="4" w:space="0"/>
            </w:tcBorders>
          </w:tcPr>
          <w:p w14:paraId="1DC6E94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Concentration ratio</w:t>
            </w:r>
          </w:p>
        </w:tc>
        <w:tc>
          <w:tcPr>
            <w:tcW w:w="650" w:type="pct"/>
            <w:tcBorders>
              <w:top w:val="single" w:color="auto" w:sz="4" w:space="0"/>
              <w:bottom w:val="single" w:color="auto" w:sz="4" w:space="0"/>
            </w:tcBorders>
          </w:tcPr>
          <w:p w14:paraId="210E73F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Blood flow</w:t>
            </w:r>
          </w:p>
          <w:p w14:paraId="3559A18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(mL/min)</w:t>
            </w:r>
          </w:p>
        </w:tc>
        <w:tc>
          <w:tcPr>
            <w:tcW w:w="995" w:type="pct"/>
            <w:tcBorders>
              <w:top w:val="single" w:color="auto" w:sz="4" w:space="0"/>
              <w:bottom w:val="single" w:color="auto" w:sz="4" w:space="0"/>
            </w:tcBorders>
          </w:tcPr>
          <w:p w14:paraId="16EA91F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Plasma separation flow</w:t>
            </w:r>
          </w:p>
          <w:p w14:paraId="655C460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(mL/min)</w:t>
            </w:r>
          </w:p>
        </w:tc>
        <w:tc>
          <w:tcPr>
            <w:tcW w:w="918" w:type="pct"/>
            <w:tcBorders>
              <w:top w:val="single" w:color="auto" w:sz="4" w:space="0"/>
              <w:bottom w:val="single" w:color="auto" w:sz="4" w:space="0"/>
            </w:tcBorders>
          </w:tcPr>
          <w:p w14:paraId="7D558DB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Volume of processed plasma</w:t>
            </w:r>
            <w:r>
              <w:rPr>
                <w:rFonts w:hint="eastAsia"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(mL/h)</w:t>
            </w:r>
          </w:p>
        </w:tc>
        <w:tc>
          <w:tcPr>
            <w:tcW w:w="819" w:type="pct"/>
            <w:tcBorders>
              <w:top w:val="single" w:color="auto" w:sz="4" w:space="0"/>
              <w:bottom w:val="single" w:color="auto" w:sz="4" w:space="0"/>
            </w:tcBorders>
          </w:tcPr>
          <w:p w14:paraId="1A4F753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Filtration fraction</w:t>
            </w:r>
          </w:p>
        </w:tc>
      </w:tr>
      <w:tr w14:paraId="4BB418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Borders>
              <w:bottom w:val="nil"/>
            </w:tcBorders>
          </w:tcPr>
          <w:p w14:paraId="72F08F0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0.25</w:t>
            </w:r>
          </w:p>
        </w:tc>
        <w:tc>
          <w:tcPr>
            <w:tcW w:w="969" w:type="pct"/>
            <w:tcBorders>
              <w:bottom w:val="nil"/>
            </w:tcBorders>
          </w:tcPr>
          <w:p w14:paraId="3FCC955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650" w:type="pct"/>
            <w:tcBorders>
              <w:bottom w:val="nil"/>
            </w:tcBorders>
          </w:tcPr>
          <w:p w14:paraId="61BEBC0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995" w:type="pct"/>
            <w:tcBorders>
              <w:bottom w:val="nil"/>
            </w:tcBorders>
          </w:tcPr>
          <w:p w14:paraId="4DCDFE9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20/30</w:t>
            </w:r>
          </w:p>
        </w:tc>
        <w:tc>
          <w:tcPr>
            <w:tcW w:w="918" w:type="pct"/>
            <w:tcBorders>
              <w:bottom w:val="nil"/>
            </w:tcBorders>
          </w:tcPr>
          <w:p w14:paraId="0DF35D3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1200/1800</w:t>
            </w:r>
          </w:p>
        </w:tc>
        <w:tc>
          <w:tcPr>
            <w:tcW w:w="819" w:type="pct"/>
            <w:tcBorders>
              <w:bottom w:val="nil"/>
            </w:tcBorders>
          </w:tcPr>
          <w:p w14:paraId="10EBDFD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26.7%</w:t>
            </w:r>
          </w:p>
        </w:tc>
      </w:tr>
      <w:tr w14:paraId="064E9F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Borders>
              <w:top w:val="nil"/>
            </w:tcBorders>
          </w:tcPr>
          <w:p w14:paraId="62BAE12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0.30</w:t>
            </w:r>
          </w:p>
        </w:tc>
        <w:tc>
          <w:tcPr>
            <w:tcW w:w="969" w:type="pct"/>
            <w:tcBorders>
              <w:top w:val="nil"/>
            </w:tcBorders>
          </w:tcPr>
          <w:p w14:paraId="0395409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650" w:type="pct"/>
            <w:tcBorders>
              <w:top w:val="nil"/>
            </w:tcBorders>
          </w:tcPr>
          <w:p w14:paraId="2DF06B1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995" w:type="pct"/>
            <w:tcBorders>
              <w:top w:val="nil"/>
            </w:tcBorders>
          </w:tcPr>
          <w:p w14:paraId="0AF8996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20/30</w:t>
            </w:r>
          </w:p>
        </w:tc>
        <w:tc>
          <w:tcPr>
            <w:tcW w:w="918" w:type="pct"/>
            <w:tcBorders>
              <w:top w:val="nil"/>
            </w:tcBorders>
          </w:tcPr>
          <w:p w14:paraId="2149634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1200/1800</w:t>
            </w:r>
          </w:p>
        </w:tc>
        <w:tc>
          <w:tcPr>
            <w:tcW w:w="819" w:type="pct"/>
            <w:tcBorders>
              <w:top w:val="nil"/>
            </w:tcBorders>
          </w:tcPr>
          <w:p w14:paraId="6073348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28.6%</w:t>
            </w:r>
          </w:p>
        </w:tc>
      </w:tr>
      <w:tr w14:paraId="2C53B9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Pr>
          <w:p w14:paraId="4E36CA3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0.35</w:t>
            </w:r>
          </w:p>
        </w:tc>
        <w:tc>
          <w:tcPr>
            <w:tcW w:w="969" w:type="pct"/>
          </w:tcPr>
          <w:p w14:paraId="5192E11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650" w:type="pct"/>
          </w:tcPr>
          <w:p w14:paraId="72B4E68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995" w:type="pct"/>
          </w:tcPr>
          <w:p w14:paraId="5B9FF8C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20/30</w:t>
            </w:r>
          </w:p>
        </w:tc>
        <w:tc>
          <w:tcPr>
            <w:tcW w:w="918" w:type="pct"/>
          </w:tcPr>
          <w:p w14:paraId="1E11B20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1200/1800</w:t>
            </w:r>
          </w:p>
        </w:tc>
        <w:tc>
          <w:tcPr>
            <w:tcW w:w="819" w:type="pct"/>
          </w:tcPr>
          <w:p w14:paraId="2269728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30.8%</w:t>
            </w:r>
          </w:p>
        </w:tc>
      </w:tr>
      <w:tr w14:paraId="3CE2FE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Borders>
              <w:bottom w:val="single" w:color="auto" w:sz="4" w:space="0"/>
            </w:tcBorders>
          </w:tcPr>
          <w:p w14:paraId="3A9E0E0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0.40</w:t>
            </w:r>
          </w:p>
        </w:tc>
        <w:tc>
          <w:tcPr>
            <w:tcW w:w="969" w:type="pct"/>
            <w:tcBorders>
              <w:bottom w:val="single" w:color="auto" w:sz="4" w:space="0"/>
            </w:tcBorders>
          </w:tcPr>
          <w:p w14:paraId="6EC064FF">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650" w:type="pct"/>
            <w:tcBorders>
              <w:bottom w:val="single" w:color="auto" w:sz="4" w:space="0"/>
            </w:tcBorders>
          </w:tcPr>
          <w:p w14:paraId="7DF1F2F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995" w:type="pct"/>
            <w:tcBorders>
              <w:bottom w:val="single" w:color="auto" w:sz="4" w:space="0"/>
            </w:tcBorders>
          </w:tcPr>
          <w:p w14:paraId="3C67FE8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20/30</w:t>
            </w:r>
          </w:p>
        </w:tc>
        <w:tc>
          <w:tcPr>
            <w:tcW w:w="918" w:type="pct"/>
            <w:tcBorders>
              <w:bottom w:val="single" w:color="auto" w:sz="4" w:space="0"/>
            </w:tcBorders>
          </w:tcPr>
          <w:p w14:paraId="631AEC7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1200/1800</w:t>
            </w:r>
          </w:p>
        </w:tc>
        <w:tc>
          <w:tcPr>
            <w:tcW w:w="819" w:type="pct"/>
            <w:tcBorders>
              <w:bottom w:val="single" w:color="auto" w:sz="4" w:space="0"/>
            </w:tcBorders>
          </w:tcPr>
          <w:p w14:paraId="4ABECC40">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33.3%</w:t>
            </w:r>
          </w:p>
        </w:tc>
      </w:tr>
      <w:tr w14:paraId="176D75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Borders>
              <w:top w:val="single" w:color="auto" w:sz="4" w:space="0"/>
            </w:tcBorders>
          </w:tcPr>
          <w:p w14:paraId="3685338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0.25</w:t>
            </w:r>
          </w:p>
        </w:tc>
        <w:tc>
          <w:tcPr>
            <w:tcW w:w="969" w:type="pct"/>
            <w:tcBorders>
              <w:top w:val="single" w:color="auto" w:sz="4" w:space="0"/>
            </w:tcBorders>
          </w:tcPr>
          <w:p w14:paraId="7EAEEFC5">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25.0%</w:t>
            </w:r>
          </w:p>
        </w:tc>
        <w:tc>
          <w:tcPr>
            <w:tcW w:w="650" w:type="pct"/>
            <w:tcBorders>
              <w:top w:val="single" w:color="auto" w:sz="4" w:space="0"/>
            </w:tcBorders>
          </w:tcPr>
          <w:p w14:paraId="25FDB37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995" w:type="pct"/>
            <w:tcBorders>
              <w:top w:val="single" w:color="auto" w:sz="4" w:space="0"/>
            </w:tcBorders>
          </w:tcPr>
          <w:p w14:paraId="26C73C1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25/37.5</w:t>
            </w:r>
          </w:p>
        </w:tc>
        <w:tc>
          <w:tcPr>
            <w:tcW w:w="918" w:type="pct"/>
            <w:tcBorders>
              <w:top w:val="single" w:color="auto" w:sz="4" w:space="0"/>
            </w:tcBorders>
          </w:tcPr>
          <w:p w14:paraId="67F6B5BC">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1500/2250</w:t>
            </w:r>
          </w:p>
        </w:tc>
        <w:tc>
          <w:tcPr>
            <w:tcW w:w="819" w:type="pct"/>
            <w:tcBorders>
              <w:top w:val="single" w:color="auto" w:sz="4" w:space="0"/>
            </w:tcBorders>
          </w:tcPr>
          <w:p w14:paraId="6F441CC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33.3%</w:t>
            </w:r>
          </w:p>
        </w:tc>
      </w:tr>
      <w:tr w14:paraId="242E1D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Pr>
          <w:p w14:paraId="4729436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0.30</w:t>
            </w:r>
          </w:p>
        </w:tc>
        <w:tc>
          <w:tcPr>
            <w:tcW w:w="969" w:type="pct"/>
          </w:tcPr>
          <w:p w14:paraId="2DABD2D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25.0%</w:t>
            </w:r>
          </w:p>
        </w:tc>
        <w:tc>
          <w:tcPr>
            <w:tcW w:w="650" w:type="pct"/>
          </w:tcPr>
          <w:p w14:paraId="3EAE1D8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995" w:type="pct"/>
          </w:tcPr>
          <w:p w14:paraId="2F2431B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25/37.5</w:t>
            </w:r>
          </w:p>
        </w:tc>
        <w:tc>
          <w:tcPr>
            <w:tcW w:w="918" w:type="pct"/>
          </w:tcPr>
          <w:p w14:paraId="0C29B19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1500/2250</w:t>
            </w:r>
          </w:p>
        </w:tc>
        <w:tc>
          <w:tcPr>
            <w:tcW w:w="819" w:type="pct"/>
          </w:tcPr>
          <w:p w14:paraId="5397A69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35.5%</w:t>
            </w:r>
          </w:p>
        </w:tc>
      </w:tr>
      <w:tr w14:paraId="6A7649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Pr>
          <w:p w14:paraId="08EE0B8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0.35</w:t>
            </w:r>
          </w:p>
        </w:tc>
        <w:tc>
          <w:tcPr>
            <w:tcW w:w="969" w:type="pct"/>
          </w:tcPr>
          <w:p w14:paraId="756DAE0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25.0%</w:t>
            </w:r>
          </w:p>
        </w:tc>
        <w:tc>
          <w:tcPr>
            <w:tcW w:w="650" w:type="pct"/>
          </w:tcPr>
          <w:p w14:paraId="041D984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995" w:type="pct"/>
          </w:tcPr>
          <w:p w14:paraId="005A6E9D">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25/37.5</w:t>
            </w:r>
          </w:p>
        </w:tc>
        <w:tc>
          <w:tcPr>
            <w:tcW w:w="918" w:type="pct"/>
          </w:tcPr>
          <w:p w14:paraId="5F5DA3E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1500/2250</w:t>
            </w:r>
          </w:p>
        </w:tc>
        <w:tc>
          <w:tcPr>
            <w:tcW w:w="819" w:type="pct"/>
          </w:tcPr>
          <w:p w14:paraId="763F52E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38.5%</w:t>
            </w:r>
          </w:p>
        </w:tc>
      </w:tr>
      <w:tr w14:paraId="02F472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Borders>
              <w:bottom w:val="single" w:color="auto" w:sz="4" w:space="0"/>
            </w:tcBorders>
          </w:tcPr>
          <w:p w14:paraId="0528262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0.40</w:t>
            </w:r>
          </w:p>
        </w:tc>
        <w:tc>
          <w:tcPr>
            <w:tcW w:w="969" w:type="pct"/>
            <w:tcBorders>
              <w:bottom w:val="single" w:color="auto" w:sz="4" w:space="0"/>
            </w:tcBorders>
          </w:tcPr>
          <w:p w14:paraId="415DD85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25.0%</w:t>
            </w:r>
          </w:p>
        </w:tc>
        <w:tc>
          <w:tcPr>
            <w:tcW w:w="650" w:type="pct"/>
            <w:tcBorders>
              <w:bottom w:val="single" w:color="auto" w:sz="4" w:space="0"/>
            </w:tcBorders>
          </w:tcPr>
          <w:p w14:paraId="6F5AA3F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100/150</w:t>
            </w:r>
          </w:p>
        </w:tc>
        <w:tc>
          <w:tcPr>
            <w:tcW w:w="995" w:type="pct"/>
            <w:tcBorders>
              <w:bottom w:val="single" w:color="auto" w:sz="4" w:space="0"/>
            </w:tcBorders>
          </w:tcPr>
          <w:p w14:paraId="7CBD2B6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25/37.5</w:t>
            </w:r>
          </w:p>
        </w:tc>
        <w:tc>
          <w:tcPr>
            <w:tcW w:w="918" w:type="pct"/>
            <w:tcBorders>
              <w:bottom w:val="single" w:color="auto" w:sz="4" w:space="0"/>
            </w:tcBorders>
          </w:tcPr>
          <w:p w14:paraId="48BB25F1">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1500/2250</w:t>
            </w:r>
          </w:p>
        </w:tc>
        <w:tc>
          <w:tcPr>
            <w:tcW w:w="819" w:type="pct"/>
            <w:tcBorders>
              <w:bottom w:val="single" w:color="auto" w:sz="4" w:space="0"/>
            </w:tcBorders>
          </w:tcPr>
          <w:p w14:paraId="570ACC0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41.7%</w:t>
            </w:r>
          </w:p>
        </w:tc>
      </w:tr>
      <w:tr w14:paraId="7A669C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Borders>
              <w:top w:val="single" w:color="auto" w:sz="4" w:space="0"/>
            </w:tcBorders>
          </w:tcPr>
          <w:p w14:paraId="1E078218">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0.35</w:t>
            </w:r>
          </w:p>
        </w:tc>
        <w:tc>
          <w:tcPr>
            <w:tcW w:w="969" w:type="pct"/>
            <w:tcBorders>
              <w:top w:val="single" w:color="auto" w:sz="4" w:space="0"/>
            </w:tcBorders>
          </w:tcPr>
          <w:p w14:paraId="062D5E0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650" w:type="pct"/>
            <w:tcBorders>
              <w:top w:val="single" w:color="auto" w:sz="4" w:space="0"/>
            </w:tcBorders>
          </w:tcPr>
          <w:p w14:paraId="23BC82F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995" w:type="pct"/>
            <w:tcBorders>
              <w:top w:val="single" w:color="auto" w:sz="4" w:space="0"/>
            </w:tcBorders>
          </w:tcPr>
          <w:p w14:paraId="030F6EF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918" w:type="pct"/>
            <w:tcBorders>
              <w:top w:val="single" w:color="auto" w:sz="4" w:space="0"/>
            </w:tcBorders>
          </w:tcPr>
          <w:p w14:paraId="48C1203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1200</w:t>
            </w:r>
          </w:p>
        </w:tc>
        <w:tc>
          <w:tcPr>
            <w:tcW w:w="819" w:type="pct"/>
            <w:tcBorders>
              <w:top w:val="single" w:color="auto" w:sz="4" w:space="0"/>
            </w:tcBorders>
          </w:tcPr>
          <w:p w14:paraId="740B7A9E">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30.8%</w:t>
            </w:r>
          </w:p>
        </w:tc>
      </w:tr>
      <w:tr w14:paraId="0437B0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Pr>
          <w:p w14:paraId="6796C6F3">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0.35</w:t>
            </w:r>
          </w:p>
        </w:tc>
        <w:tc>
          <w:tcPr>
            <w:tcW w:w="969" w:type="pct"/>
          </w:tcPr>
          <w:p w14:paraId="6B2041EB">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19.2%</w:t>
            </w:r>
          </w:p>
        </w:tc>
        <w:tc>
          <w:tcPr>
            <w:tcW w:w="650" w:type="pct"/>
          </w:tcPr>
          <w:p w14:paraId="2A07BB4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130</w:t>
            </w:r>
          </w:p>
        </w:tc>
        <w:tc>
          <w:tcPr>
            <w:tcW w:w="995" w:type="pct"/>
          </w:tcPr>
          <w:p w14:paraId="6A8E79F9">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c>
          <w:tcPr>
            <w:tcW w:w="918" w:type="pct"/>
          </w:tcPr>
          <w:p w14:paraId="064D2BD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1500</w:t>
            </w:r>
          </w:p>
        </w:tc>
        <w:tc>
          <w:tcPr>
            <w:tcW w:w="819" w:type="pct"/>
          </w:tcPr>
          <w:p w14:paraId="1049D86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29.6%</w:t>
            </w:r>
          </w:p>
        </w:tc>
      </w:tr>
      <w:tr w14:paraId="39FC36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647" w:type="pct"/>
          </w:tcPr>
          <w:p w14:paraId="23C5D792">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0.35</w:t>
            </w:r>
          </w:p>
        </w:tc>
        <w:tc>
          <w:tcPr>
            <w:tcW w:w="969" w:type="pct"/>
          </w:tcPr>
          <w:p w14:paraId="0D7C42A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650" w:type="pct"/>
          </w:tcPr>
          <w:p w14:paraId="6D1CDF9A">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995" w:type="pct"/>
          </w:tcPr>
          <w:p w14:paraId="2C516C96">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w:t>
            </w:r>
          </w:p>
        </w:tc>
        <w:tc>
          <w:tcPr>
            <w:tcW w:w="918" w:type="pct"/>
          </w:tcPr>
          <w:p w14:paraId="68010AE7">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1800</w:t>
            </w:r>
          </w:p>
        </w:tc>
        <w:tc>
          <w:tcPr>
            <w:tcW w:w="819" w:type="pct"/>
          </w:tcPr>
          <w:p w14:paraId="5D002CC4">
            <w:pPr>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30.8%</w:t>
            </w:r>
          </w:p>
        </w:tc>
      </w:tr>
    </w:tbl>
    <w:p w14:paraId="1C097100">
      <w:pPr>
        <w:tabs>
          <w:tab w:val="left" w:pos="698"/>
        </w:tabs>
        <w:rPr>
          <w:rFonts w:hint="default" w:ascii="Times New Roman" w:hAnsi="Times New Roman" w:cs="Times New Roman" w:eastAsiaTheme="minorEastAsia"/>
          <w:color w:val="auto"/>
          <w:lang w:eastAsia="zh-CN"/>
        </w:rPr>
      </w:pPr>
    </w:p>
    <w:p w14:paraId="1386F674">
      <w:pPr>
        <w:tabs>
          <w:tab w:val="left" w:pos="698"/>
        </w:tabs>
        <w:rPr>
          <w:rFonts w:hint="default" w:ascii="Times New Roman" w:hAnsi="Times New Roman" w:cs="Times New Roman" w:eastAsiaTheme="minorEastAsia"/>
          <w:color w:val="auto"/>
          <w:lang w:eastAsia="zh-CN"/>
        </w:rPr>
      </w:pPr>
    </w:p>
    <w:p w14:paraId="00DA9B02">
      <w:pPr>
        <w:tabs>
          <w:tab w:val="left" w:pos="698"/>
        </w:tabs>
        <w:rPr>
          <w:rFonts w:hint="default" w:ascii="Times New Roman" w:hAnsi="Times New Roman" w:cs="Times New Roman" w:eastAsiaTheme="minorEastAsia"/>
          <w:color w:val="auto"/>
          <w:lang w:eastAsia="zh-CN"/>
        </w:rPr>
      </w:pPr>
    </w:p>
    <w:p w14:paraId="5A772AE3">
      <w:pPr>
        <w:tabs>
          <w:tab w:val="left" w:pos="698"/>
        </w:tabs>
        <w:spacing w:line="240" w:lineRule="auto"/>
        <w:ind w:left="0" w:leftChars="0" w:firstLine="0" w:firstLineChars="0"/>
        <w:jc w:val="center"/>
        <w:rPr>
          <w:rFonts w:hint="default" w:ascii="Times New Roman" w:hAnsi="Times New Roman" w:cs="Times New Roman"/>
          <w:b/>
          <w:i w:val="0"/>
          <w:color w:val="auto"/>
          <w:sz w:val="32"/>
          <w:u w:val="none"/>
          <w:lang w:eastAsia="zh-CN"/>
        </w:rPr>
      </w:pPr>
      <w:r>
        <w:rPr>
          <w:rFonts w:hint="default" w:ascii="Times New Roman" w:hAnsi="Times New Roman" w:cs="Times New Roman" w:eastAsiaTheme="minorEastAsia"/>
          <w:color w:val="auto"/>
          <w:lang w:eastAsia="zh-CN"/>
        </w:rPr>
        <w:fldChar w:fldCharType="begin"/>
      </w:r>
      <w:r>
        <w:rPr>
          <w:rFonts w:hint="default" w:ascii="Times New Roman" w:hAnsi="Times New Roman" w:cs="Times New Roman" w:eastAsiaTheme="minorEastAsia"/>
          <w:color w:val="auto"/>
          <w:lang w:eastAsia="zh-CN"/>
        </w:rPr>
        <w:instrText xml:space="preserve"> ADDIN KYMRDOC </w:instrText>
      </w:r>
      <w:r>
        <w:rPr>
          <w:rFonts w:hint="default" w:ascii="Times New Roman" w:hAnsi="Times New Roman" w:cs="Times New Roman" w:eastAsiaTheme="minorEastAsia"/>
          <w:color w:val="auto"/>
          <w:lang w:eastAsia="zh-CN"/>
        </w:rPr>
        <w:fldChar w:fldCharType="separate"/>
      </w:r>
      <w:r>
        <w:rPr>
          <w:rFonts w:hint="default" w:ascii="Times New Roman" w:hAnsi="Times New Roman" w:cs="Times New Roman"/>
          <w:b/>
          <w:i w:val="0"/>
          <w:color w:val="auto"/>
          <w:sz w:val="32"/>
          <w:u w:val="none"/>
          <w:lang w:eastAsia="zh-CN"/>
        </w:rPr>
        <w:t>References</w:t>
      </w:r>
    </w:p>
    <w:p w14:paraId="0F526CFA">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 Severe Liver Disease and Artificial Liver Group, Chinese Society of Hepatology, Chinese Medical Association. Expert consensus on clinical application of artificial liver and blood purification (2022 edition). Lin Chuang Gan Dan Bing Za Zhi. 2022;38(04):767-75.</w:t>
      </w:r>
    </w:p>
    <w:p w14:paraId="18BF591D">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2. National Center for Quality Control of Nephrology. Standard Operating Procedures for Blood Purification (2021 edition)[EB/OL]. http://www.nhc.gov.cn/yzygj/s7659/202111/6e25b8260b214c55886d6f0512c1e53f.shtml. 2021-11-8 .</w:t>
      </w:r>
    </w:p>
    <w:p w14:paraId="62CE3BE1">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3. Wei M, Peng H, Xiong TT, Du ZC, Luo XH. Double plasma molecular adsorption combined with plasma exchange versus simple plasma exchange for the treatment of liver failure. Zhongguo Zu Zhi Gong Cheng Yan Jiu. 2019;23(14):2235-40.</w:t>
      </w:r>
    </w:p>
    <w:p w14:paraId="25C129D1">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4. Xu HM, Zhang JF, Dong J, Song HY, Chen ZL, Liu LW, Pan JJ, Liu B, Chen X, Lv RD. Effects of double plasma molecular adsorption system combined with glucocorticoids therapy on acute-on-chronic liver failure. Shi Yong Yi Xue Za Zhi. 2020;36(1):115-20.</w:t>
      </w:r>
    </w:p>
    <w:p w14:paraId="26F55000">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5. Kong M, Li S, Geng H, Zhou L, Xu MM, Liu J, Chen Y. Influencing factors of heparin anticoagulant effect in the treatment of double plasma molecular adsorption system. Shou Du Yi Ke Da Xue Xue Bao. 2021;42(4):647-52.</w:t>
      </w:r>
    </w:p>
    <w:p w14:paraId="22A31FAC">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6. Guo X, Wu F, Guo W, Zhang J, Yang Y, Lu Y, Yin C, Fan H, Xu J, Liao M. Comparison of plasma exchange, double plasma molecular adsorption system, and their combination in treating acute-on-chronic liver failure. J Int Med Res. 2020;48(6):300060520932053.</w:t>
      </w:r>
    </w:p>
    <w:p w14:paraId="730DEA07">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7. Zhou YD, Yang L, Han QF, Tang QB, Cheng YL, Shi JX. Clinical effect of combined artificial extracorporeal liver support therapy for toxic hepatic failure. Zhonghua Lao Dong Wei Sheng Zhi Ye Bing Za Zhi. 2017;35(01):51-3.</w:t>
      </w:r>
    </w:p>
    <w:p w14:paraId="52FEDBCA">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8. Yin GC, Ya CM, Li Q, Feng HL, Wang L. Clinical experience of double plasma molecular absorption with a combination of two hemoperfusion machines in treatment of liver failure. Zhonghua Wei Zhong Bing Ji Jiu Yi Xue. 2013;25(12):738-42.</w:t>
      </w:r>
    </w:p>
    <w:p w14:paraId="7FC343E7">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9. Zhang J, Luo H, Han Y, Zhou X. Sequential versus mono double plasma molecular adsorption system in acute-on-chronic liver failures: A propensity-score matched study. Int J Artif Organs. 2022;45(1):5-13.</w:t>
      </w:r>
    </w:p>
    <w:p w14:paraId="0C6DEF31">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10. Yan GS, Li LL, Jiang SL, Meng S, Wu CC. Clinical study of different adsorbents with dual plasma molecular adsorption system in the treatment of hepatic failure. Zhonghua Gan Zang Bing Za Zhi. 2019;27(1):51-5.</w:t>
      </w:r>
    </w:p>
    <w:p w14:paraId="66D82CB8">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11. Zhong S, Wang N, Zhao J, Zhang L, Luo L, Zeng WQ, Shi XF, Wang ZY, Cai DC, Zhang DZ, et al. Plasma exchange combined with double plasma absorption therapy improve the prognosis of acute-on-chronic liver failure. Zhonghua Gan Zang Bing Za Zhi. 2018;26(10):744-9.</w:t>
      </w:r>
    </w:p>
    <w:p w14:paraId="10CFF90C">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12. Li LL, Yan GS, Wu CC, Jiang SL, Wang MT, Meng S. Comparison of clinical effects between plasma exchange and double plasma molecular adsorption system for treatment of patients with liver failure. Zhongguo Zhong Xi Yi Jie He Za Zhi. 2020;27(1):106-9.</w:t>
      </w:r>
    </w:p>
    <w:p w14:paraId="34AA35DF">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13. Yao J, Li S, Zhou L, Luo L, Yuan L, Duan Z, Xu J, Chen Y. Therapeutic effect of double plasma molecular adsorption system and sequential half-dose plasma exchange in patients with HBV-related acute-on-chronic liver failure. J Clin Apher. 2019;34(4):392-8.</w:t>
      </w:r>
    </w:p>
    <w:p w14:paraId="3B92D2EF">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14. Xu W, Zhu S, Yang L, Li Z, Wu L, Zhang Y, Chen J, Deng Z, Luo Q, Peng L. Safety and efficacy of double plasma molecular adsorption system with sequential low-volume plasma exchange in intermediate-stage hepatitis B virus-related acute-on-chronic liver failure. J Med Virol. 2023;95(3):e28650.</w:t>
      </w:r>
    </w:p>
    <w:p w14:paraId="50053A3B">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15. Wan YM, Li YH, Xu ZY, Yang J, Yang LH, Xu Y, Yang JH. Therapeutic plasma exchange versus double plasma molecular absorption system in hepatitis B virus-infected acute-on-chronic liver failure treated by entercavir: A prospective study. J Clin Apher. 2017;32(6):453-61.</w:t>
      </w:r>
    </w:p>
    <w:p w14:paraId="249DC802">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16. Wu M, Zhang H, Huang Y, Wu W, Huang J, Yan D. Efficiency of Double Plasma Molecular Absorption System on the Acute Severe Cholestatic Hepatitis. Blood Purif. 2021;50(6):876-82.</w:t>
      </w:r>
    </w:p>
    <w:p w14:paraId="33C34AF3">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17. Ma Y, Chen F, Xu Y, Wang M, Zhou T, Lu J, Feng P, Wang Y, Bai L, Tang H. Safety and Efficacy of Regional Citrate Anticoagulation during Plasma Adsorption Plus Plasma Exchange Therapy for Patients with Acute-on-Chronic Liver Failure: A Pilot Study. Blood Purif. 2019;48(3):223-32.</w:t>
      </w:r>
    </w:p>
    <w:p w14:paraId="3271EC1B">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18. Jiang Y, Wang HZ, Deng CL, Liu B, Xiu LR. Guiding significance of model for end-stage liver disease score on choosing artificial liver in patients with HBV-related liver failure. Chongqing Yike Daxue Xuebao. 2021;46(10):1201-5.</w:t>
      </w:r>
    </w:p>
    <w:p w14:paraId="3D5A8522">
      <w:pPr>
        <w:tabs>
          <w:tab w:val="left" w:pos="698"/>
        </w:tabs>
        <w:spacing w:line="240" w:lineRule="auto"/>
        <w:ind w:left="540" w:leftChars="0" w:hanging="540" w:hangingChars="300"/>
        <w:jc w:val="both"/>
        <w:rPr>
          <w:rFonts w:hint="default" w:ascii="Times New Roman" w:hAnsi="Times New Roman" w:cs="Times New Roman"/>
          <w:b w:val="0"/>
          <w:i w:val="0"/>
          <w:color w:val="auto"/>
          <w:sz w:val="18"/>
          <w:u w:val="none"/>
          <w:lang w:eastAsia="zh-CN"/>
        </w:rPr>
      </w:pPr>
      <w:r>
        <w:rPr>
          <w:rFonts w:hint="default" w:ascii="Times New Roman" w:hAnsi="Times New Roman" w:cs="Times New Roman"/>
          <w:b w:val="0"/>
          <w:i w:val="0"/>
          <w:color w:val="auto"/>
          <w:sz w:val="18"/>
          <w:u w:val="none"/>
          <w:lang w:eastAsia="zh-CN"/>
        </w:rPr>
        <w:t>19. Huang T, Huang J, Liu TC, Li M, She R, Liu L, Qu H, Liang F, Cao Y, Chen Y, et al. Evaluating the Effect of Artificial Liver Support on Acute-on-Chronic Liver Failure Using the Quantitative Difference Algorithm: Retrospective Study. JMIR Form Res. 2023;7:e45395.</w:t>
      </w:r>
    </w:p>
    <w:p w14:paraId="20178345">
      <w:pPr>
        <w:tabs>
          <w:tab w:val="left" w:pos="698"/>
        </w:tabs>
        <w:spacing w:line="240" w:lineRule="auto"/>
        <w:ind w:left="630" w:leftChars="0" w:hanging="630" w:hangingChars="300"/>
        <w:jc w:val="both"/>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fldChar w:fldCharType="end"/>
      </w:r>
    </w:p>
    <w:sectPr>
      <w:pgSz w:w="16838" w:h="11906" w:orient="landscape"/>
      <w:pgMar w:top="567" w:right="1440" w:bottom="56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 w:name="KY.MR.DATA{93EBA3E8-6F3A-4856-9B16-47EAA13064B5}454" w:val="&lt;KyMRNote&gt;&lt;Data&gt;&lt;Field id=&quot;AccessNum&quot;&gt;&lt;/Field&gt;&lt;Field id=&quot;Author&quot;&gt;&lt;/Field&gt;&lt;Field id=&quot;AuthorTrans&quot;&gt;&lt;/Field&gt;&lt;Field id=&quot;DOI&quot;&gt;&lt;/Field&gt;&lt;Field id=&quot;Editor&quot;&gt;&lt;/Field&gt;&lt;Field id=&quot;FmtTitle&quot;&gt;&amp;lt;span style='font-family: 宋体; font-size: 9pt; mso-bidi-font-size: 11.0pt; mso-font-kerning: 1.0pt; mso-ansi-language: EN-US; mso-fareast-language: ZH-CN; mso-bidi-language: AR-SA; mso-ascii-font-family: &quot;Times New Roman&quot;; mso-hansi-font-family: &quot;Times New Roman&quot;; mso-bidi-font-family: &quot;Times New Roman&quot;; mso-bidi-theme-font: minor-bidi;'&amp;gt;&amp;lt;font color=&quot;#f73131&quot; face=&quot;Arial&quot; size=&quot;1&quot;&amp;gt;National&amp;lt;/font&amp;gt;&amp;lt;span style=&quot;color: rgb(51, 51, 51); text-transform: none; text-indent: 0px; letter-spacing: normal; font-family: Arial, sans-serif; font-size: 13px; font-style: normal; font-weight: 400; word-spacing: 0px; float: none; display: inline !important; white-space: normal; orphans: 2; widows: 2; background-color: rgb(255, 255, 255); font-variant-ligatures: normal; font-variant-caps: normal; -webkit-text-stroke-width: 0px; text-decoration-style: initial; text-decoration-color: initial;&quot;&amp;gt;&amp;lt;span&amp;gt;&amp;amp;nbsp;&amp;lt;/span&amp;gt;&amp;lt;/span&amp;gt;&amp;lt;em style=&quot;color: rgb(247, 49, 49); text-transform: none; text-indent: 0px; letter-spacing: normal; font-family: Arial, sans-serif; font-size: 13px; font-style: normal; font-weight: 400; word-spacing: 0px; white-space: normal; orphans: 2; widows: 2; background-color: rgb(255, 255, 255); font-variant-ligatures: normal; font-variant-caps: normal; -webkit-text-stroke-width: 0px; text-decoration-style: initial; text-decoration-color: initial;&quot;&amp;gt;Center&amp;lt;/em&amp;gt;&amp;lt;span style=&quot;color: rgb(51, 51, 51); text-transform: none; text-indent: 0px; letter-spacing: normal; font-family: Arial, sans-serif; font-size: 13px; font-style: normal; font-weight: 400; word-spacing: 0px; float: none; display: inline !important; white-space: normal; orphans: 2; widows: 2; background-color: rgb(255, 255, 255); font-variant-ligatures: normal; font-variant-caps: normal; -webkit-text-stroke-width: 0px; text-decoration-style: initial; text-decoration-color: initial;&quot;&amp;gt;&amp;lt;span&amp;gt;&amp;amp;nbsp;&amp;lt;/span&amp;gt;&amp;lt;/span&amp;gt;&amp;lt;em style=&quot;color: rgb(247, 49, 49); text-transform: none; text-indent: 0px; letter-spacing: normal; font-family: Arial, sans-serif; font-size: 13px; font-style: normal; font-weight: 400; word-spacing: 0px; white-space: normal; orphans: 2; widows: 2; background-color: rgb(255, 255, 255); font-variant-ligatures: normal; font-variant-caps: normal; -webkit-text-stroke-width: 0px; text-decoration-style: initial; text-decoration-color: initial;&quot;&amp;gt;for&amp;lt;/em&amp;gt;&amp;lt;span style=&quot;color: rgb(51, 51, 51); text-transform: none; text-indent: 0px; letter-spacing: normal; font-family: Arial, sans-serif; font-size: 13px; font-style: normal; font-weight: 400; word-spacing: 0px; float: none; display: inline !important; white-space: normal; orphans: 2; widows: 2; background-color: rgb(255, 255, 255); font-variant-ligatures: normal; font-variant-caps: normal; -webkit-text-stroke-width: 0px; text-decoration-style: initial; text-decoration-color: initial;&quot;&amp;gt;&amp;lt;span&amp;gt;&amp;amp;nbsp;&amp;lt;/span&amp;gt;&amp;lt;/span&amp;gt;&amp;lt;em style=&quot;color: rgb(247, 49, 49); text-transform: none; text-indent: 0px; letter-spacing: normal; font-family: Arial, sans-serif; font-size: 13px; font-style: normal; font-weight: 400; word-spacing: 0px; white-space: normal; orphans: 2; widows: 2; background-color: rgb(255, 255, 255); font-variant-ligatures: normal; font-variant-caps: normal; -webkit-text-stroke-width: 0px; text-decoration-style: initial; text-decoration-color: initial;&quot;&amp;gt;Quality&amp;lt;/em&amp;gt;&amp;lt;span style=&quot;color: rgb(51, 51, 51); text-transform: none; text-indent: 0px; letter-spacing: normal; font-family: Arial, sans-serif; font-size: 13px; font-style: normal; font-weight: 400; word-spacing: 0px; float: none; display: inline !important; white-space: normal; orphans: 2; widows: 2; background-color: rgb(255, 255, 255); font-variant-ligatures: normal; font-variant-caps: normal; -webkit-text-stroke-width: 0px; text-decoration-style: initial; text-decoration-color: initial;&quot;&amp;gt;&amp;lt;span&amp;gt;&amp;amp;nbsp;&amp;lt;/span&amp;gt;&amp;lt;/span&amp;gt;&amp;lt;em style=&quot;color: rgb(247, 49, 49); text-transform: none; text-indent: 0px; letter-spacing: normal; font-family: Arial, sans-serif; font-size: 13px; font-style: normal; font-weight: 400; word-spacing: 0px; white-space: normal; orphans: 2; widows: 2; background-color: rgb(255, 255, 255); font-variant-ligatures: normal; font-variant-caps: normal; -webkit-text-stroke-width: 0px; text-decoration-style: initial; text-decoration-color: initial;&quot;&amp;gt;Control&amp;lt;/em&amp;gt;&amp;lt;span style=&quot;color: rgb(51, 51, 51); text-transform: none; text-indent: 0px; letter-spacing: normal; font-family: Arial, sans-serif; font-size: 13px; font-style: normal; font-weight: 400; word-spacing: 0px; float: none; display: inline !important; white-space: normal; orphans: 2; widows: 2; background-color: rgb(255, 255, 255); font-variant-ligatures: normal; font-variant-caps: normal; -webkit-text-stroke-width: 0px; text-decoration-style: initial; text-decoration-color: initial;&quot;&amp;gt;&amp;lt;span&amp;gt;&amp;amp;nbsp;&amp;lt;/span&amp;gt;of&amp;lt;span&amp;gt;&amp;amp;nbsp;&amp;lt;/span&amp;gt;&amp;lt;/span&amp;gt;&amp;lt;em style=&quot;color: rgb(247, 49, 49); text-transform: none; text-indent: 0px; letter-spacing: normal; font-family: Arial, sans-serif; font-size: 13px; font-style: normal; font-weight: 400; word-spacing: 0px; white-space: normal; orphans: 2; widows: 2; background-color: rgb(255, 255, 255); font-variant-ligatures: normal; font-variant-caps: normal; -webkit-text-stroke-width: 0px; text-decoration-style: initial; text-decoration-color: initial;&quot;&amp;gt;Nephrology&amp;lt;/em&amp;gt;&amp;lt;/span&amp;gt;&amp;lt;span lang=&quot;EN-US&quot; style='font-family: &quot;Times New Roman&quot;,serif; font-size: 9pt; mso-bidi-font-size: 11.0pt; mso-font-kerning: 1.0pt; mso-ansi-language: EN-US; mso-fareast-language: ZH-CN; mso-bidi-language: AR-SA; mso-bidi-theme-font: minor-bidi; mso-fareast-font-family: 宋体;'&amp;gt;. &amp;lt;span style='background: rgb(255, 255, 255); font-family: 宋体; font-size: 10.5pt; mso-font-kerning: 1.0000pt; mso-ascii-font-family: &quot;Times New Roman&quot;; mso-hansi-font-family: &quot;Times New Roman&quot;; mso-bidi-font-family: &quot;Times New Roman&quot;; mso-spacerun: &quot;yes&quot;; mso-shading: rgb(255, 255, 255);'&amp;gt;&amp;lt;font face=&quot;Times New Roman&quot;&amp;gt;Standard Operating Procedures for Blood Purification (2021 edition)&amp;lt;span lang=&quot;EN-US&quot; style='font-family: &quot;Times New Roman&quot;,serif; font-size: 9pt; mso-bidi-font-size: 11.0pt; mso-font-kerning: 1.0pt; mso-ansi-language: EN-US; mso-fareast-language: ZH-CN; mso-bidi-language: AR-SA; mso-bidi-theme-font: minor-bidi; mso-fareast-font-family: 宋体;'&amp;gt;[EB/OL]._x000d__x000a_&amp;lt;a href=&quot;http://www.nhc.gov.cn/yzygj/s7659/202111/6e25b8260b214c55886d6f0512c1e53f.shtml&quot;&amp;gt;http://www.nhc.gov.cn/yzygj/s7659/202111/6e25b8260b214c55886d6f0512c1e53f.shtml&amp;lt;/a&amp;gt;. 2021-11-8&amp;lt;/span&amp;gt;&amp;lt;/font&amp;gt;&amp;lt;/span&amp;gt;&amp;lt;/span&amp;gt;&lt;/Field&gt;&lt;Field id=&quot;FullAuthor&quot;&gt;&lt;/Field&gt;&lt;Field id=&quot;ISSN&quot;&gt;&lt;/Field&gt;&lt;Field id=&quot;Issue&quot;&gt;&lt;/Field&gt;&lt;Field id=&quot;LIID&quot;&gt;454&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National Center for Quality Control of Nephrology. Standard Operating Procedures for Blood Purification (2021 edition)[EB/OL]. http://www.nhc.gov.cn/yzygj/s7659/202111/6e25b8260b214c55886d6f0512c1e53f.shtml. 2021-11-8&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gt;&lt;/Display&gt;&lt;/Ref&gt;&lt;Doc&gt;&lt;Display&gt;&lt;Text StringText=&quot;National Center for Quality Control of Nephrology. Standard Operating Procedures for Blood Purification (2021 edition)[EB/OL]. http://www.nhc.gov.cn/yzygj/s7659/202111/6e25b8260b214c55886d6f0512c1e53f.shtml. 2021-11-8&quot; StringGroup=&quot;Title&quot;/&gt;&lt;Text StringText=&quot;. &quot; StringGroup=&quot;Title&quot;/&gt;&lt;/Display&gt;&lt;/Doc&gt;&lt;/KyMRNote&gt;"/>
    <w:docVar w:name="KY.MR.DATA{93EBA3E8-6F3A-4856-9B16-47EAA13064B5}455" w:val="&lt;KyMRNote&gt;&lt;Data&gt;&lt;Field id=&quot;AccessNum&quot;&gt;&lt;/Field&gt;&lt;Field id=&quot;Author&quot; FirstData=&quot;1&quot; FirstStyle=&quot;524288&quot; OtherStyle=&quot;0&quot;&gt;Zhong S;Wang N;Zhao J;Zhang L;Luo L;Zeng WQ;Shi XF;Wang ZY;Cai DC;Zhang DZ;Zhou Z;Hu P&lt;/Field&gt;&lt;Field id=&quot;AuthorTrans&quot;&gt;&lt;/Field&gt;&lt;Field id=&quot;DOI&quot;&gt;doi: 10.3760/cma.j.issn.1007-3418.2018.10.003&lt;/Field&gt;&lt;Field id=&quot;Editor&quot;&gt;&lt;/Field&gt;&lt;Field id=&quot;FmtTitle&quot;&gt;&amp;lt;span style='color: rgb(34, 34, 34); text-transform: none; text-indent: 0px; letter-spacing: normal; font-family: &quot;PingFang SC&quot;, &quot;Microsoft Yahei&quot;; font-size: 30px; font-style: normal; font-weight: 700; word-spacing: 0px; float: none; display: inline !important; white-space: normal; orphans: 2; widows: 2; font-variant-ligatures: normal; font-variant-caps: normal; -webkit-text-stroke-width: 0px; text-decoration-style: initial; text-decoration-color: initial;'&amp;gt;Plasma exchange combined with double plasma absorption therapy improve the prognosis of acute-on-chronic liver failure&amp;lt;/span&amp;gt;&lt;/Field&gt;&lt;Field id=&quot;FullAuthor&quot;&gt;&lt;/Field&gt;&lt;Field id=&quot;ISSN&quot;&gt;&lt;/Field&gt;&lt;Field id=&quot;Issue&quot;&gt;10&lt;/Field&gt;&lt;Field id=&quot;LIID&quot;&gt;455&lt;/Field&gt;&lt;Field id=&quot;Magazine&quot;&gt;Zhonghua Gan Zang Bing Za Zhi&lt;/Field&gt;&lt;Field id=&quot;MagazineAB&quot;&gt;&lt;/Field&gt;&lt;Field id=&quot;MagazineTrans&quot;&gt;Chin J Hepatol&lt;/Field&gt;&lt;Field id=&quot;PageNum&quot;&gt;744-749&lt;/Field&gt;&lt;Field id=&quot;PubDate&quot;&gt;2018-10-20&lt;/Field&gt;&lt;Field id=&quot;PubPlace&quot;&gt;&lt;/Field&gt;&lt;Field id=&quot;PubPlaceTrans&quot;&gt;&lt;/Field&gt;&lt;Field id=&quot;PubYear&quot;&gt;2018&lt;/Field&gt;&lt;Field id=&quot;Publisher&quot;&gt;重庆医科大学附属第二医院感染科重庆医科大学病毒性肝炎研究所感染性疾病分子生物学教育部重点实验室;&lt;/Field&gt;&lt;Field id=&quot;PublisherTrans&quot;&gt;&lt;/Field&gt;&lt;Field id=&quot;TITrans&quot;&gt;&lt;/Field&gt;&lt;Field id=&quot;Title&quot;&gt;Plasma exchange combined with double plasma absorption therapy improve the prognosis of acute-on-chronic liver failure&lt;/Field&gt;&lt;Field id=&quot;Translator&quot;&gt;&lt;/Field&gt;&lt;Field id=&quot;Type&quot;&gt;{041D4F77-279E-4405-0002-4388361B9CFF}&lt;/Field&gt;&lt;Field id=&quot;Version&quot;&gt;&lt;/Field&gt;&lt;Field id=&quot;Vol&quot;&gt;26&lt;/Field&gt;&lt;Field id=&quot;Factor&quot;/&gt;&lt;Field id=&quot;Author2&quot;&gt;Zhong,S;Wang,N;Zhao,J;&lt;/Field&gt;&lt;/Data&gt;&lt;Ref&gt;&lt;Display&gt;&lt;Text StringText=&quot;「RefIndex」&quot; StringTextOri=&quot;「RefIndex」&quot;/&gt;&lt;/Display&gt;&lt;/Ref&gt;&lt;Doc&gt;&lt;Display&gt;&lt;Text StringText=&quot;Zhong S, Wang N, Zhao J, et al.&quot; StringGroup=&quot;Author&quot;/&gt;&lt;Text StringText=&quot; &quot; StringGroup=&quot;Author&quot;/&gt;&lt;Text StringText=&quot;Plasma exchange combined with double plasma absorption therapy improve the prognosis of acute-on-chronic liver failure&quot; StringGroup=&quot;Title&quot;/&gt;&lt;Text StringText=&quot;. &quot; StringGroup=&quot;Title&quot;/&gt;&lt;Text StringText=&quot;Zhonghua Gan Zang Bing Za Zhi&quot; StringGroup=&quot;Magazine&quot;/&gt;&lt;Text StringText=&quot;. &quot; StringGroup=&quot;Magazine&quot;/&gt;&lt;Text StringText=&quot;2018&quot; StringGroup=&quot;PubYear&quot;/&gt;&lt;Text StringText=&quot;; &quot; StringGroup=&quot;PubYear&quot;/&gt;&lt;Text StringText=&quot;26&quot; StringGroup=&quot;Vol&quot;/&gt;&lt;Text StringText=&quot;(&quot; StringGroup=&quot;Issue&quot;/&gt;&lt;Text StringText=&quot;10&quot; StringGroup=&quot;Issue&quot;/&gt;&lt;Text StringText=&quot;)&quot; StringGroup=&quot;Issue&quot;/&gt;&lt;Text StringText=&quot;:&quot; StringGroup=&quot;PageNum&quot;/&gt;&lt;Text StringText=&quot;744-9&quot; StringGroup=&quot;PageNum&quot;/&gt;&lt;Text StringText=&quot;. &quot; StringGroup=&quot;PageNum&quot;/&gt;&lt;Text StringText=&quot;http://&quot; StringGroup=&quot;DOI&quot;/&gt;&lt;Text StringText=&quot;doi: 10.3760/cma.j.issn.1007-3418.2018.10.003&quot; StringGroup=&quot;DOI&quot;/&gt;&lt;/Display&gt;&lt;/Doc&gt;&lt;/KyMRNote&gt;"/>
    <w:docVar w:name="KY.MR.DATA{93EBA3E8-6F3A-4856-9B16-47EAA13064B5}456" w:val="&lt;KyMRNote&gt;&lt;Data&gt;&lt;Field id=&quot;AccessNum&quot;&gt;&lt;/Field&gt;&lt;Field id=&quot;Author&quot; FirstData=&quot;1&quot; FirstStyle=&quot;524288&quot; OtherStyle=&quot;0&quot;&gt;Zhou YD;Yang L;Han QF;Tang QB;Cheng YL;Shi JX&lt;/Field&gt;&lt;Field id=&quot;AuthorTrans&quot;&gt;&lt;/Field&gt;&lt;Field id=&quot;DOI&quot;&gt;10.3760/cma.j.issn.1001-9391.2017.01.013&lt;/Field&gt;&lt;Field id=&quot;Editor&quot;&gt;&lt;/Field&gt;&lt;Field id=&quot;FmtTitle&quot;&gt;&amp;lt;span style='color: rgb(34, 34, 34); text-transform: none; text-indent: 0px; letter-spacing: normal; font-family: &quot;PingFang SC&quot;, &quot;Microsoft Yahei&quot;; font-size: 30px; font-style: normal; font-weight: 700; word-spacing: 0px; float: none; display: inline !important; white-space: normal; orphans: 2; widows: 2; font-variant-ligatures: normal; font-variant-caps: normal; -webkit-text-stroke-width: 0px; text-decoration-style: initial; text-decoration-color: initial;'&amp;gt;Clinical effect of combined artificial extracorporeal liver support therapy for toxic hepatic failure&amp;lt;/span&amp;gt;&lt;/Field&gt;&lt;Field id=&quot;FullAuthor&quot;&gt;&lt;/Field&gt;&lt;Field id=&quot;ISSN&quot;&gt;&lt;/Field&gt;&lt;Field id=&quot;Issue&quot;&gt;01&lt;/Field&gt;&lt;Field id=&quot;LIID&quot;&gt;456&lt;/Field&gt;&lt;Field id=&quot;Magazine&quot;&gt;Zhonghua Lao Dong Wei Sheng Zhi Ye Bing Za Zhi&lt;/Field&gt;&lt;Field id=&quot;MagazineAB&quot;&gt;&lt;/Field&gt;&lt;Field id=&quot;MagazineTrans&quot;&gt;Chin J Ind Hyg Occup Dis&lt;/Field&gt;&lt;Field id=&quot;PageNum&quot;&gt;51-53&lt;/Field&gt;&lt;Field id=&quot;PubDate&quot;&gt;2017-01-20&lt;/Field&gt;&lt;Field id=&quot;PubPlace&quot;&gt;&lt;/Field&gt;&lt;Field id=&quot;PubPlaceTrans&quot;&gt;&lt;/Field&gt;&lt;Field id=&quot;PubYear&quot;&gt;2017&lt;/Field&gt;&lt;Field id=&quot;Publisher&quot;&gt;泰山医学院附属医院急诊医学科,山东省临床中毒研究重点实验;&lt;/Field&gt;&lt;Field id=&quot;PublisherTrans&quot;&gt;&lt;/Field&gt;&lt;Field id=&quot;TITrans&quot;&gt;&lt;/Field&gt;&lt;Field id=&quot;Title&quot;&gt;Clinical effect of combined artificial extracorporeal liver support therapy for toxic hepatic failure&lt;/Field&gt;&lt;Field id=&quot;Translator&quot;&gt;&lt;/Field&gt;&lt;Field id=&quot;Type&quot;&gt;{041D4F77-279E-4405-0002-4388361B9CFF}&lt;/Field&gt;&lt;Field id=&quot;Version&quot;&gt;&lt;/Field&gt;&lt;Field id=&quot;Vol&quot;&gt;35&lt;/Field&gt;&lt;Field id=&quot;Factor&quot;/&gt;&lt;Field id=&quot;Author2&quot;&gt;Zhou,YD;Yang,L;Han,QF;&lt;/Field&gt;&lt;/Data&gt;&lt;Ref&gt;&lt;Display&gt;&lt;Text StringText=&quot;「RefIndex」&quot; StringTextOri=&quot;「RefIndex」&quot;/&gt;&lt;/Display&gt;&lt;/Ref&gt;&lt;Doc&gt;&lt;Display&gt;&lt;Text StringText=&quot;Zhou YD, Yang L, Han QF, et al.&quot; StringGroup=&quot;Author&quot;/&gt;&lt;Text StringText=&quot; &quot; StringGroup=&quot;Author&quot;/&gt;&lt;Text StringText=&quot;Clinical effect of combined artificial extracorporeal liver support therapy for toxic hepatic failure&quot; StringGroup=&quot;Title&quot;/&gt;&lt;Text StringText=&quot;. &quot; StringGroup=&quot;Title&quot;/&gt;&lt;Text StringText=&quot;Zhonghua Lao Dong Wei Sheng Zhi Ye Bing Za Zhi&quot; StringGroup=&quot;Magazine&quot;/&gt;&lt;Text StringText=&quot;. &quot; StringGroup=&quot;Magazine&quot;/&gt;&lt;Text StringText=&quot;2017&quot; StringGroup=&quot;PubYear&quot;/&gt;&lt;Text StringText=&quot;; &quot; StringGroup=&quot;PubYear&quot;/&gt;&lt;Text StringText=&quot;35&quot; StringGroup=&quot;Vol&quot;/&gt;&lt;Text StringText=&quot;(&quot; StringGroup=&quot;Issue&quot;/&gt;&lt;Text StringText=&quot;01&quot; StringGroup=&quot;Issue&quot;/&gt;&lt;Text StringText=&quot;)&quot; StringGroup=&quot;Issue&quot;/&gt;&lt;Text StringText=&quot;:&quot; StringGroup=&quot;PageNum&quot;/&gt;&lt;Text StringText=&quot;51-3&quot; StringGroup=&quot;PageNum&quot;/&gt;&lt;Text StringText=&quot;. &quot; StringGroup=&quot;PageNum&quot;/&gt;&lt;Text StringText=&quot;http://&quot; StringGroup=&quot;DOI&quot;/&gt;&lt;Text StringText=&quot;10.3760/cma.j.issn.1001-9391.2017.01.013&quot; StringGroup=&quot;DOI&quot;/&gt;&lt;/Display&gt;&lt;/Doc&gt;&lt;/KyMRNote&gt;"/>
    <w:docVar w:name="KY.MR.DATA{93EBA3E8-6F3A-4856-9B16-47EAA13064B5}457" w:val="&lt;KyMRNote&gt;&lt;Data&gt;&lt;Field id=&quot;AccessNum&quot;&gt;30758886&lt;/Field&gt;&lt;Field id=&quot;Author&quot; FirstData=&quot;1&quot; FirstStyle=&quot;393216&quot; OtherStyle=&quot;0&quot;&gt;Yao J;Li S;Zhou L;Luo L;Yuan L;Duan Z;Xu J;Chen Y;&lt;/Field&gt;&lt;Field id=&quot;AuthorTrans&quot;&gt;&lt;/Field&gt;&lt;Field id=&quot;DOI&quot;&gt;10.1002/jca.21690&lt;/Field&gt;&lt;Field id=&quot;Editor&quot;&gt;&lt;/Field&gt;&lt;Field id=&quot;FmtTitle&quot;&gt;&lt;/Field&gt;&lt;Field id=&quot;FullAuthor&quot;&gt;&lt;/Field&gt;&lt;Field id=&quot;ISSN&quot;&gt;0733-2459&lt;/Field&gt;&lt;Field id=&quot;Issue&quot;&gt;4&lt;/Field&gt;&lt;Field id=&quot;LIID&quot;&gt;457&lt;/Field&gt;&lt;Field id=&quot;Magazine&quot;&gt;Journal of clinical apheresis&lt;/Field&gt;&lt;Field id=&quot;MagazineAB&quot;&gt;J Clin Apher&lt;/Field&gt;&lt;Field id=&quot;MagazineTrans&quot;&gt;&lt;/Field&gt;&lt;Field id=&quot;PageNum&quot;&gt;392-398&lt;/Field&gt;&lt;Field id=&quot;PubDate&quot;&gt;Aug&lt;/Field&gt;&lt;Field id=&quot;PubPlace&quot;&gt;&lt;/Field&gt;&lt;Field id=&quot;PubPlaceTrans&quot;&gt;&lt;/Field&gt;&lt;Field id=&quot;PubYear&quot;&gt;2019&lt;/Field&gt;&lt;Field id=&quot;Publisher&quot;&gt;&lt;/Field&gt;&lt;Field id=&quot;PublisherTrans&quot;&gt;&lt;/Field&gt;&lt;Field id=&quot;TITrans&quot;&gt;&lt;/Field&gt;&lt;Field id=&quot;Title&quot;&gt;Therapeutic effect of double plasma molecular adsorption system and sequential half-dose plasma exchange in patients with HBV-related acute-on-chronic liver failure.&lt;/Field&gt;&lt;Field id=&quot;Translator&quot;&gt;&lt;/Field&gt;&lt;Field id=&quot;Type&quot;&gt;{041D4F77-279E-4405-0002-4388361B9CFF}&lt;/Field&gt;&lt;Field id=&quot;Version&quot;&gt;&lt;/Field&gt;&lt;Field id=&quot;Vol&quot;&gt;34&lt;/Field&gt;&lt;Field id=&quot;Factor&quot;&gt;1.5&lt;/Field&gt;&lt;Field id=&quot;Author2&quot;&gt;Yao,J;Li,S;Zhou,L;&lt;/Field&gt;&lt;/Data&gt;&lt;Ref&gt;&lt;Display&gt;&lt;Text StringText=&quot;「RefIndex」&quot; StringTextOri=&quot;「RefIndex」&quot;/&gt;&lt;/Display&gt;&lt;/Ref&gt;&lt;Doc&gt;&lt;Display&gt;&lt;Text StringText=&quot;Yao J, Li S, Zhou L, et al.&quot; StringGroup=&quot;Author&quot;/&gt;&lt;Text StringText=&quot; &quot; StringGroup=&quot;Author&quot;/&gt;&lt;Text StringText=&quot;Therapeutic effect of double plasma molecular adsorption system and sequential half-dose plasma exchange in patients with HBV-related acute-on-chronic liver failure&quot; StringGroup=&quot;Title&quot;/&gt;&lt;Text StringText=&quot;. &quot; StringGroup=&quot;Title&quot;/&gt;&lt;Text StringText=&quot;J Clin Apher&quot; StringGroup=&quot;Magazine&quot;/&gt;&lt;Text StringText=&quot;. &quot; StringGroup=&quot;Magazine&quot;/&gt;&lt;Text StringText=&quot;2019&quot; StringGroup=&quot;PubYear&quot;/&gt;&lt;Text StringText=&quot;; &quot; StringGroup=&quot;PubYear&quot;/&gt;&lt;Text StringText=&quot;34&quot; StringGroup=&quot;Vol&quot;/&gt;&lt;Text StringText=&quot;(&quot; StringGroup=&quot;Issue&quot;/&gt;&lt;Text StringText=&quot;4&quot; StringGroup=&quot;Issue&quot;/&gt;&lt;Text StringText=&quot;)&quot; StringGroup=&quot;Issue&quot;/&gt;&lt;Text StringText=&quot;:&quot; StringGroup=&quot;PageNum&quot;/&gt;&lt;Text StringText=&quot;392-8&quot; StringGroup=&quot;PageNum&quot;/&gt;&lt;Text StringText=&quot;. &quot; StringGroup=&quot;PageNum&quot;/&gt;&lt;Text StringText=&quot;http://&quot; StringGroup=&quot;DOI&quot;/&gt;&lt;Text StringText=&quot;10.1002/jca.21690&quot; StringGroup=&quot;DOI&quot;/&gt;&lt;/Display&gt;&lt;/Doc&gt;&lt;/KyMRNote&gt;"/>
    <w:docVar w:name="KY.MR.DATA{93EBA3E8-6F3A-4856-9B16-47EAA13064B5}458" w:val="&lt;KyMRNote&gt;&lt;Data&gt;&lt;Field id=&quot;AccessNum&quot;&gt;28304106&lt;/Field&gt;&lt;Field id=&quot;Author&quot; FirstData=&quot;1&quot; FirstStyle=&quot;458752&quot; OtherStyle=&quot;0&quot;&gt;Wan YM;Li YH;Xu ZY;Yang J;Yang LH;Xu Y;Yang JH;&lt;/Field&gt;&lt;Field id=&quot;AuthorTrans&quot;&gt;&lt;/Field&gt;&lt;Field id=&quot;DOI&quot;&gt;10.1002/jca.21535&lt;/Field&gt;&lt;Field id=&quot;Editor&quot;&gt;&lt;/Field&gt;&lt;Field id=&quot;FmtTitle&quot;&gt;&lt;/Field&gt;&lt;Field id=&quot;FullAuthor&quot;&gt;&lt;/Field&gt;&lt;Field id=&quot;ISSN&quot;&gt;0733-2459&lt;/Field&gt;&lt;Field id=&quot;Issue&quot;&gt;6&lt;/Field&gt;&lt;Field id=&quot;LIID&quot;&gt;458&lt;/Field&gt;&lt;Field id=&quot;Magazine&quot;&gt;Journal of clinical apheresis&lt;/Field&gt;&lt;Field id=&quot;MagazineAB&quot;&gt;J Clin Apher&lt;/Field&gt;&lt;Field id=&quot;MagazineTrans&quot;&gt;&lt;/Field&gt;&lt;Field id=&quot;PageNum&quot;&gt;453-461&lt;/Field&gt;&lt;Field id=&quot;PubDate&quot;&gt;Dec&lt;/Field&gt;&lt;Field id=&quot;PubPlace&quot;&gt;United States&lt;/Field&gt;&lt;Field id=&quot;PubPlaceTrans&quot;&gt;&lt;/Field&gt;&lt;Field id=&quot;PubYear&quot;&gt;2017&lt;/Field&gt;&lt;Field id=&quot;Publisher&quot;&gt;&lt;/Field&gt;&lt;Field id=&quot;PublisherTrans&quot;&gt;&lt;/Field&gt;&lt;Field id=&quot;TITrans&quot;&gt;&lt;/Field&gt;&lt;Field id=&quot;Title&quot;&gt;Therapeutic plasma exchange versus double plasma molecular absorption system in hepatitis B virus-infected acute-on-chronic liver failure treated by entercavir: A prospective study.&lt;/Field&gt;&lt;Field id=&quot;Translator&quot;&gt;&lt;/Field&gt;&lt;Field id=&quot;Type&quot;&gt;{041D4F77-279E-4405-0002-4388361B9CFF}&lt;/Field&gt;&lt;Field id=&quot;Version&quot;&gt;&lt;/Field&gt;&lt;Field id=&quot;Vol&quot;&gt;32&lt;/Field&gt;&lt;Field id=&quot;Factor&quot;&gt;1.5&lt;/Field&gt;&lt;Field id=&quot;Author2&quot;&gt;Wan,YM;Li,YH;Xu,ZY;&lt;/Field&gt;&lt;/Data&gt;&lt;Ref&gt;&lt;Display&gt;&lt;Text StringText=&quot;「RefIndex」&quot; StringTextOri=&quot;「RefIndex」&quot;/&gt;&lt;/Display&gt;&lt;/Ref&gt;&lt;Doc&gt;&lt;Display&gt;&lt;Text StringText=&quot;Wan YM, Li YH, Xu ZY, et al.&quot; StringGroup=&quot;Author&quot;/&gt;&lt;Text StringText=&quot; &quot; StringGroup=&quot;Author&quot;/&gt;&lt;Text StringText=&quot;Therapeutic plasma exchange versus double plasma molecular absorption system in hepatitis B virus-infected acute-on-chronic liver failure treated by entercavir: A prospective study&quot; StringGroup=&quot;Title&quot;/&gt;&lt;Text StringText=&quot;. &quot; StringGroup=&quot;Title&quot;/&gt;&lt;Text StringText=&quot;J Clin Apher&quot; StringGroup=&quot;Magazine&quot;/&gt;&lt;Text StringText=&quot;. &quot; StringGroup=&quot;Magazine&quot;/&gt;&lt;Text StringText=&quot;2017&quot; StringGroup=&quot;PubYear&quot;/&gt;&lt;Text StringText=&quot;; &quot; StringGroup=&quot;PubYear&quot;/&gt;&lt;Text StringText=&quot;32&quot; StringGroup=&quot;Vol&quot;/&gt;&lt;Text StringText=&quot;(&quot; StringGroup=&quot;Issue&quot;/&gt;&lt;Text StringText=&quot;6&quot; StringGroup=&quot;Issue&quot;/&gt;&lt;Text StringText=&quot;)&quot; StringGroup=&quot;Issue&quot;/&gt;&lt;Text StringText=&quot;:&quot; StringGroup=&quot;PageNum&quot;/&gt;&lt;Text StringText=&quot;453-61&quot; StringGroup=&quot;PageNum&quot;/&gt;&lt;Text StringText=&quot;. &quot; StringGroup=&quot;PageNum&quot;/&gt;&lt;Text StringText=&quot;http://&quot; StringGroup=&quot;DOI&quot;/&gt;&lt;Text StringText=&quot;10.1002/jca.21535&quot; StringGroup=&quot;DOI&quot;/&gt;&lt;/Display&gt;&lt;/Doc&gt;&lt;/KyMRNote&gt;"/>
    <w:docVar w:name="KY.MR.DATA{93EBA3E8-6F3A-4856-9B16-47EAA13064B5}459" w:val="&lt;KyMRNote&gt;&lt;Data&gt;&lt;Field id=&quot;AccessNum&quot;&gt;32552092&lt;/Field&gt;&lt;Field id=&quot;Author&quot; FirstData=&quot;1&quot; FirstStyle=&quot;393216&quot; OtherStyle=&quot;0&quot;&gt;Guo X;Wu F;Guo W;Zhang J;Yang Y;Lu Y;Yin C;Fan H;Xu J;Liao M;&lt;/Field&gt;&lt;Field id=&quot;AuthorTrans&quot;&gt;&lt;/Field&gt;&lt;Field id=&quot;DOI&quot;&gt;10.1177/0300060520932053&lt;/Field&gt;&lt;Field id=&quot;Editor&quot;&gt;&lt;/Field&gt;&lt;Field id=&quot;FmtTitle&quot;&gt;&lt;/Field&gt;&lt;Field id=&quot;FullAuthor&quot;&gt;&lt;/Field&gt;&lt;Field id=&quot;ISSN&quot;&gt;0300-0605&lt;/Field&gt;&lt;Field id=&quot;Issue&quot;&gt;6&lt;/Field&gt;&lt;Field id=&quot;LIID&quot;&gt;459&lt;/Field&gt;&lt;Field id=&quot;Magazine&quot;&gt;The Journal of international medical research&lt;/Field&gt;&lt;Field id=&quot;MagazineAB&quot;&gt;J Int Med Res&lt;/Field&gt;&lt;Field id=&quot;MagazineTrans&quot;&gt;&lt;/Field&gt;&lt;Field id=&quot;PageNum&quot;&gt;300060520932053&lt;/Field&gt;&lt;Field id=&quot;PubDate&quot;&gt;Jun&lt;/Field&gt;&lt;Field id=&quot;PubPlace&quot;&gt;&lt;/Field&gt;&lt;Field id=&quot;PubPlaceTrans&quot;&gt;&lt;/Field&gt;&lt;Field id=&quot;PubYear&quot;&gt;2020&lt;/Field&gt;&lt;Field id=&quot;Publisher&quot;&gt;&lt;/Field&gt;&lt;Field id=&quot;PublisherTrans&quot;&gt;&lt;/Field&gt;&lt;Field id=&quot;TITrans&quot;&gt;&lt;/Field&gt;&lt;Field id=&quot;Title&quot;&gt;Comparison of plasma exchange, double plasma molecular adsorption system, and their combination in treating acute-on-chronic liver failure.&lt;/Field&gt;&lt;Field id=&quot;Translator&quot;&gt;&lt;/Field&gt;&lt;Field id=&quot;Type&quot;&gt;{041D4F77-279E-4405-0002-4388361B9CFF}&lt;/Field&gt;&lt;Field id=&quot;Version&quot;&gt;&lt;/Field&gt;&lt;Field id=&quot;Vol&quot;&gt;48&lt;/Field&gt;&lt;Field id=&quot;Factor&quot;&gt;1.6&lt;/Field&gt;&lt;Field id=&quot;Author2&quot;&gt;Guo,X;Wu,F;Guo,W;&lt;/Field&gt;&lt;/Data&gt;&lt;Ref&gt;&lt;Display&gt;&lt;Text StringText=&quot;「RefIndex」&quot; StringTextOri=&quot;「RefIndex」&quot;/&gt;&lt;/Display&gt;&lt;/Ref&gt;&lt;Doc&gt;&lt;Display&gt;&lt;Text StringText=&quot;Guo X, Wu F, Guo W, et al.&quot; StringGroup=&quot;Author&quot;/&gt;&lt;Text StringText=&quot; &quot; StringGroup=&quot;Author&quot;/&gt;&lt;Text StringText=&quot;Comparison of plasma exchange, double plasma molecular adsorption system, and their combination in treating acute-on-chronic liver failure&quot; StringGroup=&quot;Title&quot;/&gt;&lt;Text StringText=&quot;. &quot; StringGroup=&quot;Title&quot;/&gt;&lt;Text StringText=&quot;J Int Med Res&quot; StringGroup=&quot;Magazine&quot;/&gt;&lt;Text StringText=&quot;. &quot; StringGroup=&quot;Magazine&quot;/&gt;&lt;Text StringText=&quot;2020&quot; StringGroup=&quot;PubYear&quot;/&gt;&lt;Text StringText=&quot;; &quot; StringGroup=&quot;PubYear&quot;/&gt;&lt;Text StringText=&quot;48&quot; StringGroup=&quot;Vol&quot;/&gt;&lt;Text StringText=&quot;(&quot; StringGroup=&quot;Issue&quot;/&gt;&lt;Text StringText=&quot;6&quot; StringGroup=&quot;Issue&quot;/&gt;&lt;Text StringText=&quot;)&quot; StringGroup=&quot;Issue&quot;/&gt;&lt;Text StringText=&quot;:&quot; StringGroup=&quot;PageNum&quot;/&gt;&lt;Text StringText=&quot;300060520932053&quot; StringGroup=&quot;PageNum&quot;/&gt;&lt;Text StringText=&quot;. &quot; StringGroup=&quot;PageNum&quot;/&gt;&lt;Text StringText=&quot;http://&quot; StringGroup=&quot;DOI&quot;/&gt;&lt;Text StringText=&quot;10.1177/0300060520932053&quot; StringGroup=&quot;DOI&quot;/&gt;&lt;/Display&gt;&lt;/Doc&gt;&lt;/KyMRNote&gt;"/>
    <w:docVar w:name="KY.MR.DATA{93EBA3E8-6F3A-4856-9B16-47EAA13064B5}460" w:val="&lt;KyMRNote&gt;&lt;Data&gt;&lt;Field id=&quot;AccessNum&quot;&gt;31216551&lt;/Field&gt;&lt;Field id=&quot;Author&quot; FirstData=&quot;1&quot; FirstStyle=&quot;327680&quot; OtherStyle=&quot;0&quot;&gt;Ma Y;Chen F;Xu Y;Wang M;Zhou T;Lu J;Feng P;Wang Y;Bai L;Tang H;&lt;/Field&gt;&lt;Field id=&quot;AuthorTrans&quot;&gt;&lt;/Field&gt;&lt;Field id=&quot;DOI&quot;&gt;10.1159/000500408&lt;/Field&gt;&lt;Field id=&quot;Editor&quot;&gt;&lt;/Field&gt;&lt;Field id=&quot;FmtTitle&quot;&gt;&lt;/Field&gt;&lt;Field id=&quot;FullAuthor&quot;&gt;&lt;/Field&gt;&lt;Field id=&quot;ISSN&quot;&gt;0253-5068&lt;/Field&gt;&lt;Field id=&quot;Issue&quot;&gt;3&lt;/Field&gt;&lt;Field id=&quot;LIID&quot;&gt;460&lt;/Field&gt;&lt;Field id=&quot;Magazine&quot;&gt;Blood purification&lt;/Field&gt;&lt;Field id=&quot;MagazineAB&quot;&gt;Blood Purif&lt;/Field&gt;&lt;Field id=&quot;MagazineTrans&quot;&gt;&lt;/Field&gt;&lt;Field id=&quot;PageNum&quot;&gt;223-232&lt;/Field&gt;&lt;Field id=&quot;PubDate&quot;&gt;&lt;/Field&gt;&lt;Field id=&quot;PubPlace&quot;&gt;Switzerland&lt;/Field&gt;&lt;Field id=&quot;PubPlaceTrans&quot;&gt;&lt;/Field&gt;&lt;Field id=&quot;PubYear&quot;&gt;2019&lt;/Field&gt;&lt;Field id=&quot;Publisher&quot;&gt;&lt;/Field&gt;&lt;Field id=&quot;PublisherTrans&quot;&gt;&lt;/Field&gt;&lt;Field id=&quot;TITrans&quot;&gt;&lt;/Field&gt;&lt;Field id=&quot;Title&quot;&gt;Safety and Efficacy of Regional Citrate Anticoagulation during Plasma Adsorption Plus Plasma Exchange Therapy for Patients with Acute-on-Chronic Liver Failure: A Pilot Study.&lt;/Field&gt;&lt;Field id=&quot;Translator&quot;&gt;&lt;/Field&gt;&lt;Field id=&quot;Type&quot;&gt;{041D4F77-279E-4405-0002-4388361B9CFF}&lt;/Field&gt;&lt;Field id=&quot;Version&quot;&gt;&lt;/Field&gt;&lt;Field id=&quot;Vol&quot;&gt;48&lt;/Field&gt;&lt;Field id=&quot;Factor&quot;&gt;3.0&lt;/Field&gt;&lt;Field id=&quot;Author2&quot;&gt;Ma,Y;Chen,F;Xu,Y;&lt;/Field&gt;&lt;/Data&gt;&lt;Ref&gt;&lt;Display&gt;&lt;Text StringText=&quot;「RefIndex」&quot; StringTextOri=&quot;「RefIndex」&quot;/&gt;&lt;/Display&gt;&lt;/Ref&gt;&lt;Doc&gt;&lt;Display&gt;&lt;Text StringText=&quot;Ma Y, Chen F, Xu Y, et al.&quot; StringGroup=&quot;Author&quot;/&gt;&lt;Text StringText=&quot; &quot; StringGroup=&quot;Author&quot;/&gt;&lt;Text StringText=&quot;Safety and Efficacy of Regional Citrate Anticoagulation during Plasma Adsorption Plus Plasma Exchange Therapy for Patients with Acute-on-Chronic Liver Failure: A Pilot Study&quot; StringGroup=&quot;Title&quot;/&gt;&lt;Text StringText=&quot;. &quot; StringGroup=&quot;Title&quot;/&gt;&lt;Text StringText=&quot;Blood Purif&quot; StringGroup=&quot;Magazine&quot;/&gt;&lt;Text StringText=&quot;. &quot; StringGroup=&quot;Magazine&quot;/&gt;&lt;Text StringText=&quot;2019&quot; StringGroup=&quot;PubYear&quot;/&gt;&lt;Text StringText=&quot;; &quot; StringGroup=&quot;PubYear&quot;/&gt;&lt;Text StringText=&quot;48&quot; StringGroup=&quot;Vol&quot;/&gt;&lt;Text StringText=&quot;(&quot; StringGroup=&quot;Issue&quot;/&gt;&lt;Text StringText=&quot;3&quot; StringGroup=&quot;Issue&quot;/&gt;&lt;Text StringText=&quot;)&quot; StringGroup=&quot;Issue&quot;/&gt;&lt;Text StringText=&quot;:&quot; StringGroup=&quot;PageNum&quot;/&gt;&lt;Text StringText=&quot;223-32&quot; StringGroup=&quot;PageNum&quot;/&gt;&lt;Text StringText=&quot;. &quot; StringGroup=&quot;PageNum&quot;/&gt;&lt;Text StringText=&quot;http://&quot; StringGroup=&quot;DOI&quot;/&gt;&lt;Text StringText=&quot;10.1159/000500408&quot; StringGroup=&quot;DOI&quot;/&gt;&lt;/Display&gt;&lt;/Doc&gt;&lt;/KyMRNote&gt;"/>
    <w:docVar w:name="KY.MR.DATA{93EBA3E8-6F3A-4856-9B16-47EAA13064B5}462" w:val="&lt;KyMRNote&gt;&lt;Data&gt;&lt;Field id=&quot;AccessNum&quot;&gt;33435806&lt;/Field&gt;&lt;Field id=&quot;Author&quot; FirstData=&quot;1&quot; FirstStyle=&quot;524288&quot; OtherStyle=&quot;0&quot;&gt;Zhang J;Luo H;Han Y;Zhou X;&lt;/Field&gt;&lt;Field id=&quot;AuthorTrans&quot;&gt;&lt;/Field&gt;&lt;Field id=&quot;DOI&quot;&gt;10.1177/0391398820987565&lt;/Field&gt;&lt;Field id=&quot;Editor&quot;&gt;&lt;/Field&gt;&lt;Field id=&quot;FmtTitle&quot;&gt;&lt;/Field&gt;&lt;Field id=&quot;FullAuthor&quot;&gt;&lt;/Field&gt;&lt;Field id=&quot;ISSN&quot;&gt;0391-3988&lt;/Field&gt;&lt;Field id=&quot;Issue&quot;&gt;1&lt;/Field&gt;&lt;Field id=&quot;LIID&quot;&gt;462&lt;/Field&gt;&lt;Field id=&quot;Magazine&quot;&gt;The International journal of artificial organs&lt;/Field&gt;&lt;Field id=&quot;MagazineAB&quot;&gt;Int J Artif Organs&lt;/Field&gt;&lt;Field id=&quot;MagazineTrans&quot;&gt;&lt;/Field&gt;&lt;Field id=&quot;PageNum&quot;&gt;5-13&lt;/Field&gt;&lt;Field id=&quot;PubDate&quot;&gt;Jan&lt;/Field&gt;&lt;Field id=&quot;PubPlace&quot;&gt;United States&lt;/Field&gt;&lt;Field id=&quot;PubPlaceTrans&quot;&gt;&lt;/Field&gt;&lt;Field id=&quot;PubYear&quot;&gt;2022&lt;/Field&gt;&lt;Field id=&quot;Publisher&quot;&gt;Wichtig Publishing Srl&lt;/Field&gt;&lt;Field id=&quot;PublisherTrans&quot;&gt;&lt;/Field&gt;&lt;Field id=&quot;TITrans&quot;&gt;&lt;/Field&gt;&lt;Field id=&quot;Title&quot;&gt;Sequential versus mono double plasma molecular adsorption system in acute-on-chronic liver failures: A propensity-score matched study.&lt;/Field&gt;&lt;Field id=&quot;Translator&quot;&gt;&lt;/Field&gt;&lt;Field id=&quot;Type&quot;&gt;{041D4F77-279E-4405-0002-4388361B9CFF}&lt;/Field&gt;&lt;Field id=&quot;Version&quot;&gt;&lt;/Field&gt;&lt;Field id=&quot;Vol&quot;&gt;45&lt;/Field&gt;&lt;Field id=&quot;Factor&quot;&gt;1.7&lt;/Field&gt;&lt;Field id=&quot;Author2&quot;&gt;Zhang,J;Luo,H;Han,Y;&lt;/Field&gt;&lt;/Data&gt;&lt;Ref&gt;&lt;Display&gt;&lt;Text StringText=&quot;「RefIndex」&quot; StringTextOri=&quot;「RefIndex」&quot;/&gt;&lt;/Display&gt;&lt;/Ref&gt;&lt;Doc&gt;&lt;Display&gt;&lt;Text StringText=&quot;Zhang J, Luo H, Han Y, et al.&quot; StringGroup=&quot;Author&quot;/&gt;&lt;Text StringText=&quot; &quot; StringGroup=&quot;Author&quot;/&gt;&lt;Text StringText=&quot;Sequential versus mono double plasma molecular adsorption system in acute-on-chronic liver failures: A propensity-score matched study&quot; StringGroup=&quot;Title&quot;/&gt;&lt;Text StringText=&quot;. &quot; StringGroup=&quot;Title&quot;/&gt;&lt;Text StringText=&quot;Int J Artif Organs&quot; StringGroup=&quot;Magazine&quot;/&gt;&lt;Text StringText=&quot;. &quot; StringGroup=&quot;Magazine&quot;/&gt;&lt;Text StringText=&quot;2022&quot; StringGroup=&quot;PubYear&quot;/&gt;&lt;Text StringText=&quot;; &quot; StringGroup=&quot;PubYear&quot;/&gt;&lt;Text StringText=&quot;45&quot; StringGroup=&quot;Vol&quot;/&gt;&lt;Text StringText=&quot;(&quot; StringGroup=&quot;Issue&quot;/&gt;&lt;Text StringText=&quot;1&quot; StringGroup=&quot;Issue&quot;/&gt;&lt;Text StringText=&quot;)&quot; StringGroup=&quot;Issue&quot;/&gt;&lt;Text StringText=&quot;:&quot; StringGroup=&quot;PageNum&quot;/&gt;&lt;Text StringText=&quot;5-13&quot; StringGroup=&quot;PageNum&quot;/&gt;&lt;Text StringText=&quot;. &quot; StringGroup=&quot;PageNum&quot;/&gt;&lt;Text StringText=&quot;http://&quot; StringGroup=&quot;DOI&quot;/&gt;&lt;Text StringText=&quot;10.1177/0391398820987565&quot; StringGroup=&quot;DOI&quot;/&gt;&lt;/Display&gt;&lt;/Doc&gt;&lt;/KyMRNote&gt;"/>
    <w:docVar w:name="KY.MR.DATA{93EBA3E8-6F3A-4856-9B16-47EAA13064B5}464" w:val="&lt;KyMRNote&gt;&lt;Data&gt;&lt;Field id=&quot;AccessNum&quot;&gt;&lt;/Field&gt;&lt;Field id=&quot;Author&quot;&gt;&lt;/Field&gt;&lt;Field id=&quot;AuthorTrans&quot;&gt;&lt;/Field&gt;&lt;Field id=&quot;DOI&quot;&gt;10.3969/j.issn.1001-5256.2022.04.007&lt;/Field&gt;&lt;Field id=&quot;Editor&quot;&gt;&lt;/Field&gt;&lt;Field id=&quot;FmtTitle&quot;&gt;&amp;lt;span style='text-align: left; color: rgb(51, 51, 51); text-transform: none; text-indent: 0px; letter-spacing: normal; font-family: Arial, 微软雅黑, &quot;Helvetica,sans-serif&quot;, &quot;Microsoft YaHei&quot;; font-size: 14px; font-style: normal; font-weight: 400; word-spacing: 0px; float: none; display: inline !important; white-space: normal; orphans: 2; widows: 2; background-color: rgb(255, 255, 255); font-variant-ligatures: normal; font-variant-caps: normal; -webkit-text-stroke-width: 0px; text-decoration-style: initial; text-decoration-color: initial;'&amp;gt;Severe Liver Disease and Artificial Liver Group, Chinese Society of Hepatology, Chinese Medical Association. Expert consensus on clinical application of artificial liver and blood purification (2022 edition)&amp;lt;/span&amp;gt;&lt;/Field&gt;&lt;Field id=&quot;FullAuthor&quot;&gt;&lt;/Field&gt;&lt;Field id=&quot;ISSN&quot;&gt;&lt;/Field&gt;&lt;Field id=&quot;Issue&quot;&gt;04&lt;/Field&gt;&lt;Field id=&quot;LIID&quot;&gt;464&lt;/Field&gt;&lt;Field id=&quot;Magazine&quot;&gt;Lin Chuang Gan Dan Bing Za Zhi&lt;/Field&gt;&lt;Field id=&quot;MagazineAB&quot;&gt;&lt;/Field&gt;&lt;Field id=&quot;MagazineTrans&quot;&gt;&lt;/Field&gt;&lt;Field id=&quot;PageNum&quot;&gt;767-775&lt;/Field&gt;&lt;Field id=&quot;PubDate&quot;&gt;2022-03-25 10:48&lt;/Field&gt;&lt;Field id=&quot;PubPlace&quot;&gt;吉林省长春市&lt;/Field&gt;&lt;Field id=&quot;PubPlaceTrans&quot;&gt;&lt;/Field&gt;&lt;Field id=&quot;PubYear&quot;&gt;2022&lt;/Field&gt;&lt;Field id=&quot;Publisher&quot;&gt;中华医学会肝病学分会重型肝病与人工肝学组;四川大学华西医院;首都医科大学附属北京佑安医院;复旦大学附属华东医院;吉林大学第一医院;南开大学人民医院;解放军总医院第五医学中心;兰州大学第一医院;中国科学技术大学附属第一医院;大连医科大学附属第二医院;福建医科大学孟超肝胆医院;清华大学第一附属医院;山东省公共卫生临床中心;河北医科大学第三医院;青岛大学附属青岛市市立医院;北京大学第一医院;大连医科大学附属大连市中心医院;山西白求恩医院同济山西医院;&lt;/Field&gt;&lt;Field id=&quot;PublisherTrans&quot;&gt;&lt;/Field&gt;&lt;Field id=&quot;TITrans&quot;&gt;&lt;/Field&gt;&lt;Field id=&quot;Title&quot;&gt;Severe Liver Disease and Artificial Liver Group, Chinese Society of Hepatology, Chinese Medical Association. Expert consensus on clinical application of artificial liver and blood purification (2022 edition)&lt;/Field&gt;&lt;Field id=&quot;Translator&quot;&gt;&lt;/Field&gt;&lt;Field id=&quot;Type&quot;&gt;{041D4F77-279E-4405-0002-4388361B9CFF}&lt;/Field&gt;&lt;Field id=&quot;Version&quot;&gt;&lt;/Field&gt;&lt;Field id=&quot;Vol&quot;&gt;38&lt;/Field&gt;&lt;Field id=&quot;Factor&quot;/&gt;&lt;/Data&gt;&lt;Ref&gt;&lt;Display&gt;&lt;Text StringText=&quot;「RefIndex」&quot; StringTextOri=&quot;「RefIndex」&quot;/&gt;&lt;/Display&gt;&lt;/Ref&gt;&lt;Doc&gt;&lt;Display&gt;&lt;Text StringText=&quot;Severe Liver Disease and Artificial Liver Group, Chinese Society of Hepatology, Chinese Medical Association. Expert consensus on clinical application of artificial liver and blood purification (2022 edition)&quot; StringGroup=&quot;Title&quot;/&gt;&lt;Text StringText=&quot;. &quot; StringGroup=&quot;Title&quot;/&gt;&lt;Text StringText=&quot;Lin Chuang Gan Dan Bing Za Zhi&quot; StringGroup=&quot;Magazine&quot;/&gt;&lt;Text StringText=&quot;. &quot; StringGroup=&quot;Magazine&quot;/&gt;&lt;Text StringText=&quot;2022&quot; StringGroup=&quot;PubYear&quot;/&gt;&lt;Text StringText=&quot;; &quot; StringGroup=&quot;PubYear&quot;/&gt;&lt;Text StringText=&quot;38&quot; StringGroup=&quot;Vol&quot;/&gt;&lt;Text StringText=&quot;(&quot; StringGroup=&quot;Issue&quot;/&gt;&lt;Text StringText=&quot;04&quot; StringGroup=&quot;Issue&quot;/&gt;&lt;Text StringText=&quot;)&quot; StringGroup=&quot;Issue&quot;/&gt;&lt;Text StringText=&quot;:&quot; StringGroup=&quot;PageNum&quot;/&gt;&lt;Text StringText=&quot;767-75&quot; StringGroup=&quot;PageNum&quot;/&gt;&lt;Text StringText=&quot;. &quot; StringGroup=&quot;PageNum&quot;/&gt;&lt;Text StringText=&quot;http://&quot; StringGroup=&quot;DOI&quot;/&gt;&lt;Text StringText=&quot;10.3969/j.issn.1001-5256.2022.04.007&quot; StringGroup=&quot;DOI&quot;/&gt;&lt;/Display&gt;&lt;/Doc&gt;&lt;/KyMRNote&gt;"/>
    <w:docVar w:name="KY.MR.DATA{93EBA3E8-6F3A-4856-9B16-47EAA13064B5}465" w:val="&lt;KyMRNote&gt;&lt;Data&gt;&lt;Field id=&quot;AccessNum&quot;&gt;&lt;/Field&gt;&lt;Field id=&quot;Author&quot; FirstData=&quot;1&quot; FirstStyle=&quot;458752&quot; OtherStyle=&quot;0&quot;&gt;Yin GC;Ya CM;Li Q;Feng HL;Wang L&lt;/Field&gt;&lt;Field id=&quot;AuthorTrans&quot;&gt;&lt;/Field&gt;&lt;Field id=&quot;DOI&quot;&gt;10.3760/cma.j.issn.2095-4352.2013.12.010&lt;/Field&gt;&lt;Field id=&quot;Editor&quot;&gt;&lt;/Field&gt;&lt;Field id=&quot;FmtTitle&quot;&gt;&amp;lt;u&amp;gt;&amp;lt;font color=&quot;#0066cc&quot;&amp;gt;Clinical experience of double plasma molecular absorption with a combination of two hemoperfusion machines in treatment of liver failure&amp;lt;/font&amp;gt;&amp;lt;/u&amp;gt;&lt;/Field&gt;&lt;Field id=&quot;FullAuthor&quot;&gt;&lt;/Field&gt;&lt;Field id=&quot;ISSN&quot;&gt;1003-0603&lt;/Field&gt;&lt;Field id=&quot;Issue&quot;&gt;12&lt;/Field&gt;&lt;Field id=&quot;LIID&quot;&gt;465&lt;/Field&gt;&lt;Field id=&quot;Magazine&quot;&gt;Zhonghua Wei Zhong Bing Ji Jiu Yi Xue&lt;/Field&gt;&lt;Field id=&quot;MagazineAB&quot;&gt;&lt;/Field&gt;&lt;Field id=&quot;MagazineTrans&quot;&gt;Chin Crit Care Med&lt;/Field&gt;&lt;Field id=&quot;PageNum&quot;&gt;738-742&lt;/Field&gt;&lt;Field id=&quot;PubDate&quot;&gt;&lt;/Field&gt;&lt;Field id=&quot;PubPlace&quot;&gt;其他&lt;/Field&gt;&lt;Field id=&quot;PubPlaceTrans&quot;&gt;&lt;/Field&gt;&lt;Field id=&quot;PubYear&quot;&gt;2013&lt;/Field&gt;&lt;Field id=&quot;Publisher&quot;&gt;中华医学会 &lt;/Field&gt;&lt;Field id=&quot;PublisherTrans&quot;&gt;&lt;/Field&gt;&lt;Field id=&quot;TITrans&quot;&gt;&lt;/Field&gt;&lt;Field id=&quot;Title&quot;&gt;Clinical experience of double plasma molecular absorption with a combination of two hemoperfusion machines in treatment of liver failure&lt;/Field&gt;&lt;Field id=&quot;Translator&quot;&gt;&lt;/Field&gt;&lt;Field id=&quot;Type&quot;&gt;{041D4F77-279E-4405-0002-4388361B9CFF}&lt;/Field&gt;&lt;Field id=&quot;Version&quot;&gt;&lt;/Field&gt;&lt;Field id=&quot;Vol&quot;&gt;25&lt;/Field&gt;&lt;Field id=&quot;Factor&quot;/&gt;&lt;Field id=&quot;Author2&quot;&gt;Yin,GC;Ya,CM;Li,Q;&lt;/Field&gt;&lt;/Data&gt;&lt;Ref&gt;&lt;Display&gt;&lt;Text StringText=&quot;「RefIndex」&quot; StringTextOri=&quot;「RefIndex」&quot;/&gt;&lt;/Display&gt;&lt;/Ref&gt;&lt;Doc&gt;&lt;Display&gt;&lt;Text StringText=&quot;Yin GC, Ya CM, Li Q, et al.&quot; StringGroup=&quot;Author&quot;/&gt;&lt;Text StringText=&quot; &quot; StringGroup=&quot;Author&quot;/&gt;&lt;Text StringText=&quot;Clinical experience of double plasma molecular absorption with a combination of two hemoperfusion machines in treatment of liver failure&quot; StringGroup=&quot;Title&quot;/&gt;&lt;Text StringText=&quot;. &quot; StringGroup=&quot;Title&quot;/&gt;&lt;Text StringText=&quot;Zhonghua Wei Zhong Bing Ji Jiu Yi Xue&quot; StringGroup=&quot;Magazine&quot;/&gt;&lt;Text StringText=&quot;. &quot; StringGroup=&quot;Magazine&quot;/&gt;&lt;Text StringText=&quot;2013&quot; StringGroup=&quot;PubYear&quot;/&gt;&lt;Text StringText=&quot;; &quot; StringGroup=&quot;PubYear&quot;/&gt;&lt;Text StringText=&quot;25&quot; StringGroup=&quot;Vol&quot;/&gt;&lt;Text StringText=&quot;(&quot; StringGroup=&quot;Issue&quot;/&gt;&lt;Text StringText=&quot;12&quot; StringGroup=&quot;Issue&quot;/&gt;&lt;Text StringText=&quot;)&quot; StringGroup=&quot;Issue&quot;/&gt;&lt;Text StringText=&quot;:&quot; StringGroup=&quot;PageNum&quot;/&gt;&lt;Text StringText=&quot;738-42&quot; StringGroup=&quot;PageNum&quot;/&gt;&lt;Text StringText=&quot;. &quot; StringGroup=&quot;PageNum&quot;/&gt;&lt;Text StringText=&quot;http://&quot; StringGroup=&quot;DOI&quot;/&gt;&lt;Text StringText=&quot;10.3760/cma.j.issn.2095-4352.2013.12.010&quot; StringGroup=&quot;DOI&quot;/&gt;&lt;/Display&gt;&lt;/Doc&gt;&lt;/KyMRNote&gt;"/>
    <w:docVar w:name="KY.MR.DATA{93EBA3E8-6F3A-4856-9B16-47EAA13064B5}466" w:val="&lt;KyMRNote&gt;&lt;Data&gt;&lt;Field id=&quot;AccessNum&quot;&gt;36897008&lt;/Field&gt;&lt;Field id=&quot;Author&quot; FirstData=&quot;1&quot; FirstStyle=&quot;327680&quot; OtherStyle=&quot;0&quot;&gt;Xu W;Zhu S;Yang L;Li Z;Wu L;Zhang Y;Chen J;Deng Z;Luo Q;Peng L;&lt;/Field&gt;&lt;Field id=&quot;AuthorTrans&quot;&gt;&lt;/Field&gt;&lt;Field id=&quot;DOI&quot;&gt;10.1002/jmv.28650&lt;/Field&gt;&lt;Field id=&quot;Editor&quot;&gt;&lt;/Field&gt;&lt;Field id=&quot;FmtTitle&quot;&gt;&lt;/Field&gt;&lt;Field id=&quot;FullAuthor&quot;&gt;&lt;/Field&gt;&lt;Field id=&quot;ISSN&quot;&gt;0146-6615&lt;/Field&gt;&lt;Field id=&quot;Issue&quot;&gt;3&lt;/Field&gt;&lt;Field id=&quot;LIID&quot;&gt;466&lt;/Field&gt;&lt;Field id=&quot;Magazine&quot;&gt;Journal of medical virology&lt;/Field&gt;&lt;Field id=&quot;MagazineAB&quot;&gt;J Med Virol&lt;/Field&gt;&lt;Field id=&quot;MagazineTrans&quot;&gt;&lt;/Field&gt;&lt;Field id=&quot;PageNum&quot;&gt;e28650&lt;/Field&gt;&lt;Field id=&quot;PubDate&quot;&gt;Mar&lt;/Field&gt;&lt;Field id=&quot;PubPlace&quot;&gt;United States&lt;/Field&gt;&lt;Field id=&quot;PubPlaceTrans&quot;&gt;&lt;/Field&gt;&lt;Field id=&quot;PubYear&quot;&gt;2023&lt;/Field&gt;&lt;Field id=&quot;Publisher&quot;&gt;Wiley-Liss Inc.&lt;/Field&gt;&lt;Field id=&quot;PublisherTrans&quot;&gt;&lt;/Field&gt;&lt;Field id=&quot;TITrans&quot;&gt;&lt;/Field&gt;&lt;Field id=&quot;Title&quot;&gt;Safety and efficacy of double plasma molecular adsorption system with sequential low-volume plasma exchange in intermediate-stage hepatitis B virus-related acute-on-chronic liver failure.&lt;/Field&gt;&lt;Field id=&quot;Translator&quot;&gt;&lt;/Field&gt;&lt;Field id=&quot;Type&quot;&gt;{041D4F77-279E-4405-0002-4388361B9CFF}&lt;/Field&gt;&lt;Field id=&quot;Version&quot;&gt;&lt;/Field&gt;&lt;Field id=&quot;Vol&quot;&gt;95&lt;/Field&gt;&lt;Field id=&quot;Factor&quot;&gt;12.7&lt;/Field&gt;&lt;Field id=&quot;Author2&quot;&gt;Xu,W;Zhu,S;Yang,L;&lt;/Field&gt;&lt;/Data&gt;&lt;Ref&gt;&lt;Display&gt;&lt;Text StringText=&quot;「RefIndex」&quot; StringTextOri=&quot;「RefIndex」&quot;/&gt;&lt;/Display&gt;&lt;/Ref&gt;&lt;Doc&gt;&lt;Display&gt;&lt;Text StringText=&quot;Xu W, Zhu S, Yang L, et al.&quot; StringGroup=&quot;Author&quot;/&gt;&lt;Text StringText=&quot; &quot; StringGroup=&quot;Author&quot;/&gt;&lt;Text StringText=&quot;Safety and efficacy of double plasma molecular adsorption system with sequential low-volume plasma exchange in intermediate-stage hepatitis B virus-related acute-on-chronic liver failure&quot; StringGroup=&quot;Title&quot;/&gt;&lt;Text StringText=&quot;. &quot; StringGroup=&quot;Title&quot;/&gt;&lt;Text StringText=&quot;J Med Virol&quot; StringGroup=&quot;Magazine&quot;/&gt;&lt;Text StringText=&quot;. &quot; StringGroup=&quot;Magazine&quot;/&gt;&lt;Text StringText=&quot;2023&quot; StringGroup=&quot;PubYear&quot;/&gt;&lt;Text StringText=&quot;; &quot; StringGroup=&quot;PubYear&quot;/&gt;&lt;Text StringText=&quot;95&quot; StringGroup=&quot;Vol&quot;/&gt;&lt;Text StringText=&quot;(&quot; StringGroup=&quot;Issue&quot;/&gt;&lt;Text StringText=&quot;3&quot; StringGroup=&quot;Issue&quot;/&gt;&lt;Text StringText=&quot;)&quot; StringGroup=&quot;Issue&quot;/&gt;&lt;Text StringText=&quot;:&quot; StringGroup=&quot;PageNum&quot;/&gt;&lt;Text StringText=&quot;e28650&quot; StringGroup=&quot;PageNum&quot;/&gt;&lt;Text StringText=&quot;. &quot; StringGroup=&quot;PageNum&quot;/&gt;&lt;Text StringText=&quot;http://&quot; StringGroup=&quot;DOI&quot;/&gt;&lt;Text StringText=&quot;10.1002/jmv.28650&quot; StringGroup=&quot;DOI&quot;/&gt;&lt;/Display&gt;&lt;/Doc&gt;&lt;/KyMRNote&gt;"/>
    <w:docVar w:name="KY.MR.DATA{93EBA3E8-6F3A-4856-9B16-47EAA13064B5}467" w:val="&lt;KyMRNote&gt;&lt;Data&gt;&lt;Field id=&quot;AccessNum&quot;&gt;&lt;/Field&gt;&lt;Field id=&quot;Author&quot; FirstData=&quot;1&quot; FirstStyle=&quot;458752&quot; OtherStyle=&quot;0&quot;&gt;Yan GS;Li LL;Jiang SL;Meng S;Wu CC&lt;/Field&gt;&lt;Field id=&quot;AuthorTrans&quot;&gt;&lt;/Field&gt;&lt;Field id=&quot;DOI&quot;&gt;10.3760/cma.j.issn.1007-3418.2019.01.011&lt;/Field&gt;&lt;Field id=&quot;Editor&quot;&gt;&lt;/Field&gt;&lt;Field id=&quot;FmtTitle&quot;&gt;&amp;lt;u&amp;gt;&amp;lt;font color=&quot;#0066cc&quot;&amp;gt;Clinical study of different adsorbents with dual plasma molecular adsorption system in the treatment of hepatic failure&amp;lt;/font&amp;gt;&amp;lt;/u&amp;gt;&lt;/Field&gt;&lt;Field id=&quot;FullAuthor&quot;&gt;&lt;/Field&gt;&lt;Field id=&quot;ISSN&quot;&gt;1007-3418&lt;/Field&gt;&lt;Field id=&quot;Issue&quot;&gt;1&lt;/Field&gt;&lt;Field id=&quot;LIID&quot;&gt;467&lt;/Field&gt;&lt;Field id=&quot;Magazine&quot;&gt;Zhonghua Gan Zang Bing Za Zhi&lt;/Field&gt;&lt;Field id=&quot;MagazineAB&quot;&gt;&lt;/Field&gt;&lt;Field id=&quot;MagazineTrans&quot;&gt;Chin J Hepatol&lt;/Field&gt;&lt;Field id=&quot;PageNum&quot;&gt;51-55&lt;/Field&gt;&lt;Field id=&quot;PubDate&quot;&gt;&lt;/Field&gt;&lt;Field id=&quot;PubPlace&quot;&gt;其他&lt;/Field&gt;&lt;Field id=&quot;PubPlaceTrans&quot;&gt;&lt;/Field&gt;&lt;Field id=&quot;PubYear&quot;&gt;2019&lt;/Field&gt;&lt;Field id=&quot;Publisher&quot;&gt;中华医学会 &lt;/Field&gt;&lt;Field id=&quot;PublisherTrans&quot;&gt;&lt;/Field&gt;&lt;Field id=&quot;TITrans&quot;&gt;&lt;/Field&gt;&lt;Field id=&quot;Title&quot;&gt;Clinical study of different adsorbents with dual plasma molecular adsorption system in the treatment of hepatic failure&lt;/Field&gt;&lt;Field id=&quot;Translator&quot;&gt;&lt;/Field&gt;&lt;Field id=&quot;Type&quot;&gt;{041D4F77-279E-4405-0002-4388361B9CFF}&lt;/Field&gt;&lt;Field id=&quot;Version&quot;&gt;&lt;/Field&gt;&lt;Field id=&quot;Vol&quot;&gt;27&lt;/Field&gt;&lt;Field id=&quot;Factor&quot;/&gt;&lt;Field id=&quot;Author2&quot;&gt;Yan,GS;Li,LL;Jiang,SL;&lt;/Field&gt;&lt;/Data&gt;&lt;Ref&gt;&lt;Display&gt;&lt;Text StringText=&quot;「RefIndex」&quot; StringTextOri=&quot;「RefIndex」&quot;/&gt;&lt;/Display&gt;&lt;/Ref&gt;&lt;Doc&gt;&lt;Display&gt;&lt;Text StringText=&quot;Yan GS, Li LL, Jiang SL, et al.&quot; StringGroup=&quot;Author&quot;/&gt;&lt;Text StringText=&quot; &quot; StringGroup=&quot;Author&quot;/&gt;&lt;Text StringText=&quot;Clinical study of different adsorbents with dual plasma molecular adsorption system in the treatment of hepatic failure&quot; StringGroup=&quot;Title&quot;/&gt;&lt;Text StringText=&quot;. &quot; StringGroup=&quot;Title&quot;/&gt;&lt;Text StringText=&quot;Zhonghua Gan Zang Bing Za Zhi&quot; StringGroup=&quot;Magazine&quot;/&gt;&lt;Text StringText=&quot;. &quot; StringGroup=&quot;Magazine&quot;/&gt;&lt;Text StringText=&quot;2019&quot; StringGroup=&quot;PubYear&quot;/&gt;&lt;Text StringText=&quot;; &quot; StringGroup=&quot;PubYear&quot;/&gt;&lt;Text StringText=&quot;27&quot; StringGroup=&quot;Vol&quot;/&gt;&lt;Text StringText=&quot;(&quot; StringGroup=&quot;Issue&quot;/&gt;&lt;Text StringText=&quot;1&quot; StringGroup=&quot;Issue&quot;/&gt;&lt;Text StringText=&quot;)&quot; StringGroup=&quot;Issue&quot;/&gt;&lt;Text StringText=&quot;:&quot; StringGroup=&quot;PageNum&quot;/&gt;&lt;Text StringText=&quot;51-5&quot; StringGroup=&quot;PageNum&quot;/&gt;&lt;Text StringText=&quot;. &quot; StringGroup=&quot;PageNum&quot;/&gt;&lt;Text StringText=&quot;http://&quot; StringGroup=&quot;DOI&quot;/&gt;&lt;Text StringText=&quot;10.3760/cma.j.issn.1007-3418.2019.01.011&quot; StringGroup=&quot;DOI&quot;/&gt;&lt;/Display&gt;&lt;/Doc&gt;&lt;/KyMRNote&gt;"/>
    <w:docVar w:name="KY.MR.DATA{93EBA3E8-6F3A-4856-9B16-47EAA13064B5}468" w:val="&lt;KyMRNote&gt;&lt;Data&gt;&lt;Field id=&quot;AccessNum&quot;&gt;37874632&lt;/Field&gt;&lt;Field id=&quot;Author&quot; FirstData=&quot;1&quot; FirstStyle=&quot;524288&quot; OtherStyle=&quot;0&quot;&gt;Huang T;Huang J;Liu TC;Li M;She R;Liu L;Qu H;Liang F;Cao Y;Chen Y;Tang L;&lt;/Field&gt;&lt;Field id=&quot;AuthorTrans&quot;&gt;&lt;/Field&gt;&lt;Field id=&quot;DOI&quot;&gt;10.2196/45395&lt;/Field&gt;&lt;Field id=&quot;Editor&quot;&gt;&lt;/Field&gt;&lt;Field id=&quot;FmtTitle&quot;&gt;&lt;/Field&gt;&lt;Field id=&quot;FullAuthor&quot;&gt;&lt;/Field&gt;&lt;Field id=&quot;ISSN&quot;&gt;2561-326X&lt;/Field&gt;&lt;Field id=&quot;Issue&quot;&gt;&lt;/Field&gt;&lt;Field id=&quot;LIID&quot;&gt;468&lt;/Field&gt;&lt;Field id=&quot;Magazine&quot;&gt;JMIR formative research&lt;/Field&gt;&lt;Field id=&quot;MagazineAB&quot;&gt;JMIR Form Res&lt;/Field&gt;&lt;Field id=&quot;MagazineTrans&quot;&gt;&lt;/Field&gt;&lt;Field id=&quot;PageNum&quot;&gt;e45395&lt;/Field&gt;&lt;Field id=&quot;PubDate&quot;&gt;Oct 24&lt;/Field&gt;&lt;Field id=&quot;PubPlace&quot;&gt;Canada&lt;/Field&gt;&lt;Field id=&quot;PubPlaceTrans&quot;&gt;&lt;/Field&gt;&lt;Field id=&quot;PubYear&quot;&gt;2023&lt;/Field&gt;&lt;Field id=&quot;Publisher&quot;&gt;other&lt;/Field&gt;&lt;Field id=&quot;PublisherTrans&quot;&gt;&lt;/Field&gt;&lt;Field id=&quot;TITrans&quot;&gt;&lt;/Field&gt;&lt;Field id=&quot;Title&quot;&gt;Evaluating the Effect of Artificial Liver Support on Acute-on-Chronic Liver Failure Using the Quantitative Difference Algorithm: Retrospective Study.&lt;/Field&gt;&lt;Field id=&quot;Translator&quot;&gt;&lt;/Field&gt;&lt;Field id=&quot;Type&quot;&gt;{041D4F77-279E-4405-0002-4388361B9CFF}&lt;/Field&gt;&lt;Field id=&quot;Version&quot;&gt;&lt;/Field&gt;&lt;Field id=&quot;Vol&quot;&gt;7&lt;/Field&gt;&lt;Field id=&quot;Factor&quot;&gt;2.2&lt;/Field&gt;&lt;Field id=&quot;Author2&quot;&gt;Huang,T;Huang,J;Liu,TC;&lt;/Field&gt;&lt;/Data&gt;&lt;Ref&gt;&lt;Display&gt;&lt;Text StringText=&quot;「RefIndex」&quot; StringTextOri=&quot;「RefIndex」&quot;/&gt;&lt;/Display&gt;&lt;/Ref&gt;&lt;Doc&gt;&lt;Display&gt;&lt;Text StringText=&quot;Huang T, Huang J, Liu TC, et al.&quot; StringGroup=&quot;Author&quot;/&gt;&lt;Text StringText=&quot; &quot; StringGroup=&quot;Author&quot;/&gt;&lt;Text StringText=&quot;Evaluating the Effect of Artificial Liver Support on Acute-on-Chronic Liver Failure Using the Quantitative Difference Algorithm: Retrospective Study&quot; StringGroup=&quot;Title&quot;/&gt;&lt;Text StringText=&quot;. &quot; StringGroup=&quot;Title&quot;/&gt;&lt;Text StringText=&quot;JMIR Form Res&quot; StringGroup=&quot;Magazine&quot;/&gt;&lt;Text StringText=&quot;. &quot; StringGroup=&quot;Magazine&quot;/&gt;&lt;Text StringText=&quot;2023&quot; StringGroup=&quot;PubYear&quot;/&gt;&lt;Text StringText=&quot;; &quot; StringGroup=&quot;PubYear&quot;/&gt;&lt;Text StringText=&quot;7&quot; StringGroup=&quot;Vol&quot;/&gt;&lt;Text StringText=&quot;:&quot; StringGroup=&quot;PageNum&quot;/&gt;&lt;Text StringText=&quot;e45395&quot; StringGroup=&quot;PageNum&quot;/&gt;&lt;Text StringText=&quot;. &quot; StringGroup=&quot;PageNum&quot;/&gt;&lt;Text StringText=&quot;http://&quot; StringGroup=&quot;DOI&quot;/&gt;&lt;Text StringText=&quot;10.2196/45395&quot; StringGroup=&quot;DOI&quot;/&gt;&lt;/Display&gt;&lt;/Doc&gt;&lt;/KyMRNote&gt;"/>
    <w:docVar w:name="KY.MR.DATA{93EBA3E8-6F3A-4856-9B16-47EAA13064B5}469" w:val="&lt;KyMRNote&gt;&lt;Data&gt;&lt;Field id=&quot;AccessNum&quot;&gt;33508826&lt;/Field&gt;&lt;Field id=&quot;Author&quot; FirstData=&quot;1&quot; FirstStyle=&quot;327680&quot; OtherStyle=&quot;0&quot;&gt;Wu M;Zhang H;Huang Y;Wu W;Huang J;Yan D;&lt;/Field&gt;&lt;Field id=&quot;AuthorTrans&quot;&gt;&lt;/Field&gt;&lt;Field id=&quot;DOI&quot;&gt;10.1159/000513161&lt;/Field&gt;&lt;Field id=&quot;Editor&quot;&gt;&lt;/Field&gt;&lt;Field id=&quot;FmtTitle&quot;&gt;&lt;/Field&gt;&lt;Field id=&quot;FullAuthor&quot;&gt;&lt;/Field&gt;&lt;Field id=&quot;ISSN&quot;&gt;0253-5068&lt;/Field&gt;&lt;Field id=&quot;Issue&quot;&gt;6&lt;/Field&gt;&lt;Field id=&quot;LIID&quot;&gt;469&lt;/Field&gt;&lt;Field id=&quot;Magazine&quot;&gt;Blood purification&lt;/Field&gt;&lt;Field id=&quot;MagazineAB&quot;&gt;Blood Purif&lt;/Field&gt;&lt;Field id=&quot;MagazineTrans&quot;&gt;&lt;/Field&gt;&lt;Field id=&quot;PageNum&quot;&gt;876-882&lt;/Field&gt;&lt;Field id=&quot;PubDate&quot;&gt;&lt;/Field&gt;&lt;Field id=&quot;PubPlace&quot;&gt;Switzerland&lt;/Field&gt;&lt;Field id=&quot;PubPlaceTrans&quot;&gt;&lt;/Field&gt;&lt;Field id=&quot;PubYear&quot;&gt;2021&lt;/Field&gt;&lt;Field id=&quot;Publisher&quot;&gt;S. Karger AG&lt;/Field&gt;&lt;Field id=&quot;PublisherTrans&quot;&gt;&lt;/Field&gt;&lt;Field id=&quot;TITrans&quot;&gt;&lt;/Field&gt;&lt;Field id=&quot;Title&quot;&gt;Efficiency of Double Plasma Molecular Absorption System on the Acute Severe Cholestatic Hepatitis.&lt;/Field&gt;&lt;Field id=&quot;Translator&quot;&gt;&lt;/Field&gt;&lt;Field id=&quot;Type&quot;&gt;{041D4F77-279E-4405-0002-4388361B9CFF}&lt;/Field&gt;&lt;Field id=&quot;Version&quot;&gt;&lt;/Field&gt;&lt;Field id=&quot;Vol&quot;&gt;50&lt;/Field&gt;&lt;Field id=&quot;Factor&quot;&gt;3.0&lt;/Field&gt;&lt;Field id=&quot;Author2&quot;&gt;Wu,M;Zhang,H;Huang,Y;&lt;/Field&gt;&lt;/Data&gt;&lt;Ref&gt;&lt;Display&gt;&lt;Text StringText=&quot;「RefIndex」&quot; StringTextOri=&quot;「RefIndex」&quot;/&gt;&lt;/Display&gt;&lt;/Ref&gt;&lt;Doc&gt;&lt;Display&gt;&lt;Text StringText=&quot;Wu M, Zhang H, Huang Y, et al.&quot; StringGroup=&quot;Author&quot;/&gt;&lt;Text StringText=&quot; &quot; StringGroup=&quot;Author&quot;/&gt;&lt;Text StringText=&quot;Efficiency of Double Plasma Molecular Absorption System on the Acute Severe Cholestatic Hepatitis&quot; StringGroup=&quot;Title&quot;/&gt;&lt;Text StringText=&quot;. &quot; StringGroup=&quot;Title&quot;/&gt;&lt;Text StringText=&quot;Blood Purif&quot; StringGroup=&quot;Magazine&quot;/&gt;&lt;Text StringText=&quot;. &quot; StringGroup=&quot;Magazine&quot;/&gt;&lt;Text StringText=&quot;2021&quot; StringGroup=&quot;PubYear&quot;/&gt;&lt;Text StringText=&quot;; &quot; StringGroup=&quot;PubYear&quot;/&gt;&lt;Text StringText=&quot;50&quot; StringGroup=&quot;Vol&quot;/&gt;&lt;Text StringText=&quot;(&quot; StringGroup=&quot;Issue&quot;/&gt;&lt;Text StringText=&quot;6&quot; StringGroup=&quot;Issue&quot;/&gt;&lt;Text StringText=&quot;)&quot; StringGroup=&quot;Issue&quot;/&gt;&lt;Text StringText=&quot;:&quot; StringGroup=&quot;PageNum&quot;/&gt;&lt;Text StringText=&quot;876-82&quot; StringGroup=&quot;PageNum&quot;/&gt;&lt;Text StringText=&quot;. &quot; StringGroup=&quot;PageNum&quot;/&gt;&lt;Text StringText=&quot;http://&quot; StringGroup=&quot;DOI&quot;/&gt;&lt;Text StringText=&quot;10.1159/000513161&quot; StringGroup=&quot;DOI&quot;/&gt;&lt;/Display&gt;&lt;/Doc&gt;&lt;/KyMRNote&gt;"/>
    <w:docVar w:name="KY.MR.DATA{93EBA3E8-6F3A-4856-9B16-47EAA13064B5}470" w:val="&lt;KyMRNote&gt;&lt;Data&gt;&lt;Field id=&quot;AccessNum&quot;&gt;&lt;/Field&gt;&lt;Field id=&quot;Author&quot; FirstData=&quot;1&quot; FirstStyle=&quot;393216&quot; OtherStyle=&quot;0&quot;&gt;Li LL;Yan GS;Wu CC;Jiang SL;Wang MT;Meng S&lt;/Field&gt;&lt;Field id=&quot;AuthorTrans&quot;&gt;&lt;/Field&gt;&lt;Field id=&quot;DOI&quot;&gt;10.3969/j.issn.1008-9691.2020.01.029&lt;/Field&gt;&lt;Field id=&quot;Editor&quot;&gt;&lt;/Field&gt;&lt;Field id=&quot;FmtTitle&quot;&gt;&lt;/Field&gt;&lt;Field id=&quot;FullAuthor&quot;&gt;&lt;/Field&gt;&lt;Field id=&quot;ISSN&quot;&gt;1008-9691&lt;/Field&gt;&lt;Field id=&quot;Issue&quot;&gt;1&lt;/Field&gt;&lt;Field id=&quot;LIID&quot;&gt;470&lt;/Field&gt;&lt;Field id=&quot;Magazine&quot;&gt;Zhongguo Zhong Xi Yi Jie He Za Zhi&lt;/Field&gt;&lt;Field id=&quot;MagazineAB&quot;&gt;&lt;/Field&gt;&lt;Field id=&quot;MagazineTrans&quot;&gt;&lt;/Field&gt;&lt;Field id=&quot;PageNum&quot;&gt;106-109&lt;/Field&gt;&lt;Field id=&quot;PubDate&quot;&gt;&lt;/Field&gt;&lt;Field id=&quot;PubPlace&quot;&gt;其他&lt;/Field&gt;&lt;Field id=&quot;PubPlaceTrans&quot;&gt;&lt;/Field&gt;&lt;Field id=&quot;PubYear&quot;&gt;2020&lt;/Field&gt;&lt;Field id=&quot;Publisher&quot;&gt;中国中西医结合学会中国中西医结合学会 中国中医科学院中国中医科学院 天津市第一中心医院天津市第一中心医院 天津中医药大学天津中医药大学&lt;/Field&gt;&lt;Field id=&quot;PublisherTrans&quot;&gt;&lt;/Field&gt;&lt;Field id=&quot;TITrans&quot;&gt;&lt;/Field&gt;&lt;Field id=&quot;Title&quot;&gt;Comparison of clinical effects between plasma exchange and double plasma molecular adsorption system for treatment of patients with liver failure&lt;/Field&gt;&lt;Field id=&quot;Translator&quot;&gt;&lt;/Field&gt;&lt;Field id=&quot;Type&quot;&gt;{041D4F77-279E-4405-0002-4388361B9CFF}&lt;/Field&gt;&lt;Field id=&quot;Version&quot;&gt;&lt;/Field&gt;&lt;Field id=&quot;Vol&quot;&gt;27&lt;/Field&gt;&lt;Field id=&quot;Factor&quot;/&gt;&lt;Field id=&quot;Author2&quot;&gt;Li,LL;Yan,GS;Wu,CC;&lt;/Field&gt;&lt;/Data&gt;&lt;Ref&gt;&lt;Display&gt;&lt;Text StringText=&quot;「RefIndex」&quot; StringTextOri=&quot;「RefIndex」&quot;/&gt;&lt;/Display&gt;&lt;/Ref&gt;&lt;Doc&gt;&lt;Display&gt;&lt;Text StringText=&quot;Li LL, Yan GS, Wu CC, et al.&quot; StringGroup=&quot;Author&quot;/&gt;&lt;Text StringText=&quot; &quot; StringGroup=&quot;Author&quot;/&gt;&lt;Text StringText=&quot;Comparison of clinical effects between plasma exchange and double plasma molecular adsorption system for treatment of patients with liver failure&quot; StringGroup=&quot;Title&quot;/&gt;&lt;Text StringText=&quot;. &quot; StringGroup=&quot;Title&quot;/&gt;&lt;Text StringText=&quot;Zhongguo Zhong Xi Yi Jie He Za Zhi&quot; StringGroup=&quot;Magazine&quot;/&gt;&lt;Text StringText=&quot;. &quot; StringGroup=&quot;Magazine&quot;/&gt;&lt;Text StringText=&quot;2020&quot; StringGroup=&quot;PubYear&quot;/&gt;&lt;Text StringText=&quot;; &quot; StringGroup=&quot;PubYear&quot;/&gt;&lt;Text StringText=&quot;27&quot; StringGroup=&quot;Vol&quot;/&gt;&lt;Text StringText=&quot;(&quot; StringGroup=&quot;Issue&quot;/&gt;&lt;Text StringText=&quot;1&quot; StringGroup=&quot;Issue&quot;/&gt;&lt;Text StringText=&quot;)&quot; StringGroup=&quot;Issue&quot;/&gt;&lt;Text StringText=&quot;:&quot; StringGroup=&quot;PageNum&quot;/&gt;&lt;Text StringText=&quot;106-9&quot; StringGroup=&quot;PageNum&quot;/&gt;&lt;Text StringText=&quot;. &quot; StringGroup=&quot;PageNum&quot;/&gt;&lt;Text StringText=&quot;http://&quot; StringGroup=&quot;DOI&quot;/&gt;&lt;Text StringText=&quot;10.3969/j.issn.1008-9691.2020.01.029&quot; StringGroup=&quot;DOI&quot;/&gt;&lt;/Display&gt;&lt;/Doc&gt;&lt;/KyMRNote&gt;"/>
    <w:docVar w:name="KY.MR.DATA{93EBA3E8-6F3A-4856-9B16-47EAA13064B5}471" w:val="&lt;KyMRNote&gt;&lt;Data&gt;&lt;Field id=&quot;AccessNum&quot;&gt;&lt;/Field&gt;&lt;Field id=&quot;Author&quot; FirstData=&quot;1&quot; FirstStyle=&quot;458752&quot; OtherStyle=&quot;0&quot;&gt;Kong M;Li S;Geng H;Zhou L;Xu MM;Liu J;Chen Y&lt;/Field&gt;&lt;Field id=&quot;AuthorTrans&quot;&gt;&lt;/Field&gt;&lt;Field id=&quot;DOI&quot;&gt;10.3969/j.issn.1006-7795.2021.04.022&lt;/Field&gt;&lt;Field id=&quot;Editor&quot;&gt;&lt;/Field&gt;&lt;Field id=&quot;FmtTitle&quot;&gt;&lt;/Field&gt;&lt;Field id=&quot;FullAuthor&quot;&gt;&lt;/Field&gt;&lt;Field id=&quot;ISSN&quot;&gt;1006-7795&lt;/Field&gt;&lt;Field id=&quot;Issue&quot;&gt;4&lt;/Field&gt;&lt;Field id=&quot;LIID&quot;&gt;471&lt;/Field&gt;&lt;Field id=&quot;Magazine&quot;&gt;Shou Du Yi Ke Da Xue Xue Bao&lt;/Field&gt;&lt;Field id=&quot;MagazineAB&quot;&gt;&lt;/Field&gt;&lt;Field id=&quot;MagazineTrans&quot;&gt;&lt;/Field&gt;&lt;Field id=&quot;PageNum&quot;&gt;647-652&lt;/Field&gt;&lt;Field id=&quot;PubDate&quot;&gt;&lt;/Field&gt;&lt;Field id=&quot;PubPlace&quot;&gt;北京市&lt;/Field&gt;&lt;Field id=&quot;PubPlaceTrans&quot;&gt;&lt;/Field&gt;&lt;Field id=&quot;PubYear&quot;&gt;2021&lt;/Field&gt;&lt;Field id=&quot;Publisher&quot;&gt;首都医科大学 &lt;/Field&gt;&lt;Field id=&quot;PublisherTrans&quot;&gt;&lt;/Field&gt;&lt;Field id=&quot;TITrans&quot;&gt;&lt;/Field&gt;&lt;Field id=&quot;Title&quot;&gt;Influencing factors of heparin anticoagulant effect in the treatment of double plasma molecular adsorption system&lt;/Field&gt;&lt;Field id=&quot;Translator&quot;&gt;&lt;/Field&gt;&lt;Field id=&quot;Type&quot;&gt;{041D4F77-279E-4405-0002-4388361B9CFF}&lt;/Field&gt;&lt;Field id=&quot;Version&quot;&gt;&lt;/Field&gt;&lt;Field id=&quot;Vol&quot;&gt;42&lt;/Field&gt;&lt;Field id=&quot;Factor&quot;/&gt;&lt;Field id=&quot;Author2&quot;&gt;Kong,M;Li,S;Geng,H;&lt;/Field&gt;&lt;/Data&gt;&lt;Ref&gt;&lt;Display&gt;&lt;Text StringText=&quot;「RefIndex」&quot; StringTextOri=&quot;「RefIndex」&quot;/&gt;&lt;/Display&gt;&lt;/Ref&gt;&lt;Doc&gt;&lt;Display&gt;&lt;Text StringText=&quot;Kong M, Li S, Geng H, et al.&quot; StringGroup=&quot;Author&quot;/&gt;&lt;Text StringText=&quot; &quot; StringGroup=&quot;Author&quot;/&gt;&lt;Text StringText=&quot;Influencing factors of heparin anticoagulant effect in the treatment of double plasma molecular adsorption system&quot; StringGroup=&quot;Title&quot;/&gt;&lt;Text StringText=&quot;. &quot; StringGroup=&quot;Title&quot;/&gt;&lt;Text StringText=&quot;Shou Du Yi Ke Da Xue Xue Bao&quot; StringGroup=&quot;Magazine&quot;/&gt;&lt;Text StringText=&quot;. &quot; StringGroup=&quot;Magazine&quot;/&gt;&lt;Text StringText=&quot;2021&quot; StringGroup=&quot;PubYear&quot;/&gt;&lt;Text StringText=&quot;; &quot; StringGroup=&quot;PubYear&quot;/&gt;&lt;Text StringText=&quot;42&quot; StringGroup=&quot;Vol&quot;/&gt;&lt;Text StringText=&quot;(&quot; StringGroup=&quot;Issue&quot;/&gt;&lt;Text StringText=&quot;4&quot; StringGroup=&quot;Issue&quot;/&gt;&lt;Text StringText=&quot;)&quot; StringGroup=&quot;Issue&quot;/&gt;&lt;Text StringText=&quot;:&quot; StringGroup=&quot;PageNum&quot;/&gt;&lt;Text StringText=&quot;647-52&quot; StringGroup=&quot;PageNum&quot;/&gt;&lt;Text StringText=&quot;. &quot; StringGroup=&quot;PageNum&quot;/&gt;&lt;Text StringText=&quot;http://&quot; StringGroup=&quot;DOI&quot;/&gt;&lt;Text StringText=&quot;10.3969/j.issn.1006-7795.2021.04.022&quot; StringGroup=&quot;DOI&quot;/&gt;&lt;/Display&gt;&lt;/Doc&gt;&lt;/KyMRNote&gt;"/>
    <w:docVar w:name="KY.MR.DATA{93EBA3E8-6F3A-4856-9B16-47EAA13064B5}472" w:val="&lt;KyMRNote&gt;&lt;Data&gt;&lt;Field id=&quot;AccessNum&quot;&gt;&lt;/Field&gt;&lt;Field id=&quot;Author&quot; FirstData=&quot;1&quot; FirstStyle=&quot;393216&quot; OtherStyle=&quot;0&quot;&gt;Xu HM;Zhang JF; Dong J;Song HY;Chen ZL;Liu LW;Pan JJ;Liu B;Chen X;Lv RD&lt;/Field&gt;&lt;Field id=&quot;AuthorTrans&quot;&gt;&lt;/Field&gt;&lt;Field id=&quot;DOI&quot;&gt;10.3969/j.issn.1006-5725.2020.01.022&lt;/Field&gt;&lt;Field id=&quot;Editor&quot;&gt;&lt;/Field&gt;&lt;Field id=&quot;FmtTitle&quot;&gt;&amp;lt;u&amp;gt;&amp;lt;font color=&quot;#0066cc&quot;&amp;gt;Effects of double plasma molecular adsorption system combined with glucocorticoids therapy on acute-on-chronic liver failure&amp;lt;/font&amp;gt;&amp;lt;/u&amp;gt;&lt;/Field&gt;&lt;Field id=&quot;FullAuthor&quot;&gt;&lt;/Field&gt;&lt;Field id=&quot;ISSN&quot;&gt;1006-5725&lt;/Field&gt;&lt;Field id=&quot;Issue&quot;&gt;1&lt;/Field&gt;&lt;Field id=&quot;LIID&quot;&gt;472&lt;/Field&gt;&lt;Field id=&quot;Magazine&quot;&gt;Shi Yong Yi Xue Za Zhi&lt;/Field&gt;&lt;Field id=&quot;MagazineAB&quot;&gt;&lt;/Field&gt;&lt;Field id=&quot;MagazineTrans&quot;&gt;&lt;/Field&gt;&lt;Field id=&quot;PageNum&quot;&gt;115-120&lt;/Field&gt;&lt;Field id=&quot;PubDate&quot;&gt;&lt;/Field&gt;&lt;Field id=&quot;PubPlace&quot;&gt;广东省广州市&lt;/Field&gt;&lt;Field id=&quot;PubPlaceTrans&quot;&gt;&lt;/Field&gt;&lt;Field id=&quot;PubYear&quot;&gt;2020&lt;/Field&gt;&lt;Field id=&quot;Publisher&quot;&gt;广东省医学情报研究所 &lt;/Field&gt;&lt;Field id=&quot;PublisherTrans&quot;&gt;&lt;/Field&gt;&lt;Field id=&quot;TITrans&quot;&gt;&lt;/Field&gt;&lt;Field id=&quot;Title&quot;&gt;Effects of double plasma molecular adsorption system combined with glucocorticoids therapy on acute-on-chronic liver failure&lt;/Field&gt;&lt;Field id=&quot;Translator&quot;&gt;&lt;/Field&gt;&lt;Field id=&quot;Type&quot;&gt;{041D4F77-279E-4405-0002-4388361B9CFF}&lt;/Field&gt;&lt;Field id=&quot;Version&quot;&gt;&lt;/Field&gt;&lt;Field id=&quot;Vol&quot;&gt;36&lt;/Field&gt;&lt;Field id=&quot;Factor&quot;/&gt;&lt;Field id=&quot;Author2&quot;&gt;Xu,HM;Zhang,JF;Dong,J;&lt;/Field&gt;&lt;/Data&gt;&lt;Ref&gt;&lt;Display&gt;&lt;Text StringText=&quot;「RefIndex」&quot; StringTextOri=&quot;「RefIndex」&quot;/&gt;&lt;/Display&gt;&lt;/Ref&gt;&lt;Doc&gt;&lt;Display&gt;&lt;Text StringText=&quot;Xu HM, Zhang JF, Dong J, et al.&quot; StringGroup=&quot;Author&quot;/&gt;&lt;Text StringText=&quot; &quot; StringGroup=&quot;Author&quot;/&gt;&lt;Text StringText=&quot;Effects of double plasma molecular adsorption system combined with glucocorticoids therapy on acute-on-chronic liver failure&quot; StringGroup=&quot;Title&quot;/&gt;&lt;Text StringText=&quot;. &quot; StringGroup=&quot;Title&quot;/&gt;&lt;Text StringText=&quot;Shi Yong Yi Xue Za Zhi&quot; StringGroup=&quot;Magazine&quot;/&gt;&lt;Text StringText=&quot;. &quot; StringGroup=&quot;Magazine&quot;/&gt;&lt;Text StringText=&quot;2020&quot; StringGroup=&quot;PubYear&quot;/&gt;&lt;Text StringText=&quot;; &quot; StringGroup=&quot;PubYear&quot;/&gt;&lt;Text StringText=&quot;36&quot; StringGroup=&quot;Vol&quot;/&gt;&lt;Text StringText=&quot;(&quot; StringGroup=&quot;Issue&quot;/&gt;&lt;Text StringText=&quot;1&quot; StringGroup=&quot;Issue&quot;/&gt;&lt;Text StringText=&quot;)&quot; StringGroup=&quot;Issue&quot;/&gt;&lt;Text StringText=&quot;:&quot; StringGroup=&quot;PageNum&quot;/&gt;&lt;Text StringText=&quot;115-20&quot; StringGroup=&quot;PageNum&quot;/&gt;&lt;Text StringText=&quot;. &quot; StringGroup=&quot;PageNum&quot;/&gt;&lt;Text StringText=&quot;http://&quot; StringGroup=&quot;DOI&quot;/&gt;&lt;Text StringText=&quot;10.3969/j.issn.1006-5725.2020.01.022&quot; StringGroup=&quot;DOI&quot;/&gt;&lt;/Display&gt;&lt;/Doc&gt;&lt;/KyMRNote&gt;"/>
    <w:docVar w:name="KY.MR.DATA{93EBA3E8-6F3A-4856-9B16-47EAA13064B5}473" w:val="&lt;KyMRNote&gt;&lt;Data&gt;&lt;Field id=&quot;AccessNum&quot;&gt;&lt;/Field&gt;&lt;Field id=&quot;Author&quot; FirstData=&quot;1&quot; FirstStyle=&quot;393216&quot; OtherStyle=&quot;0&quot;&gt;Wei M;Peng H;Xiong TT;Du ZC;Luo XH&lt;/Field&gt;&lt;Field id=&quot;AuthorTrans&quot;&gt;&lt;/Field&gt;&lt;Field id=&quot;DOI&quot;&gt;10.3969/j.issn.2095-4344.1655&lt;/Field&gt;&lt;Field id=&quot;Editor&quot;&gt;&lt;/Field&gt;&lt;Field id=&quot;FmtTitle&quot;&gt;&amp;lt;h3 style='margin: 0px; padding: 0px; color: rgb(153, 153, 153); text-transform: none; line-height: 26px; text-indent: 0px; letter-spacing: normal; font-family: &quot;microsoft yahei&quot;; font-size: 12px; font-style: normal; font-weight: 400; word-spacing: 0px; white-space: normal; orphans: 2; widows: 2; background-color: rgb(255, 255, 255); font-variant-ligatures: normal; font-variant-caps: normal; -webkit-text-stroke-width: 0px; text-decoration-style: initial; text-decoration-color: initial;'&amp;gt;Double plasma molecular adsorption combined with plasma exchange versus simple plasma exchange for the treatment of liver failure&amp;lt;/h3&amp;gt;&lt;/Field&gt;&lt;Field id=&quot;FullAuthor&quot;&gt;&lt;/Field&gt;&lt;Field id=&quot;ISSN&quot;&gt;2095-4344&lt;/Field&gt;&lt;Field id=&quot;Issue&quot;&gt;14&lt;/Field&gt;&lt;Field id=&quot;LIID&quot;&gt;473&lt;/Field&gt;&lt;Field id=&quot;Magazine&quot;&gt;Zhongguo Zu Zhi Gong Cheng Yan Jiu&lt;/Field&gt;&lt;Field id=&quot;MagazineAB&quot;&gt;&lt;/Field&gt;&lt;Field id=&quot;MagazineTrans&quot;&gt;&lt;/Field&gt;&lt;Field id=&quot;PageNum&quot;&gt;2235-2240&lt;/Field&gt;&lt;Field id=&quot;PubDate&quot;&gt;&lt;/Field&gt;&lt;Field id=&quot;PubPlace&quot;&gt;辽宁省沈阳市&lt;/Field&gt;&lt;Field id=&quot;PubPlaceTrans&quot;&gt;&lt;/Field&gt;&lt;Field id=&quot;PubYear&quot;&gt;2019&lt;/Field&gt;&lt;Field id=&quot;Publisher&quot;&gt;中国康复医学会《中国组织工程研究》杂志社 &lt;/Field&gt;&lt;Field id=&quot;PublisherTrans&quot;&gt;&lt;/Field&gt;&lt;Field id=&quot;TITrans&quot;&gt;&lt;/Field&gt;&lt;Field id=&quot;Title&quot;&gt;Double plasma molecular adsorption combined with plasma exchange versus simple plasma exchange for the treatment of liver failure&lt;/Field&gt;&lt;Field id=&quot;Translator&quot;&gt;&lt;/Field&gt;&lt;Field id=&quot;Type&quot;&gt;{041D4F77-279E-4405-0002-4388361B9CFF}&lt;/Field&gt;&lt;Field id=&quot;Version&quot;&gt;&lt;/Field&gt;&lt;Field id=&quot;Vol&quot;&gt;23&lt;/Field&gt;&lt;Field id=&quot;Factor&quot;/&gt;&lt;Field id=&quot;Author2&quot;&gt;Wei,M;Peng,H;Xiong,TT;&lt;/Field&gt;&lt;/Data&gt;&lt;Ref&gt;&lt;Display&gt;&lt;Text StringText=&quot;「RefIndex」&quot; StringTextOri=&quot;「RefIndex」&quot;/&gt;&lt;/Display&gt;&lt;/Ref&gt;&lt;Doc&gt;&lt;Display&gt;&lt;Text StringText=&quot;Wei M, Peng H, Xiong TT, et al.&quot; StringGroup=&quot;Author&quot;/&gt;&lt;Text StringText=&quot; &quot; StringGroup=&quot;Author&quot;/&gt;&lt;Text StringText=&quot;Double plasma molecular adsorption combined with plasma exchange versus simple plasma exchange for the treatment of liver failure&quot; StringGroup=&quot;Title&quot;/&gt;&lt;Text StringText=&quot;. &quot; StringGroup=&quot;Title&quot;/&gt;&lt;Text StringText=&quot;Zhongguo Zu Zhi Gong Cheng Yan Jiu&quot; StringGroup=&quot;Magazine&quot;/&gt;&lt;Text StringText=&quot;. &quot; StringGroup=&quot;Magazine&quot;/&gt;&lt;Text StringText=&quot;2019&quot; StringGroup=&quot;PubYear&quot;/&gt;&lt;Text StringText=&quot;; &quot; StringGroup=&quot;PubYear&quot;/&gt;&lt;Text StringText=&quot;23&quot; StringGroup=&quot;Vol&quot;/&gt;&lt;Text StringText=&quot;(&quot; StringGroup=&quot;Issue&quot;/&gt;&lt;Text StringText=&quot;14&quot; StringGroup=&quot;Issue&quot;/&gt;&lt;Text StringText=&quot;)&quot; StringGroup=&quot;Issue&quot;/&gt;&lt;Text StringText=&quot;:&quot; StringGroup=&quot;PageNum&quot;/&gt;&lt;Text StringText=&quot;2235-40&quot; StringGroup=&quot;PageNum&quot;/&gt;&lt;Text StringText=&quot;. &quot; StringGroup=&quot;PageNum&quot;/&gt;&lt;Text StringText=&quot;http://&quot; StringGroup=&quot;DOI&quot;/&gt;&lt;Text StringText=&quot;10.3969/j.issn.2095-4344.1655&quot; StringGroup=&quot;DOI&quot;/&gt;&lt;/Display&gt;&lt;/Doc&gt;&lt;/KyMRNote&gt;"/>
    <w:docVar w:name="KY.MR.DATA{93EBA3E8-6F3A-4856-9B16-47EAA13064B5}474" w:val="&lt;KyMRNote&gt;&lt;Data&gt;&lt;Field id=&quot;AccessNum&quot;&gt;&lt;/Field&gt;&lt;Field id=&quot;Author&quot; FirstData=&quot;1&quot; FirstStyle=&quot;524288&quot; OtherStyle=&quot;0&quot;&gt;Jiang Y;Wang HZ;Deng CL;Liu B;Xiu LR&lt;/Field&gt;&lt;Field id=&quot;AuthorTrans&quot;&gt;&lt;/Field&gt;&lt;Field id=&quot;DOI&quot;&gt;10.13406/j.cnki.cyxb.002624&lt;/Field&gt;&lt;Field id=&quot;Editor&quot;&gt;&lt;/Field&gt;&lt;Field id=&quot;FmtTitle&quot;&gt;&lt;/Field&gt;&lt;Field id=&quot;FullAuthor&quot;&gt;&lt;/Field&gt;&lt;Field id=&quot;ISSN&quot;&gt;0253-3626&lt;/Field&gt;&lt;Field id=&quot;Issue&quot;&gt;10&lt;/Field&gt;&lt;Field id=&quot;LIID&quot;&gt;474&lt;/Field&gt;&lt;Field id=&quot;Magazine&quot;&gt;Chongqing Yike Daxue Xuebao&lt;/Field&gt;&lt;Field id=&quot;MagazineAB&quot;&gt;&lt;/Field&gt;&lt;Field id=&quot;MagazineTrans&quot;&gt;&lt;/Field&gt;&lt;Field id=&quot;PageNum&quot;&gt;1201-1205&lt;/Field&gt;&lt;Field id=&quot;PubDate&quot;&gt;&lt;/Field&gt;&lt;Field id=&quot;PubPlace&quot;&gt;其他&lt;/Field&gt;&lt;Field id=&quot;PubPlaceTrans&quot;&gt;&lt;/Field&gt;&lt;Field id=&quot;PubYear&quot;&gt;2021&lt;/Field&gt;&lt;Field id=&quot;Publisher&quot;&gt;重庆医科大学 &lt;/Field&gt;&lt;Field id=&quot;PublisherTrans&quot;&gt;&lt;/Field&gt;&lt;Field id=&quot;TITrans&quot;&gt;&lt;/Field&gt;&lt;Field id=&quot;Title&quot;&gt;Guiding significance of model for end-stage liver disease score on choosing artificial liver in patients with HBV-related liver failure&lt;/Field&gt;&lt;Field id=&quot;Translator&quot;&gt;&lt;/Field&gt;&lt;Field id=&quot;Type&quot;&gt;{041D4F77-279E-4405-0002-4388361B9CFF}&lt;/Field&gt;&lt;Field id=&quot;Version&quot;&gt;&lt;/Field&gt;&lt;Field id=&quot;Vol&quot;&gt;46&lt;/Field&gt;&lt;Field id=&quot;Factor&quot;/&gt;&lt;Field id=&quot;Author2&quot;&gt;Jiang,Y;Wang,HZ;Deng,CL;&lt;/Field&gt;&lt;/Data&gt;&lt;Ref&gt;&lt;Display&gt;&lt;Text StringText=&quot;「RefIndex」&quot; StringTextOri=&quot;「RefIndex」&quot;/&gt;&lt;/Display&gt;&lt;/Ref&gt;&lt;Doc&gt;&lt;Display&gt;&lt;Text StringText=&quot;Jiang Y, Wang HZ, Deng CL, et al.&quot; StringGroup=&quot;Author&quot;/&gt;&lt;Text StringText=&quot; &quot; StringGroup=&quot;Author&quot;/&gt;&lt;Text StringText=&quot;Guiding significance of model for end-stage liver disease score on choosing artificial liver in patients with HBV-related liver failure&quot; StringGroup=&quot;Title&quot;/&gt;&lt;Text StringText=&quot;. &quot; StringGroup=&quot;Title&quot;/&gt;&lt;Text StringText=&quot;Chongqing Yike Daxue Xuebao&quot; StringGroup=&quot;Magazine&quot;/&gt;&lt;Text StringText=&quot;. &quot; StringGroup=&quot;Magazine&quot;/&gt;&lt;Text StringText=&quot;2021&quot; StringGroup=&quot;PubYear&quot;/&gt;&lt;Text StringText=&quot;; &quot; StringGroup=&quot;PubYear&quot;/&gt;&lt;Text StringText=&quot;46&quot; StringGroup=&quot;Vol&quot;/&gt;&lt;Text StringText=&quot;(&quot; StringGroup=&quot;Issue&quot;/&gt;&lt;Text StringText=&quot;10&quot; StringGroup=&quot;Issue&quot;/&gt;&lt;Text StringText=&quot;)&quot; StringGroup=&quot;Issue&quot;/&gt;&lt;Text StringText=&quot;:&quot; StringGroup=&quot;PageNum&quot;/&gt;&lt;Text StringText=&quot;1201-5&quot; StringGroup=&quot;PageNum&quot;/&gt;&lt;Text StringText=&quot;. &quot; StringGroup=&quot;PageNum&quot;/&gt;&lt;Text StringText=&quot;http://&quot; StringGroup=&quot;DOI&quot;/&gt;&lt;Text StringText=&quot;10.13406/j.cnki.cyxb.002624&quot; StringGroup=&quot;DOI&quot;/&gt;&lt;/Display&gt;&lt;/Doc&gt;&lt;/KyMRNote&gt;"/>
    <w:docVar w:name="KY_MEDREF_CITTEMPLATE" w:val="{5CE7407E-9BC7-4E96-A52E-DDB7CA59DB87}"/>
    <w:docVar w:name="KY_MEDREF_DOCUID" w:val="{F8578B8E-C5E6-4C27-8537-3976DDDB4021}"/>
    <w:docVar w:name="KY_MEDREF_VERSION" w:val="3"/>
  </w:docVars>
  <w:rsids>
    <w:rsidRoot w:val="00000000"/>
    <w:rsid w:val="04E21F83"/>
    <w:rsid w:val="0EB61AAE"/>
    <w:rsid w:val="186E080A"/>
    <w:rsid w:val="3B6A52EE"/>
    <w:rsid w:val="418A4550"/>
    <w:rsid w:val="462A58E6"/>
    <w:rsid w:val="4D016870"/>
    <w:rsid w:val="4DC40DEA"/>
    <w:rsid w:val="58403763"/>
    <w:rsid w:val="60A14BC2"/>
    <w:rsid w:val="685F19E3"/>
    <w:rsid w:val="6BB34520"/>
    <w:rsid w:val="7A897894"/>
    <w:rsid w:val="7C1A7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519</Words>
  <Characters>2889</Characters>
  <Lines>0</Lines>
  <Paragraphs>0</Paragraphs>
  <TotalTime>0</TotalTime>
  <ScaleCrop>false</ScaleCrop>
  <LinksUpToDate>false</LinksUpToDate>
  <CharactersWithSpaces>3196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2024-01-20T14:24:00Z</dcterms:created>
  <dc:creator>Maxe</dc:creator>
  <cp:lastModifiedBy>作者</cp:lastModifiedBy>
  <dcterms:modified xsi:type="dcterms:W3CDTF">2025-02-16T16:02:07Z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E140850D671444A993688FE6FEB9B193_12</vt:lpwstr>
  </property>
  <property fmtid="{D5CDD505-2E9C-101B-9397-08002B2CF9AE}" pid="4" name="KSOTemplateDocerSaveRecord">
    <vt:lpwstr>eyJoZGlkIjoiODViY2JkMjU3NGYzZTEwMzZmMGFkZWViYmNkYWU3NDIiLCJ1c2VySWQiOiI2ODk0ODkyIn0=</vt:lpwstr>
  </property>
</Properties>
</file>