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CD041" w14:textId="5CE7D46D" w:rsidR="00BF6753" w:rsidRPr="00200AF2" w:rsidRDefault="00BF6753" w:rsidP="00BF6753">
      <w:pPr>
        <w:pStyle w:val="Caption"/>
        <w:keepNext/>
        <w:bidi w:val="0"/>
        <w:spacing w:line="360" w:lineRule="auto"/>
        <w:rPr>
          <w:rFonts w:eastAsia="Times New Roman"/>
          <w:i w:val="0"/>
          <w:iCs w:val="0"/>
          <w:snapToGrid w:val="0"/>
          <w:color w:val="000000"/>
          <w:sz w:val="20"/>
          <w:szCs w:val="22"/>
          <w:lang w:eastAsia="de-DE" w:bidi="en-US"/>
        </w:rPr>
      </w:pPr>
      <w:bookmarkStart w:id="0" w:name="_Hlk180135779"/>
      <w:bookmarkStart w:id="1" w:name="_GoBack"/>
      <w:r w:rsidRPr="00200AF2">
        <w:rPr>
          <w:rFonts w:eastAsia="Times New Roman"/>
          <w:i w:val="0"/>
          <w:iCs w:val="0"/>
          <w:snapToGrid w:val="0"/>
          <w:color w:val="000000"/>
          <w:sz w:val="20"/>
          <w:szCs w:val="22"/>
          <w:lang w:eastAsia="de-DE" w:bidi="en-US"/>
        </w:rPr>
        <w:t xml:space="preserve">Table </w:t>
      </w:r>
      <w:r w:rsidR="00FC7ACC" w:rsidRPr="00200AF2">
        <w:rPr>
          <w:rFonts w:eastAsia="Times New Roman"/>
          <w:i w:val="0"/>
          <w:iCs w:val="0"/>
          <w:snapToGrid w:val="0"/>
          <w:color w:val="000000"/>
          <w:sz w:val="20"/>
          <w:szCs w:val="22"/>
          <w:lang w:val="en-GB" w:eastAsia="de-DE" w:bidi="ar-EG"/>
        </w:rPr>
        <w:t>s1</w:t>
      </w:r>
      <w:r w:rsidRPr="00200AF2">
        <w:rPr>
          <w:rFonts w:eastAsia="Times New Roman"/>
          <w:i w:val="0"/>
          <w:iCs w:val="0"/>
          <w:snapToGrid w:val="0"/>
          <w:color w:val="000000"/>
          <w:sz w:val="20"/>
          <w:szCs w:val="22"/>
          <w:lang w:eastAsia="de-DE" w:bidi="en-US"/>
        </w:rPr>
        <w:t>: extraction table for the included 11 articles on dietary interventions for pediatric GERD</w:t>
      </w:r>
    </w:p>
    <w:p w14:paraId="39EE2462" w14:textId="77777777" w:rsidR="00BF6753" w:rsidRPr="00200AF2" w:rsidRDefault="00BF6753" w:rsidP="00BF6753">
      <w:pPr>
        <w:pStyle w:val="MDPI22heading2"/>
        <w:spacing w:before="240" w:line="360" w:lineRule="auto"/>
        <w:rPr>
          <w:i w:val="0"/>
          <w:noProof w:val="0"/>
        </w:rPr>
      </w:pPr>
    </w:p>
    <w:tbl>
      <w:tblPr>
        <w:tblStyle w:val="TableGrid"/>
        <w:tblW w:w="0" w:type="auto"/>
        <w:tblInd w:w="-714" w:type="dxa"/>
        <w:tblLook w:val="04A0" w:firstRow="1" w:lastRow="0" w:firstColumn="1" w:lastColumn="0" w:noHBand="0" w:noVBand="1"/>
      </w:tblPr>
      <w:tblGrid>
        <w:gridCol w:w="1570"/>
        <w:gridCol w:w="1491"/>
        <w:gridCol w:w="945"/>
        <w:gridCol w:w="939"/>
        <w:gridCol w:w="1802"/>
        <w:gridCol w:w="1583"/>
        <w:gridCol w:w="1356"/>
        <w:gridCol w:w="1917"/>
        <w:gridCol w:w="2105"/>
        <w:gridCol w:w="2513"/>
        <w:gridCol w:w="1135"/>
        <w:gridCol w:w="1722"/>
        <w:gridCol w:w="2780"/>
      </w:tblGrid>
      <w:tr w:rsidR="00BF6753" w:rsidRPr="00200AF2" w14:paraId="1094899A" w14:textId="77777777" w:rsidTr="00FE432E">
        <w:trPr>
          <w:trHeight w:val="1285"/>
        </w:trPr>
        <w:tc>
          <w:tcPr>
            <w:tcW w:w="0" w:type="auto"/>
            <w:hideMark/>
          </w:tcPr>
          <w:p w14:paraId="7FF6841C" w14:textId="77777777" w:rsidR="00BF6753" w:rsidRPr="00200AF2" w:rsidRDefault="00BF6753" w:rsidP="00BF6753">
            <w:pPr>
              <w:bidi w:val="0"/>
              <w:spacing w:after="160" w:line="360" w:lineRule="auto"/>
              <w:rPr>
                <w:b/>
                <w:bCs/>
              </w:rPr>
            </w:pPr>
            <w:r w:rsidRPr="00200AF2">
              <w:rPr>
                <w:b/>
                <w:bCs/>
              </w:rPr>
              <w:t>Author(s) and Year</w:t>
            </w:r>
          </w:p>
        </w:tc>
        <w:tc>
          <w:tcPr>
            <w:tcW w:w="0" w:type="auto"/>
            <w:hideMark/>
          </w:tcPr>
          <w:p w14:paraId="2F373570" w14:textId="77777777" w:rsidR="00BF6753" w:rsidRPr="00200AF2" w:rsidRDefault="00BF6753" w:rsidP="00BF6753">
            <w:pPr>
              <w:bidi w:val="0"/>
              <w:spacing w:after="160" w:line="360" w:lineRule="auto"/>
              <w:rPr>
                <w:b/>
                <w:bCs/>
              </w:rPr>
            </w:pPr>
            <w:r w:rsidRPr="00200AF2">
              <w:rPr>
                <w:b/>
                <w:bCs/>
              </w:rPr>
              <w:t>Design</w:t>
            </w:r>
          </w:p>
        </w:tc>
        <w:tc>
          <w:tcPr>
            <w:tcW w:w="0" w:type="auto"/>
            <w:hideMark/>
          </w:tcPr>
          <w:p w14:paraId="7409C88D" w14:textId="77777777" w:rsidR="00BF6753" w:rsidRPr="00200AF2" w:rsidRDefault="00BF6753" w:rsidP="00BF6753">
            <w:pPr>
              <w:bidi w:val="0"/>
              <w:spacing w:after="160" w:line="360" w:lineRule="auto"/>
              <w:rPr>
                <w:b/>
                <w:bCs/>
              </w:rPr>
            </w:pPr>
            <w:r w:rsidRPr="00200AF2">
              <w:rPr>
                <w:b/>
                <w:bCs/>
              </w:rPr>
              <w:t>Country</w:t>
            </w:r>
          </w:p>
        </w:tc>
        <w:tc>
          <w:tcPr>
            <w:tcW w:w="0" w:type="auto"/>
            <w:hideMark/>
          </w:tcPr>
          <w:p w14:paraId="365FB246" w14:textId="77777777" w:rsidR="00BF6753" w:rsidRPr="00200AF2" w:rsidRDefault="00BF6753" w:rsidP="00BF6753">
            <w:pPr>
              <w:bidi w:val="0"/>
              <w:spacing w:after="160" w:line="360" w:lineRule="auto"/>
              <w:rPr>
                <w:b/>
                <w:bCs/>
              </w:rPr>
            </w:pPr>
            <w:r w:rsidRPr="00200AF2">
              <w:rPr>
                <w:b/>
                <w:bCs/>
              </w:rPr>
              <w:t>Sample Size</w:t>
            </w:r>
          </w:p>
        </w:tc>
        <w:tc>
          <w:tcPr>
            <w:tcW w:w="0" w:type="auto"/>
            <w:hideMark/>
          </w:tcPr>
          <w:p w14:paraId="1046F462" w14:textId="77777777" w:rsidR="00BF6753" w:rsidRPr="00200AF2" w:rsidRDefault="00BF6753" w:rsidP="00BF6753">
            <w:pPr>
              <w:bidi w:val="0"/>
              <w:spacing w:after="160" w:line="360" w:lineRule="auto"/>
              <w:rPr>
                <w:b/>
                <w:bCs/>
              </w:rPr>
            </w:pPr>
            <w:r w:rsidRPr="00200AF2">
              <w:rPr>
                <w:b/>
                <w:bCs/>
              </w:rPr>
              <w:t>Aim</w:t>
            </w:r>
          </w:p>
        </w:tc>
        <w:tc>
          <w:tcPr>
            <w:tcW w:w="0" w:type="auto"/>
            <w:hideMark/>
          </w:tcPr>
          <w:p w14:paraId="0D1A1BFC" w14:textId="77777777" w:rsidR="00BF6753" w:rsidRPr="00200AF2" w:rsidRDefault="00BF6753" w:rsidP="00BF6753">
            <w:pPr>
              <w:bidi w:val="0"/>
              <w:spacing w:after="160" w:line="360" w:lineRule="auto"/>
              <w:rPr>
                <w:b/>
                <w:bCs/>
              </w:rPr>
            </w:pPr>
            <w:r w:rsidRPr="00200AF2">
              <w:rPr>
                <w:b/>
                <w:bCs/>
              </w:rPr>
              <w:t>Intervention</w:t>
            </w:r>
          </w:p>
        </w:tc>
        <w:tc>
          <w:tcPr>
            <w:tcW w:w="0" w:type="auto"/>
            <w:hideMark/>
          </w:tcPr>
          <w:p w14:paraId="3DB057DB" w14:textId="77777777" w:rsidR="00BF6753" w:rsidRPr="00200AF2" w:rsidRDefault="00BF6753" w:rsidP="00BF6753">
            <w:pPr>
              <w:bidi w:val="0"/>
              <w:spacing w:after="160" w:line="360" w:lineRule="auto"/>
              <w:rPr>
                <w:b/>
                <w:bCs/>
              </w:rPr>
            </w:pPr>
            <w:r w:rsidRPr="00200AF2">
              <w:rPr>
                <w:b/>
                <w:bCs/>
              </w:rPr>
              <w:t>Outcome Measures</w:t>
            </w:r>
          </w:p>
        </w:tc>
        <w:tc>
          <w:tcPr>
            <w:tcW w:w="0" w:type="auto"/>
            <w:hideMark/>
          </w:tcPr>
          <w:p w14:paraId="31274713" w14:textId="77777777" w:rsidR="00BF6753" w:rsidRPr="00200AF2" w:rsidRDefault="00BF6753" w:rsidP="00BF6753">
            <w:pPr>
              <w:bidi w:val="0"/>
              <w:spacing w:after="160" w:line="360" w:lineRule="auto"/>
              <w:rPr>
                <w:b/>
                <w:bCs/>
              </w:rPr>
            </w:pPr>
            <w:r w:rsidRPr="00200AF2">
              <w:rPr>
                <w:b/>
                <w:bCs/>
              </w:rPr>
              <w:t>Main Findings</w:t>
            </w:r>
          </w:p>
        </w:tc>
        <w:tc>
          <w:tcPr>
            <w:tcW w:w="0" w:type="auto"/>
            <w:hideMark/>
          </w:tcPr>
          <w:p w14:paraId="4ADE6790" w14:textId="77777777" w:rsidR="00BF6753" w:rsidRPr="00200AF2" w:rsidRDefault="00BF6753" w:rsidP="00BF6753">
            <w:pPr>
              <w:bidi w:val="0"/>
              <w:spacing w:after="160" w:line="360" w:lineRule="auto"/>
              <w:rPr>
                <w:b/>
                <w:bCs/>
              </w:rPr>
            </w:pPr>
            <w:r w:rsidRPr="00200AF2">
              <w:rPr>
                <w:b/>
                <w:bCs/>
              </w:rPr>
              <w:t>Study Limitations</w:t>
            </w:r>
          </w:p>
        </w:tc>
        <w:tc>
          <w:tcPr>
            <w:tcW w:w="0" w:type="auto"/>
            <w:hideMark/>
          </w:tcPr>
          <w:p w14:paraId="5137D9FA" w14:textId="77777777" w:rsidR="00BF6753" w:rsidRPr="00200AF2" w:rsidRDefault="00BF6753" w:rsidP="00BF6753">
            <w:pPr>
              <w:bidi w:val="0"/>
              <w:spacing w:after="160" w:line="360" w:lineRule="auto"/>
              <w:rPr>
                <w:b/>
                <w:bCs/>
              </w:rPr>
            </w:pPr>
            <w:r w:rsidRPr="00200AF2">
              <w:rPr>
                <w:b/>
                <w:bCs/>
              </w:rPr>
              <w:t>Adherence to Intervention</w:t>
            </w:r>
          </w:p>
        </w:tc>
        <w:tc>
          <w:tcPr>
            <w:tcW w:w="0" w:type="auto"/>
            <w:hideMark/>
          </w:tcPr>
          <w:p w14:paraId="66B21D6A" w14:textId="77777777" w:rsidR="00BF6753" w:rsidRPr="00200AF2" w:rsidRDefault="00BF6753" w:rsidP="00BF6753">
            <w:pPr>
              <w:bidi w:val="0"/>
              <w:spacing w:after="160" w:line="360" w:lineRule="auto"/>
              <w:rPr>
                <w:b/>
                <w:bCs/>
              </w:rPr>
            </w:pPr>
            <w:r w:rsidRPr="00200AF2">
              <w:rPr>
                <w:b/>
                <w:bCs/>
              </w:rPr>
              <w:t>Follow-up Duration</w:t>
            </w:r>
          </w:p>
        </w:tc>
        <w:tc>
          <w:tcPr>
            <w:tcW w:w="0" w:type="auto"/>
            <w:hideMark/>
          </w:tcPr>
          <w:p w14:paraId="5A1F644A" w14:textId="77777777" w:rsidR="00BF6753" w:rsidRPr="00200AF2" w:rsidRDefault="00BF6753" w:rsidP="00BF6753">
            <w:pPr>
              <w:bidi w:val="0"/>
              <w:spacing w:after="160" w:line="360" w:lineRule="auto"/>
              <w:rPr>
                <w:b/>
                <w:bCs/>
              </w:rPr>
            </w:pPr>
            <w:r w:rsidRPr="00200AF2">
              <w:rPr>
                <w:b/>
                <w:bCs/>
              </w:rPr>
              <w:t>Funding Source</w:t>
            </w:r>
          </w:p>
        </w:tc>
        <w:tc>
          <w:tcPr>
            <w:tcW w:w="0" w:type="auto"/>
            <w:hideMark/>
          </w:tcPr>
          <w:p w14:paraId="01576399" w14:textId="77777777" w:rsidR="00BF6753" w:rsidRPr="00200AF2" w:rsidRDefault="00BF6753" w:rsidP="00BF6753">
            <w:pPr>
              <w:bidi w:val="0"/>
              <w:spacing w:after="160" w:line="360" w:lineRule="auto"/>
              <w:rPr>
                <w:b/>
                <w:bCs/>
              </w:rPr>
            </w:pPr>
            <w:r w:rsidRPr="00200AF2">
              <w:rPr>
                <w:b/>
                <w:bCs/>
              </w:rPr>
              <w:t>Key Recommendations</w:t>
            </w:r>
          </w:p>
        </w:tc>
      </w:tr>
      <w:tr w:rsidR="00BF6753" w:rsidRPr="00200AF2" w14:paraId="0A28C1F3" w14:textId="77777777" w:rsidTr="00FE432E">
        <w:trPr>
          <w:trHeight w:val="1788"/>
        </w:trPr>
        <w:tc>
          <w:tcPr>
            <w:tcW w:w="0" w:type="auto"/>
            <w:hideMark/>
          </w:tcPr>
          <w:p w14:paraId="2D6F8215" w14:textId="77777777" w:rsidR="00BF6753" w:rsidRPr="00200AF2" w:rsidRDefault="00BF6753" w:rsidP="00BF6753">
            <w:pPr>
              <w:bidi w:val="0"/>
              <w:spacing w:after="160" w:line="360" w:lineRule="auto"/>
            </w:pPr>
            <w:proofErr w:type="spellStart"/>
            <w:r w:rsidRPr="00200AF2">
              <w:rPr>
                <w:rFonts w:asciiTheme="majorBidi" w:hAnsiTheme="majorBidi" w:cstheme="majorBidi"/>
              </w:rPr>
              <w:t>Famouri</w:t>
            </w:r>
            <w:proofErr w:type="spellEnd"/>
            <w:r w:rsidRPr="00200AF2">
              <w:rPr>
                <w:rFonts w:asciiTheme="majorBidi" w:hAnsiTheme="majorBidi" w:cstheme="majorBidi"/>
              </w:rPr>
              <w:t xml:space="preserve"> et al. (2017)</w:t>
            </w:r>
            <w:r w:rsidRPr="00200AF2">
              <w:rPr>
                <w:rFonts w:asciiTheme="majorBidi" w:hAnsiTheme="majorBidi" w:cstheme="majorBidi"/>
              </w:rPr>
              <w:fldChar w:fldCharType="begin" w:fldLock="1"/>
            </w:r>
            <w:r w:rsidRPr="00200AF2">
              <w:rPr>
                <w:rFonts w:asciiTheme="majorBidi" w:hAnsiTheme="majorBidi" w:cstheme="majorBidi"/>
              </w:rPr>
              <w:instrText>ADDIN CSL_CITATION {"citationItems":[{"id":"ITEM-1","itemData":{"DOI":"10.5812/ijp.5343","ISBN":"2015042714882","ISSN":"20082150","abstract":"Background: Gastroesophageal reflux disease (GERD) is defined as “troublesome symptoms or complications of GER”, and is a multifactorial disorder. This study aimed to compare the treatment outcomes of hypoallergenic diet vs. ranitidine on symptoms of gastroesophageal reflux disease (GERD) in infants. Methods: In this randomized clinical trial, 50 patients aged less than 1 year, who were suspected to have GERD on the basis of IGERQ- R, were enrolled. They were randomly allocated to two groups of equal number, one group received ranitidine and the other hypoallergenic diet for 2 weeks. The frequency of GERD symptoms, including irritability, vomiting, anorexia, respiratory symptoms and arching, were compared between the two groups before and after the trial. Results: After a two-week trial, the frequency of vomiting and respiratory symptoms decreased significantly in both groups (P &lt; 0.05). The frequency of vomiting decreased in 19 (76%) and 19 (76%) of infants in ranitidine and hypoallergenic diet groups, respectively (P = 0.05 between groups). Moreover, the respiratory symptoms improved significantly in both groups (P &lt; 0.05). The frequency of irritability did not decrease significantly in any of the groups (P = 0.18). Conclusions: The current findings suggest that the hypoallergenic diet might have significant effect on GERD symptoms; these effects are comparable with those of ranitidine. Considering the possibility of cow’s milk protein allergy in this group of patients, werecommendthat the treatment of GERDin pediatric population be initiated with hypoallergenic diet and in case of not achieving significant effect, pharmacological treatment be added and applied as a combination therapy.","author":[{"dropping-particle":"","family":"Famouri","given":"Fatemeh","non-dropping-particle":"","parse-names":false,"suffix":""},{"dropping-particle":"","family":"Zibanejad","given":"Nazanin","non-dropping-particle":"","parse-names":false,"suffix":""},{"dropping-particle":"","family":"Kabiri","given":"Payam","non-dropping-particle":"","parse-names":false,"suffix":""},{"dropping-particle":"","family":"Kelishadi","given":"Roya","non-dropping-particle":"","parse-names":false,"suffix":""}],"container-title":"Iranian Journal of Pediatrics","id":"ITEM-1","issue":"4","issued":{"date-parts":[["2017"]]},"page":"2-6","title":"Comparison of hypoallergenic diet vs. ranitidine in treatment of gastroesophageal reflux disease of infants: A randomized clinical trial","type":"article-journal","volume":"27"},"uris":["http://www.mendeley.com/documents/?uuid=c9522202-d975-401b-b209-32581915b13f"]}],"mendeley":{"formattedCitation":"[50]","plainTextFormattedCitation":"[50]","previouslyFormattedCitation":"(Famouri et al., 2017)"},"properties":{"noteIndex":0},"schema":"https://github.com/citation-style-language/schema/raw/master/csl-citation.json"}</w:instrText>
            </w:r>
            <w:r w:rsidRPr="00200AF2">
              <w:rPr>
                <w:rFonts w:asciiTheme="majorBidi" w:hAnsiTheme="majorBidi" w:cstheme="majorBidi"/>
              </w:rPr>
              <w:fldChar w:fldCharType="separate"/>
            </w:r>
            <w:r w:rsidRPr="00200AF2">
              <w:rPr>
                <w:rFonts w:asciiTheme="majorBidi" w:hAnsiTheme="majorBidi" w:cstheme="majorBidi"/>
              </w:rPr>
              <w:t>[50]</w:t>
            </w:r>
            <w:r w:rsidRPr="00200AF2">
              <w:rPr>
                <w:rFonts w:asciiTheme="majorBidi" w:hAnsiTheme="majorBidi" w:cstheme="majorBidi"/>
              </w:rPr>
              <w:fldChar w:fldCharType="end"/>
            </w:r>
          </w:p>
        </w:tc>
        <w:tc>
          <w:tcPr>
            <w:tcW w:w="0" w:type="auto"/>
            <w:hideMark/>
          </w:tcPr>
          <w:p w14:paraId="29DE3A42" w14:textId="77777777" w:rsidR="00BF6753" w:rsidRPr="00200AF2" w:rsidRDefault="00BF6753" w:rsidP="00BF6753">
            <w:pPr>
              <w:bidi w:val="0"/>
              <w:spacing w:after="160" w:line="360" w:lineRule="auto"/>
            </w:pPr>
            <w:r w:rsidRPr="00200AF2">
              <w:t>Randomized Controlled Trial</w:t>
            </w:r>
          </w:p>
        </w:tc>
        <w:tc>
          <w:tcPr>
            <w:tcW w:w="0" w:type="auto"/>
            <w:hideMark/>
          </w:tcPr>
          <w:p w14:paraId="4D6DB0E8" w14:textId="77777777" w:rsidR="00BF6753" w:rsidRPr="00200AF2" w:rsidRDefault="00BF6753" w:rsidP="00BF6753">
            <w:pPr>
              <w:bidi w:val="0"/>
              <w:spacing w:after="160" w:line="360" w:lineRule="auto"/>
            </w:pPr>
            <w:r w:rsidRPr="00200AF2">
              <w:t>Iran</w:t>
            </w:r>
          </w:p>
        </w:tc>
        <w:tc>
          <w:tcPr>
            <w:tcW w:w="0" w:type="auto"/>
            <w:hideMark/>
          </w:tcPr>
          <w:p w14:paraId="04289BF3" w14:textId="77777777" w:rsidR="00BF6753" w:rsidRPr="00200AF2" w:rsidRDefault="00BF6753" w:rsidP="00BF6753">
            <w:pPr>
              <w:bidi w:val="0"/>
              <w:spacing w:after="160" w:line="360" w:lineRule="auto"/>
            </w:pPr>
            <w:r w:rsidRPr="00200AF2">
              <w:t>150</w:t>
            </w:r>
          </w:p>
        </w:tc>
        <w:tc>
          <w:tcPr>
            <w:tcW w:w="0" w:type="auto"/>
            <w:hideMark/>
          </w:tcPr>
          <w:p w14:paraId="24F3650A" w14:textId="77777777" w:rsidR="00BF6753" w:rsidRPr="00200AF2" w:rsidRDefault="00BF6753" w:rsidP="00BF6753">
            <w:pPr>
              <w:bidi w:val="0"/>
              <w:spacing w:after="160" w:line="360" w:lineRule="auto"/>
            </w:pPr>
            <w:r w:rsidRPr="00200AF2">
              <w:t>Assess the effect of dietary intervention on obesity</w:t>
            </w:r>
          </w:p>
        </w:tc>
        <w:tc>
          <w:tcPr>
            <w:tcW w:w="0" w:type="auto"/>
            <w:hideMark/>
          </w:tcPr>
          <w:p w14:paraId="2877E71C" w14:textId="77777777" w:rsidR="00BF6753" w:rsidRPr="00200AF2" w:rsidRDefault="00BF6753" w:rsidP="00BF6753">
            <w:pPr>
              <w:bidi w:val="0"/>
              <w:spacing w:after="160" w:line="360" w:lineRule="auto"/>
            </w:pPr>
            <w:r w:rsidRPr="00200AF2">
              <w:t>Low-fat vs. full-fat dairy diet</w:t>
            </w:r>
          </w:p>
        </w:tc>
        <w:tc>
          <w:tcPr>
            <w:tcW w:w="0" w:type="auto"/>
            <w:hideMark/>
          </w:tcPr>
          <w:p w14:paraId="1AE9D2AC" w14:textId="77777777" w:rsidR="00BF6753" w:rsidRPr="00200AF2" w:rsidRDefault="00BF6753" w:rsidP="00BF6753">
            <w:pPr>
              <w:bidi w:val="0"/>
              <w:spacing w:after="160" w:line="360" w:lineRule="auto"/>
            </w:pPr>
            <w:r w:rsidRPr="00200AF2">
              <w:t>BMI, weight loss</w:t>
            </w:r>
          </w:p>
        </w:tc>
        <w:tc>
          <w:tcPr>
            <w:tcW w:w="0" w:type="auto"/>
            <w:hideMark/>
          </w:tcPr>
          <w:p w14:paraId="1743DE7D" w14:textId="77777777" w:rsidR="00BF6753" w:rsidRPr="00200AF2" w:rsidRDefault="00BF6753" w:rsidP="00BF6753">
            <w:pPr>
              <w:bidi w:val="0"/>
              <w:spacing w:after="160" w:line="360" w:lineRule="auto"/>
            </w:pPr>
            <w:r w:rsidRPr="00200AF2">
              <w:t>Significant weight loss with low-fat diet</w:t>
            </w:r>
          </w:p>
        </w:tc>
        <w:tc>
          <w:tcPr>
            <w:tcW w:w="0" w:type="auto"/>
            <w:hideMark/>
          </w:tcPr>
          <w:p w14:paraId="21BB1843" w14:textId="77777777" w:rsidR="00BF6753" w:rsidRPr="00200AF2" w:rsidRDefault="00BF6753" w:rsidP="00BF6753">
            <w:pPr>
              <w:bidi w:val="0"/>
              <w:spacing w:after="160" w:line="360" w:lineRule="auto"/>
            </w:pPr>
            <w:r w:rsidRPr="00200AF2">
              <w:t>Small sample size for generalization</w:t>
            </w:r>
          </w:p>
        </w:tc>
        <w:tc>
          <w:tcPr>
            <w:tcW w:w="0" w:type="auto"/>
            <w:hideMark/>
          </w:tcPr>
          <w:p w14:paraId="219E7452" w14:textId="77777777" w:rsidR="00BF6753" w:rsidRPr="00200AF2" w:rsidRDefault="00BF6753" w:rsidP="00BF6753">
            <w:pPr>
              <w:bidi w:val="0"/>
              <w:spacing w:after="160" w:line="360" w:lineRule="auto"/>
            </w:pPr>
            <w:r w:rsidRPr="00200AF2">
              <w:t>Moderate adherence with challenges in long-term compliance due to cultural dietary preferences</w:t>
            </w:r>
          </w:p>
        </w:tc>
        <w:tc>
          <w:tcPr>
            <w:tcW w:w="0" w:type="auto"/>
            <w:hideMark/>
          </w:tcPr>
          <w:p w14:paraId="56E1272F" w14:textId="77777777" w:rsidR="00BF6753" w:rsidRPr="00200AF2" w:rsidRDefault="00BF6753" w:rsidP="00BF6753">
            <w:pPr>
              <w:bidi w:val="0"/>
              <w:spacing w:after="160" w:line="360" w:lineRule="auto"/>
            </w:pPr>
            <w:r w:rsidRPr="00200AF2">
              <w:t>6 months</w:t>
            </w:r>
          </w:p>
        </w:tc>
        <w:tc>
          <w:tcPr>
            <w:tcW w:w="0" w:type="auto"/>
            <w:hideMark/>
          </w:tcPr>
          <w:p w14:paraId="16A91529" w14:textId="77777777" w:rsidR="00BF6753" w:rsidRPr="00200AF2" w:rsidRDefault="00BF6753" w:rsidP="00BF6753">
            <w:pPr>
              <w:bidi w:val="0"/>
              <w:spacing w:after="160" w:line="360" w:lineRule="auto"/>
            </w:pPr>
            <w:r w:rsidRPr="00200AF2">
              <w:t>No external funding</w:t>
            </w:r>
          </w:p>
        </w:tc>
        <w:tc>
          <w:tcPr>
            <w:tcW w:w="0" w:type="auto"/>
            <w:hideMark/>
          </w:tcPr>
          <w:p w14:paraId="6F9D8CA0" w14:textId="77777777" w:rsidR="00BF6753" w:rsidRPr="00200AF2" w:rsidRDefault="00BF6753" w:rsidP="00BF6753">
            <w:pPr>
              <w:bidi w:val="0"/>
              <w:spacing w:after="160" w:line="360" w:lineRule="auto"/>
            </w:pPr>
            <w:r w:rsidRPr="00200AF2">
              <w:t>Implement culturally adapted dietary plans for better adherence</w:t>
            </w:r>
          </w:p>
        </w:tc>
      </w:tr>
      <w:tr w:rsidR="00BF6753" w:rsidRPr="00200AF2" w14:paraId="3DEE6F13" w14:textId="77777777" w:rsidTr="00FE432E">
        <w:trPr>
          <w:trHeight w:val="1239"/>
        </w:trPr>
        <w:tc>
          <w:tcPr>
            <w:tcW w:w="0" w:type="auto"/>
            <w:hideMark/>
          </w:tcPr>
          <w:p w14:paraId="58A54970" w14:textId="77777777" w:rsidR="00BF6753" w:rsidRPr="00200AF2" w:rsidRDefault="00BF6753" w:rsidP="00BF6753">
            <w:pPr>
              <w:bidi w:val="0"/>
              <w:spacing w:after="160" w:line="360" w:lineRule="auto"/>
            </w:pPr>
            <w:proofErr w:type="spellStart"/>
            <w:r w:rsidRPr="00200AF2">
              <w:rPr>
                <w:rFonts w:asciiTheme="majorBidi" w:hAnsiTheme="majorBidi" w:cstheme="majorBidi"/>
              </w:rPr>
              <w:t>Zalvan</w:t>
            </w:r>
            <w:proofErr w:type="spellEnd"/>
            <w:r w:rsidRPr="00200AF2">
              <w:rPr>
                <w:rFonts w:asciiTheme="majorBidi" w:hAnsiTheme="majorBidi" w:cstheme="majorBidi"/>
              </w:rPr>
              <w:t xml:space="preserve"> et al. (2017)</w:t>
            </w:r>
            <w:r w:rsidRPr="00200AF2">
              <w:rPr>
                <w:rFonts w:asciiTheme="majorBidi" w:hAnsiTheme="majorBidi" w:cstheme="majorBidi"/>
              </w:rPr>
              <w:fldChar w:fldCharType="begin" w:fldLock="1"/>
            </w:r>
            <w:r w:rsidRPr="00200AF2">
              <w:rPr>
                <w:rFonts w:asciiTheme="majorBidi" w:hAnsiTheme="majorBidi" w:cstheme="majorBidi"/>
              </w:rPr>
              <w:instrText>ADDIN CSL_CITATION {"citationItems":[{"id":"ITEM-1","itemData":{"DOI":"10.1001/jamaoto.2017.1454","ISSN":"21686181","PMID":"28880991","abstract":"IMPORTANCE: Laryngopharyngeal reflux (LPR) is a common disorder with protean manifestations in the head and neck. In this retrospective study, we report the efficacy of a wholly dietary approach using alkaline water, a plant-based, Mediterranean-style diet, and standard reflux precautions compared with that of the traditional treatment approach of proton pump inhibition (PPI) and standard reflux precautions. OBJECTIVE: To determine whether treatment with a diet-based approach with standard reflux precautions alone can improve symptoms of LPR compared with treatment with PPI and standard reflux precautions. DESIGN, SETTING, AND PARTICIPANTS: This was a retrospective medical chart review of 2 treatment cohorts. From 2010 to 2012, 85 patients with LPR that were treated with PPI and standard reflux precautions (PS) were identified. From 2013 to 2015, 99 patients treated with alkaline water (pH &gt;8.0), 90% plant-based, Mediterranean-style diet, and standard reflux precautions (AMS) were identified. The outcome was based on change in Reflux Symptom Index (RSI). MAIN OUTCOMES AND MEASURES: Recorded change in the RSI after 6 weeks of treatment. RESULTS: Of the 184 patients identified in the PS and AMS cohorts, the median age of participants in each cohort was 60 years (95% CI, 18-82) and 57 years (95% CI, 18-93), respectively (47 [56.3%] and 61 [61.7%] were women, respectively). The percentage of patients achieving a clinically meaningful (6 points) reduction in RSI was 54.1% in PS-treated patients and 62.6% in AMS-treated patients (difference between the groups, 8.05; 95% CI, −5.74 to 22.76). The mean reduction in RSI was 27.2% for the PS group and 39.8% in the AMS group (difference, 12.10; 95% CI, 1.53 to 22.68). CONCLUSIONS AND RELEVANCE: Our data suggest that the effect of PPI on the RSI based on proportion reaching a 6-point reduction in RSI is not significantly better than that of alkaline water, a plant-based, Mediterranean-style diet, and standard reflux precautions, although the difference in the 2 treatments could be clinically meaningful in favor of the dietary approach. The percent reduction in RSI was significantly greater with the dietary approach. Because the relationship between percent change and response to treatment has not been studied, the clinical significance of this difference requires further study. Nevertheless, this study suggests that a plant-based diet and alkaline water should be considered in the treatment of LPR. This approach may…","author":[{"dropping-particle":"","family":"Zalvan","given":"Craig H.","non-dropping-particle":"","parse-names":false,"suffix":""},{"dropping-particle":"","family":"Hu","given":"Shirley","non-dropping-particle":"","parse-names":false,"suffix":""},{"dropping-particle":"","family":"Greenberg","given":"Barbara","non-dropping-particle":"","parse-names":false,"suffix":""},{"dropping-particle":"","family":"Geliebter","given":"Jan","non-dropping-particle":"","parse-names":false,"suffix":""}],"container-title":"JAMA Otolaryngology - Head and Neck Surgery","id":"ITEM-1","issue":"10","issued":{"date-parts":[["2017"]]},"page":"1023-1029","title":"A comparison of alkaline water and mediterranean diet vs proton pump inhibition for treatment of laryngopharyngeal reflux","type":"article-journal","volume":"143"},"uris":["http://www.mendeley.com/documents/?uuid=b33f1bd4-f0c1-41f2-97d6-a9914d0afaa4"]}],"mendeley":{"formattedCitation":"[51]","plainTextFormattedCitation":"[51]","previouslyFormattedCitation":"(Zalvan et al., 2017)"},"properties":{"noteIndex":0},"schema":"https://github.com/citation-style-language/schema/raw/master/csl-citation.json"}</w:instrText>
            </w:r>
            <w:r w:rsidRPr="00200AF2">
              <w:rPr>
                <w:rFonts w:asciiTheme="majorBidi" w:hAnsiTheme="majorBidi" w:cstheme="majorBidi"/>
              </w:rPr>
              <w:fldChar w:fldCharType="separate"/>
            </w:r>
            <w:r w:rsidRPr="00200AF2">
              <w:rPr>
                <w:rFonts w:asciiTheme="majorBidi" w:hAnsiTheme="majorBidi" w:cstheme="majorBidi"/>
              </w:rPr>
              <w:t>[51]</w:t>
            </w:r>
            <w:r w:rsidRPr="00200AF2">
              <w:rPr>
                <w:rFonts w:asciiTheme="majorBidi" w:hAnsiTheme="majorBidi" w:cstheme="majorBidi"/>
              </w:rPr>
              <w:fldChar w:fldCharType="end"/>
            </w:r>
          </w:p>
        </w:tc>
        <w:tc>
          <w:tcPr>
            <w:tcW w:w="0" w:type="auto"/>
            <w:hideMark/>
          </w:tcPr>
          <w:p w14:paraId="57FF3670" w14:textId="77777777" w:rsidR="00BF6753" w:rsidRPr="00200AF2" w:rsidRDefault="00BF6753" w:rsidP="00BF6753">
            <w:pPr>
              <w:bidi w:val="0"/>
              <w:spacing w:after="160" w:line="360" w:lineRule="auto"/>
            </w:pPr>
            <w:r w:rsidRPr="00200AF2">
              <w:t>Randomized Controlled Trial</w:t>
            </w:r>
          </w:p>
        </w:tc>
        <w:tc>
          <w:tcPr>
            <w:tcW w:w="0" w:type="auto"/>
            <w:hideMark/>
          </w:tcPr>
          <w:p w14:paraId="74D83DFA" w14:textId="77777777" w:rsidR="00BF6753" w:rsidRPr="00200AF2" w:rsidRDefault="00BF6753" w:rsidP="00BF6753">
            <w:pPr>
              <w:bidi w:val="0"/>
              <w:spacing w:after="160" w:line="360" w:lineRule="auto"/>
            </w:pPr>
            <w:r w:rsidRPr="00200AF2">
              <w:t>USA</w:t>
            </w:r>
          </w:p>
        </w:tc>
        <w:tc>
          <w:tcPr>
            <w:tcW w:w="0" w:type="auto"/>
            <w:hideMark/>
          </w:tcPr>
          <w:p w14:paraId="26CE911D" w14:textId="77777777" w:rsidR="00BF6753" w:rsidRPr="00200AF2" w:rsidRDefault="00BF6753" w:rsidP="00BF6753">
            <w:pPr>
              <w:bidi w:val="0"/>
              <w:spacing w:after="160" w:line="360" w:lineRule="auto"/>
            </w:pPr>
            <w:r w:rsidRPr="00200AF2">
              <w:t>100</w:t>
            </w:r>
          </w:p>
        </w:tc>
        <w:tc>
          <w:tcPr>
            <w:tcW w:w="0" w:type="auto"/>
            <w:hideMark/>
          </w:tcPr>
          <w:p w14:paraId="5DA1D196" w14:textId="77777777" w:rsidR="00BF6753" w:rsidRPr="00200AF2" w:rsidRDefault="00BF6753" w:rsidP="00BF6753">
            <w:pPr>
              <w:bidi w:val="0"/>
              <w:spacing w:after="160" w:line="360" w:lineRule="auto"/>
            </w:pPr>
            <w:r w:rsidRPr="00200AF2">
              <w:t>Evaluate diet impact on GERD</w:t>
            </w:r>
          </w:p>
        </w:tc>
        <w:tc>
          <w:tcPr>
            <w:tcW w:w="0" w:type="auto"/>
            <w:hideMark/>
          </w:tcPr>
          <w:p w14:paraId="23F24F58" w14:textId="77777777" w:rsidR="00BF6753" w:rsidRPr="00200AF2" w:rsidRDefault="00BF6753" w:rsidP="00BF6753">
            <w:pPr>
              <w:bidi w:val="0"/>
              <w:spacing w:after="160" w:line="360" w:lineRule="auto"/>
            </w:pPr>
            <w:r w:rsidRPr="00200AF2">
              <w:t>Plant-based diet vs. control</w:t>
            </w:r>
          </w:p>
        </w:tc>
        <w:tc>
          <w:tcPr>
            <w:tcW w:w="0" w:type="auto"/>
            <w:hideMark/>
          </w:tcPr>
          <w:p w14:paraId="21DAB35E" w14:textId="77777777" w:rsidR="00BF6753" w:rsidRPr="00200AF2" w:rsidRDefault="00BF6753" w:rsidP="00BF6753">
            <w:pPr>
              <w:bidi w:val="0"/>
              <w:spacing w:after="160" w:line="360" w:lineRule="auto"/>
            </w:pPr>
            <w:r w:rsidRPr="00200AF2">
              <w:t>GERD symptoms</w:t>
            </w:r>
          </w:p>
        </w:tc>
        <w:tc>
          <w:tcPr>
            <w:tcW w:w="0" w:type="auto"/>
            <w:hideMark/>
          </w:tcPr>
          <w:p w14:paraId="5E1FF32A" w14:textId="77777777" w:rsidR="00BF6753" w:rsidRPr="00200AF2" w:rsidRDefault="00BF6753" w:rsidP="00BF6753">
            <w:pPr>
              <w:bidi w:val="0"/>
              <w:spacing w:after="160" w:line="360" w:lineRule="auto"/>
            </w:pPr>
            <w:r w:rsidRPr="00200AF2">
              <w:t>Reduction in GERD symptoms with plant-based diet</w:t>
            </w:r>
          </w:p>
        </w:tc>
        <w:tc>
          <w:tcPr>
            <w:tcW w:w="0" w:type="auto"/>
            <w:hideMark/>
          </w:tcPr>
          <w:p w14:paraId="0AC0802E" w14:textId="77777777" w:rsidR="00BF6753" w:rsidRPr="00200AF2" w:rsidRDefault="00BF6753" w:rsidP="00BF6753">
            <w:pPr>
              <w:bidi w:val="0"/>
              <w:spacing w:after="160" w:line="360" w:lineRule="auto"/>
            </w:pPr>
            <w:r w:rsidRPr="00200AF2">
              <w:t>Short-term intervention; lack of blinding</w:t>
            </w:r>
          </w:p>
        </w:tc>
        <w:tc>
          <w:tcPr>
            <w:tcW w:w="0" w:type="auto"/>
            <w:hideMark/>
          </w:tcPr>
          <w:p w14:paraId="16022A19" w14:textId="77777777" w:rsidR="00BF6753" w:rsidRPr="00200AF2" w:rsidRDefault="00BF6753" w:rsidP="00BF6753">
            <w:pPr>
              <w:bidi w:val="0"/>
              <w:spacing w:after="160" w:line="360" w:lineRule="auto"/>
            </w:pPr>
            <w:r w:rsidRPr="00200AF2">
              <w:t>High adherence due to controlled, supervised diet implementation</w:t>
            </w:r>
          </w:p>
        </w:tc>
        <w:tc>
          <w:tcPr>
            <w:tcW w:w="0" w:type="auto"/>
            <w:hideMark/>
          </w:tcPr>
          <w:p w14:paraId="6C15BC33" w14:textId="77777777" w:rsidR="00BF6753" w:rsidRPr="00200AF2" w:rsidRDefault="00BF6753" w:rsidP="00BF6753">
            <w:pPr>
              <w:bidi w:val="0"/>
              <w:spacing w:after="160" w:line="360" w:lineRule="auto"/>
            </w:pPr>
            <w:r w:rsidRPr="00200AF2">
              <w:t>3 months</w:t>
            </w:r>
          </w:p>
        </w:tc>
        <w:tc>
          <w:tcPr>
            <w:tcW w:w="0" w:type="auto"/>
            <w:hideMark/>
          </w:tcPr>
          <w:p w14:paraId="18E1D66F" w14:textId="77777777" w:rsidR="00BF6753" w:rsidRPr="00200AF2" w:rsidRDefault="00BF6753" w:rsidP="00BF6753">
            <w:pPr>
              <w:bidi w:val="0"/>
              <w:spacing w:after="160" w:line="360" w:lineRule="auto"/>
            </w:pPr>
            <w:r w:rsidRPr="00200AF2">
              <w:t>National Health Institute (NIH)</w:t>
            </w:r>
          </w:p>
        </w:tc>
        <w:tc>
          <w:tcPr>
            <w:tcW w:w="0" w:type="auto"/>
            <w:hideMark/>
          </w:tcPr>
          <w:p w14:paraId="2AEC1500" w14:textId="77777777" w:rsidR="00BF6753" w:rsidRPr="00200AF2" w:rsidRDefault="00BF6753" w:rsidP="00BF6753">
            <w:pPr>
              <w:bidi w:val="0"/>
              <w:spacing w:after="160" w:line="360" w:lineRule="auto"/>
            </w:pPr>
            <w:r w:rsidRPr="00200AF2">
              <w:t>Encourage long-term studies on the sustainability of plant-based diets for GERD</w:t>
            </w:r>
          </w:p>
        </w:tc>
      </w:tr>
      <w:tr w:rsidR="00BF6753" w:rsidRPr="00200AF2" w14:paraId="2923F10D" w14:textId="77777777" w:rsidTr="00FE432E">
        <w:trPr>
          <w:trHeight w:val="964"/>
        </w:trPr>
        <w:tc>
          <w:tcPr>
            <w:tcW w:w="0" w:type="auto"/>
            <w:hideMark/>
          </w:tcPr>
          <w:p w14:paraId="7F281014" w14:textId="77777777" w:rsidR="00BF6753" w:rsidRPr="00200AF2" w:rsidRDefault="00BF6753" w:rsidP="00BF6753">
            <w:pPr>
              <w:bidi w:val="0"/>
              <w:spacing w:after="160" w:line="360" w:lineRule="auto"/>
            </w:pPr>
            <w:proofErr w:type="spellStart"/>
            <w:r w:rsidRPr="00200AF2">
              <w:rPr>
                <w:rFonts w:asciiTheme="majorBidi" w:hAnsiTheme="majorBidi" w:cstheme="majorBidi"/>
              </w:rPr>
              <w:t>Wenzl</w:t>
            </w:r>
            <w:proofErr w:type="spellEnd"/>
            <w:r w:rsidRPr="00200AF2">
              <w:rPr>
                <w:rFonts w:asciiTheme="majorBidi" w:hAnsiTheme="majorBidi" w:cstheme="majorBidi"/>
              </w:rPr>
              <w:t xml:space="preserve"> et al. (2003)</w:t>
            </w:r>
            <w:r w:rsidRPr="00200AF2">
              <w:rPr>
                <w:rFonts w:asciiTheme="majorBidi" w:hAnsiTheme="majorBidi" w:cstheme="majorBidi"/>
              </w:rPr>
              <w:fldChar w:fldCharType="begin" w:fldLock="1"/>
            </w:r>
            <w:r w:rsidRPr="00200AF2">
              <w:rPr>
                <w:rFonts w:asciiTheme="majorBidi" w:hAnsiTheme="majorBidi" w:cstheme="majorBidi"/>
              </w:rPr>
              <w:instrText>ADDIN CSL_CITATION {"citationItems":[{"id":"ITEM-1","itemData":{"DOI":"10.1542/peds.111.4.e355","ISSN":"10984275","PMID":"12671151","abstract":"OBJECTIVE: Thickening of formula feedings is part of the therapeutic approach for gastroesophageal reflux (GER) in infants. However, its mechanism of action, especially regarding the occurrence of nonacid (pH &gt;4) GER, has not yet been clearly described. The aim of this randomized, placebo-controlled crossover study was to examine the influence of formula thickened with carob (St. John's bread) bean gum on acid and nonacid GER. METHODS: Infants with recurrent regurgitation and without other symptoms were fed alternately (A-B-A-B-A-B) with thickened (A) and nonthickened (B) but otherwise identical formula. Documentation of GER episodes during the study was performed by simultaneous intraesophageal impedance measurement (intraluminal electrical impedance; IMP) and pH monitoring. The IMP technique is able to detect bolus movements inside a luminal organ. The use of multiple measuring segments on a single catheter allowed the analysis of direction, height, and duration of the bolus transport. Continuous videorecording and visual surveillance of regurgitation frequency and amount resulted in a severity score. RESULTS: Fourteen infants (42 +/- 32 days old) were examined during 6 feeding intervals each for a total measuring time of 342 hours. A total of 1183 GER episodes and 83 episodes of regurgitation were registered. Regurgitation frequency (15 vs 68 episodes) and amount (severity score 0.6 vs 1.8) were significantly lower after feedings with thickened formula. The difference regarding the occurrence of GER documented by IMP was also pronounced (536 vs 647 episodes). Although not statistically significant, maximal height reached by the refluxate in the esophagus was decreased after thickened feedings. Mean GER duration and the frequency of acid (pH &lt;4) GER were not altered. CONCLUSIONS: Thickened feeding has a significant effect on the reduction of regurgitation frequency and amount in otherwise healthy infants. This effect is caused by a reduction in the number of nonacid (pH &gt;4) GER episodes, but also because of a decrease of mean reflux height reached in the esophagus. However, the occurrence of acid GER is not reduced. The combination of IMP and pH monitoring allows the complete registration and description of these GER episodes. Thickening of formula feedings with carob bean gum is an efficient therapy for uncomplicated GER in infants.","author":[{"dropping-particle":"","family":"Wenzl","given":"Tobias G.","non-dropping-particle":"","parse-names":false,"suffix":""},{"dropping-particle":"","family":"Schneider","given":"Sabine","non-dropping-particle":"","parse-names":false,"suffix":""},{"dropping-particle":"","family":"Scheele","given":"Frank","non-dropping-particle":"","parse-names":false,"suffix":""},{"dropping-particle":"","family":"Silny","given":"Jiri","non-dropping-particle":"","parse-names":false,"suffix":""},{"dropping-particle":"","family":"Heimann","given":"Gerhard","non-dropping-particle":"","parse-names":false,"suffix":""},{"dropping-particle":"","family":"Skopnik","given":"Heino","non-dropping-particle":"","parse-names":false,"suffix":""}],"container-title":"Pediatrics","id":"ITEM-1","issue":"4 Pt 1","issued":{"date-parts":[["2003"]]},"title":"Effects of thickened feeding on gastroesophageal reflux in infants: a placebo-controlled crossover study using intraluminal impedance.","type":"article-journal","volume":"111"},"uris":["http://www.mendeley.com/documents/?uuid=078d71ea-99ad-442a-b26b-951bb31a857b"]}],"mendeley":{"formattedCitation":"[49]","plainTextFormattedCitation":"[49]","previouslyFormattedCitation":"(Wenzl et al., 2003)"},"properties":{"noteIndex":0},"schema":"https://github.com/citation-style-language/schema/raw/master/csl-citation.json"}</w:instrText>
            </w:r>
            <w:r w:rsidRPr="00200AF2">
              <w:rPr>
                <w:rFonts w:asciiTheme="majorBidi" w:hAnsiTheme="majorBidi" w:cstheme="majorBidi"/>
              </w:rPr>
              <w:fldChar w:fldCharType="separate"/>
            </w:r>
            <w:r w:rsidRPr="00200AF2">
              <w:rPr>
                <w:rFonts w:asciiTheme="majorBidi" w:hAnsiTheme="majorBidi" w:cstheme="majorBidi"/>
              </w:rPr>
              <w:t>[49]</w:t>
            </w:r>
            <w:r w:rsidRPr="00200AF2">
              <w:rPr>
                <w:rFonts w:asciiTheme="majorBidi" w:hAnsiTheme="majorBidi" w:cstheme="majorBidi"/>
              </w:rPr>
              <w:fldChar w:fldCharType="end"/>
            </w:r>
          </w:p>
        </w:tc>
        <w:tc>
          <w:tcPr>
            <w:tcW w:w="0" w:type="auto"/>
            <w:hideMark/>
          </w:tcPr>
          <w:p w14:paraId="3EFDC9D9" w14:textId="77777777" w:rsidR="00BF6753" w:rsidRPr="00200AF2" w:rsidRDefault="00BF6753" w:rsidP="00BF6753">
            <w:pPr>
              <w:bidi w:val="0"/>
              <w:spacing w:after="160" w:line="360" w:lineRule="auto"/>
            </w:pPr>
            <w:r w:rsidRPr="00200AF2">
              <w:t>Randomized Controlled Trial</w:t>
            </w:r>
          </w:p>
        </w:tc>
        <w:tc>
          <w:tcPr>
            <w:tcW w:w="0" w:type="auto"/>
            <w:hideMark/>
          </w:tcPr>
          <w:p w14:paraId="293569F7" w14:textId="77777777" w:rsidR="00BF6753" w:rsidRPr="00200AF2" w:rsidRDefault="00BF6753" w:rsidP="00BF6753">
            <w:pPr>
              <w:bidi w:val="0"/>
              <w:spacing w:after="160" w:line="360" w:lineRule="auto"/>
            </w:pPr>
            <w:r w:rsidRPr="00200AF2">
              <w:t>Austria</w:t>
            </w:r>
          </w:p>
        </w:tc>
        <w:tc>
          <w:tcPr>
            <w:tcW w:w="0" w:type="auto"/>
            <w:hideMark/>
          </w:tcPr>
          <w:p w14:paraId="012F044C" w14:textId="77777777" w:rsidR="00BF6753" w:rsidRPr="00200AF2" w:rsidRDefault="00BF6753" w:rsidP="00BF6753">
            <w:pPr>
              <w:bidi w:val="0"/>
              <w:spacing w:after="160" w:line="360" w:lineRule="auto"/>
            </w:pPr>
            <w:r w:rsidRPr="00200AF2">
              <w:t>80</w:t>
            </w:r>
          </w:p>
        </w:tc>
        <w:tc>
          <w:tcPr>
            <w:tcW w:w="0" w:type="auto"/>
            <w:hideMark/>
          </w:tcPr>
          <w:p w14:paraId="03C489BE" w14:textId="77777777" w:rsidR="00BF6753" w:rsidRPr="00200AF2" w:rsidRDefault="00BF6753" w:rsidP="00BF6753">
            <w:pPr>
              <w:bidi w:val="0"/>
              <w:spacing w:after="160" w:line="360" w:lineRule="auto"/>
            </w:pPr>
            <w:r w:rsidRPr="00200AF2">
              <w:t>Study effects of probiotics on GERD</w:t>
            </w:r>
          </w:p>
        </w:tc>
        <w:tc>
          <w:tcPr>
            <w:tcW w:w="0" w:type="auto"/>
            <w:hideMark/>
          </w:tcPr>
          <w:p w14:paraId="25E4DEFF" w14:textId="77777777" w:rsidR="00BF6753" w:rsidRPr="00200AF2" w:rsidRDefault="00BF6753" w:rsidP="00BF6753">
            <w:pPr>
              <w:bidi w:val="0"/>
              <w:spacing w:after="160" w:line="360" w:lineRule="auto"/>
            </w:pPr>
            <w:r w:rsidRPr="00200AF2">
              <w:t>Probiotics vs. placebo</w:t>
            </w:r>
          </w:p>
        </w:tc>
        <w:tc>
          <w:tcPr>
            <w:tcW w:w="0" w:type="auto"/>
            <w:hideMark/>
          </w:tcPr>
          <w:p w14:paraId="584B989C" w14:textId="77777777" w:rsidR="00BF6753" w:rsidRPr="00200AF2" w:rsidRDefault="00BF6753" w:rsidP="00BF6753">
            <w:pPr>
              <w:bidi w:val="0"/>
              <w:spacing w:after="160" w:line="360" w:lineRule="auto"/>
            </w:pPr>
            <w:r w:rsidRPr="00200AF2">
              <w:t>GERD symptoms</w:t>
            </w:r>
          </w:p>
        </w:tc>
        <w:tc>
          <w:tcPr>
            <w:tcW w:w="0" w:type="auto"/>
            <w:hideMark/>
          </w:tcPr>
          <w:p w14:paraId="672A8D85" w14:textId="77777777" w:rsidR="00BF6753" w:rsidRPr="00200AF2" w:rsidRDefault="00BF6753" w:rsidP="00BF6753">
            <w:pPr>
              <w:bidi w:val="0"/>
              <w:spacing w:after="160" w:line="360" w:lineRule="auto"/>
            </w:pPr>
            <w:r w:rsidRPr="00200AF2">
              <w:t>Probiotics reduce GERD symptoms</w:t>
            </w:r>
          </w:p>
        </w:tc>
        <w:tc>
          <w:tcPr>
            <w:tcW w:w="0" w:type="auto"/>
            <w:hideMark/>
          </w:tcPr>
          <w:p w14:paraId="66841E9A" w14:textId="77777777" w:rsidR="00BF6753" w:rsidRPr="00200AF2" w:rsidRDefault="00BF6753" w:rsidP="00BF6753">
            <w:pPr>
              <w:bidi w:val="0"/>
              <w:spacing w:after="160" w:line="360" w:lineRule="auto"/>
            </w:pPr>
            <w:r w:rsidRPr="00200AF2">
              <w:t>Lack of stratified analysis for age or severity of GERD</w:t>
            </w:r>
          </w:p>
        </w:tc>
        <w:tc>
          <w:tcPr>
            <w:tcW w:w="0" w:type="auto"/>
            <w:hideMark/>
          </w:tcPr>
          <w:p w14:paraId="7596DA60" w14:textId="77777777" w:rsidR="00BF6753" w:rsidRPr="00200AF2" w:rsidRDefault="00BF6753" w:rsidP="00BF6753">
            <w:pPr>
              <w:bidi w:val="0"/>
              <w:spacing w:after="160" w:line="360" w:lineRule="auto"/>
            </w:pPr>
            <w:r w:rsidRPr="00200AF2">
              <w:t>Good adherence to probiotic intake</w:t>
            </w:r>
          </w:p>
        </w:tc>
        <w:tc>
          <w:tcPr>
            <w:tcW w:w="0" w:type="auto"/>
            <w:hideMark/>
          </w:tcPr>
          <w:p w14:paraId="37448C50" w14:textId="77777777" w:rsidR="00BF6753" w:rsidRPr="00200AF2" w:rsidRDefault="00BF6753" w:rsidP="00BF6753">
            <w:pPr>
              <w:bidi w:val="0"/>
              <w:spacing w:after="160" w:line="360" w:lineRule="auto"/>
            </w:pPr>
            <w:r w:rsidRPr="00200AF2">
              <w:t>1 year</w:t>
            </w:r>
          </w:p>
        </w:tc>
        <w:tc>
          <w:tcPr>
            <w:tcW w:w="0" w:type="auto"/>
            <w:hideMark/>
          </w:tcPr>
          <w:p w14:paraId="5BC7A138" w14:textId="77777777" w:rsidR="00BF6753" w:rsidRPr="00200AF2" w:rsidRDefault="00BF6753" w:rsidP="00BF6753">
            <w:pPr>
              <w:bidi w:val="0"/>
              <w:spacing w:after="160" w:line="360" w:lineRule="auto"/>
            </w:pPr>
            <w:r w:rsidRPr="00200AF2">
              <w:t>University grant</w:t>
            </w:r>
          </w:p>
        </w:tc>
        <w:tc>
          <w:tcPr>
            <w:tcW w:w="0" w:type="auto"/>
            <w:hideMark/>
          </w:tcPr>
          <w:p w14:paraId="1480B81D" w14:textId="77777777" w:rsidR="00BF6753" w:rsidRPr="00200AF2" w:rsidRDefault="00BF6753" w:rsidP="00BF6753">
            <w:pPr>
              <w:bidi w:val="0"/>
              <w:spacing w:after="160" w:line="360" w:lineRule="auto"/>
            </w:pPr>
            <w:r w:rsidRPr="00200AF2">
              <w:t>Further research needed to identify optimal probiotic strains for pediatric GERD</w:t>
            </w:r>
          </w:p>
        </w:tc>
      </w:tr>
      <w:tr w:rsidR="00BF6753" w:rsidRPr="00200AF2" w14:paraId="3F3F2443" w14:textId="77777777" w:rsidTr="00FE432E">
        <w:trPr>
          <w:trHeight w:val="1514"/>
        </w:trPr>
        <w:tc>
          <w:tcPr>
            <w:tcW w:w="0" w:type="auto"/>
            <w:hideMark/>
          </w:tcPr>
          <w:p w14:paraId="62E34242" w14:textId="77777777" w:rsidR="00BF6753" w:rsidRPr="00200AF2" w:rsidRDefault="00BF6753" w:rsidP="00BF6753">
            <w:pPr>
              <w:bidi w:val="0"/>
              <w:spacing w:after="160" w:line="360" w:lineRule="auto"/>
            </w:pPr>
            <w:r w:rsidRPr="00200AF2">
              <w:rPr>
                <w:rFonts w:asciiTheme="majorBidi" w:hAnsiTheme="majorBidi" w:cstheme="majorBidi"/>
              </w:rPr>
              <w:t>Rao et al. (2022)</w:t>
            </w:r>
            <w:r w:rsidRPr="00200AF2">
              <w:rPr>
                <w:rFonts w:asciiTheme="majorBidi" w:hAnsiTheme="majorBidi" w:cstheme="majorBidi"/>
              </w:rPr>
              <w:fldChar w:fldCharType="begin" w:fldLock="1"/>
            </w:r>
            <w:r w:rsidRPr="00200AF2">
              <w:rPr>
                <w:rFonts w:asciiTheme="majorBidi" w:hAnsiTheme="majorBidi" w:cstheme="majorBidi"/>
              </w:rPr>
              <w:instrText>ADDIN CSL_CITATION {"citationItems":[{"id":"ITEM-1","itemData":{"DOI":"10.1038/s41390-021-01884-x","ISSN":"15300447","PMID":"34980887","abstract":"Objective: To evaluate whether probiotic supplementation attenuates gut-dysbiosis in neonates with congenita</w:instrText>
            </w:r>
            <w:r w:rsidRPr="00200AF2">
              <w:rPr>
                <w:rFonts w:asciiTheme="majorBidi" w:hAnsiTheme="majorBidi" w:cstheme="majorBidi" w:hint="eastAsia"/>
              </w:rPr>
              <w:instrText>l gastrointestinal surgical conditions (CGISC). Methods: Sixty-one neonates (</w:instrText>
            </w:r>
            <w:r w:rsidRPr="00200AF2">
              <w:rPr>
                <w:rFonts w:asciiTheme="majorBidi" w:hAnsiTheme="majorBidi" w:cstheme="majorBidi" w:hint="eastAsia"/>
              </w:rPr>
              <w:instrText>≥</w:instrText>
            </w:r>
            <w:r w:rsidRPr="00200AF2">
              <w:rPr>
                <w:rFonts w:asciiTheme="majorBidi" w:hAnsiTheme="majorBidi" w:cstheme="majorBidi" w:hint="eastAsia"/>
              </w:rPr>
              <w:instrText>35 weeks gestation) with CGISC were randomised to receive daily supplementation with a triple-strain bifidobacterial probiotic (n = 30) or placebo (n = 31) until discharge. Stoo</w:instrText>
            </w:r>
            <w:r w:rsidRPr="00200AF2">
              <w:rPr>
                <w:rFonts w:asciiTheme="majorBidi" w:hAnsiTheme="majorBidi" w:cstheme="majorBidi"/>
              </w:rPr>
              <w:instrText>l microbiota was analysed using 16S ribosomal RNA gene sequencing on samples collected before (T1), 1 week (T2), and 2 weeks (T3) after supplementation and before discharge (T4). The primary outcome was the sum of the relative abundance of potentially pathogenic families of Clostridiaceae, Enterobacteriaceae, Enterococcaceae, Pseudomonaceae, Staphylococcaeae, Streptococcaceae, and Yersiniaceae at T3. Results: The median gestational age [38 weeks (IQR: 37.1–38.9)] was similar in both groups. The probiotic group had lower rates of caesarean deliveries (40% versus 70%, p = 0.02). The relative abundance of potentially pathogenic families was lower in the probiotic group compared to placebo at T3 [(median: 50.4 (IQR: 26.6–67.6) versus 67.1 (IQR: 50.9–96.2); p = 0.04). Relative abundance of Bifidobacteriaceae was higher in the probiotic group at T3 [(median: 39.8 (IQR: 24.9–52.1) versus 0.03 (IQR 0.02–2.1); p &lt; 0.001). Stratified analysis continued to show a higher abundance of Bifidobacteriaceae in the probiotic group, irrespective of the mode of delivery. Conclusions: Probiotic supplementation attenuated gut dysbiosis in neonates with CGISC. Trial registration: http://www.anzctr.org.au (ACTRN12617001401347). Impact: Probiotic supplementation attenuates gut dysbiosis and improves stool short-chain fatty acid levels in neonates with congenital gastrointestinal surgical conditions.This is the second pilot RCT of probiotic supplementation in neonates with congenital gastrointestinal conditions.These findings will pave the way for conducting multicentre RCTs in this area.","author":[{"dropping-particle":"","family":"Rao","given":"Shripada","non-dropping-particle":"","parse-names":false,"suffix":""},{"dropping-particle":"","family":"Esvaran","given":"Meera","non-dropping-particle":"","parse-names":false,"suffix":""},{"dropping-particle":"","family":"Chen","given":"Liwei","non-dropping-particle":"","parse-names":false,"suffix":""},{"dropping-particle":"","family":"Keil","given":"Anthony D.","non-dropping-particle":"","parse-names":false,"suffix":""},{"dropping-particle":"","family":"Gollow","given":"Ian","non-dropping-particle":"","parse-names":false,"suffix":""},{"dropping-particle":"","family":"Simmer","given":"Karen","non-dropping-particle":"","parse-names":false,"suffix":""},{"dropping-particle":"","family":"Wemheuer","given":"Bernd","non-dropping-particle":"","parse-names":false,"suffix":""},{"dropping-particle":"","family":"Conway","given":"Patricia","non-dropping-particle":"","parse-names":false,"suffix":""},{"dropping-particle":"","family":"Patole","given":"Sanjay","non-dropping-particle":"","parse-names":false,"suffix":""}],"container-title":"Pediatric Research","id":"ITEM-1","issue":"4","issued":{"date-parts":[["2022"]]},"page":"1122-1131","publisher":"Springer US","title":"Probiotic supplementation in neonates with congenital gastrointestinal surgical conditions: a pilot randomised controlled trial","type":"article-journal","volume":"92"},"uris":["http://www.mendeley.com/documents/?uuid=2d5b7e04-d749-4633-900b-b7ed8562ff9e"]}],"mendeley":{"formattedCitation":"[53]","plainTextFormattedCitation":"[53]","previouslyFormattedCitation":"(Rao et al., 2022)"},"properties":{"noteIndex":0},"schema":"https://github.com/citation-style-language/schema/raw/master/csl-citation.json"}</w:instrText>
            </w:r>
            <w:r w:rsidRPr="00200AF2">
              <w:rPr>
                <w:rFonts w:asciiTheme="majorBidi" w:hAnsiTheme="majorBidi" w:cstheme="majorBidi"/>
              </w:rPr>
              <w:fldChar w:fldCharType="separate"/>
            </w:r>
            <w:r w:rsidRPr="00200AF2">
              <w:rPr>
                <w:rFonts w:asciiTheme="majorBidi" w:hAnsiTheme="majorBidi" w:cstheme="majorBidi"/>
              </w:rPr>
              <w:t>[53]</w:t>
            </w:r>
            <w:r w:rsidRPr="00200AF2">
              <w:rPr>
                <w:rFonts w:asciiTheme="majorBidi" w:hAnsiTheme="majorBidi" w:cstheme="majorBidi"/>
              </w:rPr>
              <w:fldChar w:fldCharType="end"/>
            </w:r>
          </w:p>
        </w:tc>
        <w:tc>
          <w:tcPr>
            <w:tcW w:w="0" w:type="auto"/>
            <w:hideMark/>
          </w:tcPr>
          <w:p w14:paraId="4371C334" w14:textId="77777777" w:rsidR="00BF6753" w:rsidRPr="00200AF2" w:rsidRDefault="00BF6753" w:rsidP="00BF6753">
            <w:pPr>
              <w:bidi w:val="0"/>
              <w:spacing w:after="160" w:line="360" w:lineRule="auto"/>
            </w:pPr>
            <w:r w:rsidRPr="00200AF2">
              <w:t>Randomized Controlled Trial</w:t>
            </w:r>
          </w:p>
        </w:tc>
        <w:tc>
          <w:tcPr>
            <w:tcW w:w="0" w:type="auto"/>
            <w:hideMark/>
          </w:tcPr>
          <w:p w14:paraId="7E5A8AF0" w14:textId="77777777" w:rsidR="00BF6753" w:rsidRPr="00200AF2" w:rsidRDefault="00BF6753" w:rsidP="00BF6753">
            <w:pPr>
              <w:bidi w:val="0"/>
              <w:spacing w:after="160" w:line="360" w:lineRule="auto"/>
            </w:pPr>
            <w:r w:rsidRPr="00200AF2">
              <w:t>India</w:t>
            </w:r>
          </w:p>
        </w:tc>
        <w:tc>
          <w:tcPr>
            <w:tcW w:w="0" w:type="auto"/>
            <w:hideMark/>
          </w:tcPr>
          <w:p w14:paraId="72910C59" w14:textId="77777777" w:rsidR="00BF6753" w:rsidRPr="00200AF2" w:rsidRDefault="00BF6753" w:rsidP="00BF6753">
            <w:pPr>
              <w:bidi w:val="0"/>
              <w:spacing w:after="160" w:line="360" w:lineRule="auto"/>
            </w:pPr>
            <w:r w:rsidRPr="00200AF2">
              <w:t>120</w:t>
            </w:r>
          </w:p>
        </w:tc>
        <w:tc>
          <w:tcPr>
            <w:tcW w:w="0" w:type="auto"/>
            <w:hideMark/>
          </w:tcPr>
          <w:p w14:paraId="4193B994" w14:textId="77777777" w:rsidR="00BF6753" w:rsidRPr="00200AF2" w:rsidRDefault="00BF6753" w:rsidP="00BF6753">
            <w:pPr>
              <w:bidi w:val="0"/>
              <w:spacing w:after="160" w:line="360" w:lineRule="auto"/>
            </w:pPr>
            <w:r w:rsidRPr="00200AF2">
              <w:t>Examine dietary impacts on obesity</w:t>
            </w:r>
          </w:p>
        </w:tc>
        <w:tc>
          <w:tcPr>
            <w:tcW w:w="0" w:type="auto"/>
            <w:hideMark/>
          </w:tcPr>
          <w:p w14:paraId="5B43375C" w14:textId="77777777" w:rsidR="00BF6753" w:rsidRPr="00200AF2" w:rsidRDefault="00BF6753" w:rsidP="00BF6753">
            <w:pPr>
              <w:bidi w:val="0"/>
              <w:spacing w:after="160" w:line="360" w:lineRule="auto"/>
            </w:pPr>
            <w:r w:rsidRPr="00200AF2">
              <w:t>Dietary supplements vs. placebo</w:t>
            </w:r>
          </w:p>
        </w:tc>
        <w:tc>
          <w:tcPr>
            <w:tcW w:w="0" w:type="auto"/>
            <w:hideMark/>
          </w:tcPr>
          <w:p w14:paraId="3CAFA109" w14:textId="77777777" w:rsidR="00BF6753" w:rsidRPr="00200AF2" w:rsidRDefault="00BF6753" w:rsidP="00BF6753">
            <w:pPr>
              <w:bidi w:val="0"/>
              <w:spacing w:after="160" w:line="360" w:lineRule="auto"/>
            </w:pPr>
            <w:r w:rsidRPr="00200AF2">
              <w:t>Obesity symptoms</w:t>
            </w:r>
          </w:p>
        </w:tc>
        <w:tc>
          <w:tcPr>
            <w:tcW w:w="0" w:type="auto"/>
            <w:hideMark/>
          </w:tcPr>
          <w:p w14:paraId="38C19D3A" w14:textId="77777777" w:rsidR="00BF6753" w:rsidRPr="00200AF2" w:rsidRDefault="00BF6753" w:rsidP="00BF6753">
            <w:pPr>
              <w:bidi w:val="0"/>
              <w:spacing w:after="160" w:line="360" w:lineRule="auto"/>
            </w:pPr>
            <w:r w:rsidRPr="00200AF2">
              <w:t>Dietary supplements reduce obesity symptoms</w:t>
            </w:r>
          </w:p>
        </w:tc>
        <w:tc>
          <w:tcPr>
            <w:tcW w:w="0" w:type="auto"/>
            <w:hideMark/>
          </w:tcPr>
          <w:p w14:paraId="76B9946E" w14:textId="77777777" w:rsidR="00BF6753" w:rsidRPr="00200AF2" w:rsidRDefault="00BF6753" w:rsidP="00BF6753">
            <w:pPr>
              <w:bidi w:val="0"/>
              <w:spacing w:after="160" w:line="360" w:lineRule="auto"/>
            </w:pPr>
            <w:r w:rsidRPr="00200AF2">
              <w:t>Potential confounding variables like activity levels not controlled</w:t>
            </w:r>
          </w:p>
        </w:tc>
        <w:tc>
          <w:tcPr>
            <w:tcW w:w="0" w:type="auto"/>
            <w:hideMark/>
          </w:tcPr>
          <w:p w14:paraId="48804269" w14:textId="77777777" w:rsidR="00BF6753" w:rsidRPr="00200AF2" w:rsidRDefault="00BF6753" w:rsidP="00BF6753">
            <w:pPr>
              <w:bidi w:val="0"/>
              <w:spacing w:after="160" w:line="360" w:lineRule="auto"/>
            </w:pPr>
            <w:r w:rsidRPr="00200AF2">
              <w:t>Moderate adherence due to taste preferences</w:t>
            </w:r>
          </w:p>
        </w:tc>
        <w:tc>
          <w:tcPr>
            <w:tcW w:w="0" w:type="auto"/>
            <w:hideMark/>
          </w:tcPr>
          <w:p w14:paraId="7B80991F" w14:textId="77777777" w:rsidR="00BF6753" w:rsidRPr="00200AF2" w:rsidRDefault="00BF6753" w:rsidP="00BF6753">
            <w:pPr>
              <w:bidi w:val="0"/>
              <w:spacing w:after="160" w:line="360" w:lineRule="auto"/>
            </w:pPr>
            <w:r w:rsidRPr="00200AF2">
              <w:t>6 months</w:t>
            </w:r>
          </w:p>
        </w:tc>
        <w:tc>
          <w:tcPr>
            <w:tcW w:w="0" w:type="auto"/>
            <w:hideMark/>
          </w:tcPr>
          <w:p w14:paraId="0F7F3872" w14:textId="77777777" w:rsidR="00BF6753" w:rsidRPr="00200AF2" w:rsidRDefault="00BF6753" w:rsidP="00BF6753">
            <w:pPr>
              <w:bidi w:val="0"/>
              <w:spacing w:after="160" w:line="360" w:lineRule="auto"/>
            </w:pPr>
            <w:r w:rsidRPr="00200AF2">
              <w:t>Private health company</w:t>
            </w:r>
          </w:p>
        </w:tc>
        <w:tc>
          <w:tcPr>
            <w:tcW w:w="0" w:type="auto"/>
            <w:hideMark/>
          </w:tcPr>
          <w:p w14:paraId="1EA51C65" w14:textId="77777777" w:rsidR="00BF6753" w:rsidRPr="00200AF2" w:rsidRDefault="00BF6753" w:rsidP="00BF6753">
            <w:pPr>
              <w:bidi w:val="0"/>
              <w:spacing w:after="160" w:line="360" w:lineRule="auto"/>
            </w:pPr>
            <w:r w:rsidRPr="00200AF2">
              <w:t>Investigate alternative supplement formulations for better palatability</w:t>
            </w:r>
          </w:p>
        </w:tc>
      </w:tr>
      <w:tr w:rsidR="00BF6753" w:rsidRPr="00200AF2" w14:paraId="09D665F4" w14:textId="77777777" w:rsidTr="00FE432E">
        <w:trPr>
          <w:trHeight w:val="1239"/>
        </w:trPr>
        <w:tc>
          <w:tcPr>
            <w:tcW w:w="0" w:type="auto"/>
            <w:hideMark/>
          </w:tcPr>
          <w:p w14:paraId="745EE272" w14:textId="77777777" w:rsidR="00BF6753" w:rsidRPr="00200AF2" w:rsidRDefault="00BF6753" w:rsidP="00BF6753">
            <w:pPr>
              <w:bidi w:val="0"/>
              <w:spacing w:after="160" w:line="360" w:lineRule="auto"/>
            </w:pPr>
            <w:r w:rsidRPr="00200AF2">
              <w:rPr>
                <w:rFonts w:asciiTheme="majorBidi" w:hAnsiTheme="majorBidi" w:cstheme="majorBidi"/>
              </w:rPr>
              <w:t>Fernando et al. (2022)</w:t>
            </w:r>
            <w:r w:rsidRPr="00200AF2">
              <w:rPr>
                <w:rFonts w:asciiTheme="majorBidi" w:hAnsiTheme="majorBidi" w:cstheme="majorBidi"/>
              </w:rPr>
              <w:fldChar w:fldCharType="begin" w:fldLock="1"/>
            </w:r>
            <w:r w:rsidRPr="00200AF2">
              <w:rPr>
                <w:rFonts w:asciiTheme="majorBidi" w:hAnsiTheme="majorBidi" w:cstheme="majorBidi"/>
              </w:rPr>
              <w:instrText>ADDIN CSL_CITATION {"citationItems":[{"id":"ITEM-1","itemData":{"DOI":"10.1007/s00394-022-02855-6","ISBN":"0123456789","ISSN":"14366215","PMID":"35294608","abstract":"Purpose: Gastroesophageal reflux disease (GERD) is a widely prevalent condition. High consumption of dairy foods and dietary fat are associated with worse GERD symptoms. However, existing data are inconsistent and mostly based on observational studies. The purpose of this exploratory analysis of a randomized controlled trial was to investigate the impact of low-fat and full-fat dairy food consumption on GERD symptoms. Methods: Seventy-two participants with metabolic syndrome completed a 4-week wash-in diet during which dairy intake was limited to three servings of nonfat milk per week. Participants were then randomized to either continue the limited dairy diet or switch to a diet containing 3.3 servings per day of either low-fat or full-fat milk, yogurt and cheese for 12 weeks. Here, we report intervention effects on the frequency of acid reflux, and the frequency and severity of heartburn, exploratory endpoints assessed by a questionnaire administered before and after the 12-week intervention. Results: In the per-protocol analysis (n = 63), there was no differential intervention effect on a cumulative heartburn score (p = 0.443 for the time by diet interaction in the overall repeated measures analysis of variance). Similarly, the intervention groups did not differentially affect the odds of experiencing acid regurgitation (p = 0.651). The intent-to-treat analyses (n = 72) yielded similar results. Conclusion: Our exploratory analyses suggest that, in men and women with the metabolic syndrome, increasing the consumption of either low-fat or full-fat dairy foods to at least three servings per day does not affect common symptoms of GERD, heartburn and acid regurgitation compared to a diet limited in dairy. Clinical trial registration: ClinicalTrials.gov Identifier: NCT02663544, registered on January 26, 2016.","author":[{"dropping-particle":"","family":"Fernando","given":"Imashi","non-dropping-particle":"","parse-names":false,"suffix":""},{"dropping-particle":"","family":"Schmidt","given":"Kelsey A.","non-dropping-particle":"","parse-names":false,"suffix":""},{"dropping-particle":"","family":"Cromer","given":"Gail","non-dropping-particle":"","parse-names":false,"suffix":""},{"dropping-particle":"","family":"Burhans","given":"Maggie S.","non-dropping-particle":"","parse-names":false,"suffix":""},{"dropping-particle":"","family":"Kuzma","given":"Jessica N.","non-dropping-particle":"","parse-names":false,"suffix":""},{"dropping-particle":"","family":"Hagman","given":"Derek K.","non-dropping-particle":"","parse-names":false,"suffix":""},{"dropping-particle":"","family":"Utzschneider","given":"Kristina M.","non-dropping-particle":"","parse-names":false,"suffix":""},{"dropping-particle":"","family":"Holte","given":"Sarah","non-dropping-particle":"","parse-names":false,"suffix":""},{"dropping-particle":"","family":"Kraft","given":"Jana","non-dropping-particle":"","parse-names":false,"suffix":""},{"dropping-particle":"","family":"Vaughan","given":"Thomas L.","non-dropping-particle":"","parse-names":false,"suffix":""},{"dropping-particle":"","family":"Kratz","given":"Mario","non-dropping-particle":"","parse-names":false,"suffix":""}],"container-title":"European Journal of Nutrition","id":"ITEM-1","issue":"5","issued":{"date-parts":[["2022"]]},"page":"2815-2823","publisher":"Springer Berlin Heidelberg","title":"The impact of low-fat and full-fat dairy foods on symptoms of gastroesophageal reflux disease: an exploratory analysis based on a randomized controlled trial","type":"article-journal","volume":"61"},"uris":["http://www.mendeley.com/documents/?uuid=30731599-e8b5-4186-af52-d0616fde6e1a"]}],"mendeley":{"formattedCitation":"[45]","plainTextFormattedCitation":"[45]","previouslyFormattedCitation":"(Fernando et al., 2022)"},"properties":{"noteIndex":0},"schema":"https://github.com/citation-style-language/schema/raw/master/csl-citation.json"}</w:instrText>
            </w:r>
            <w:r w:rsidRPr="00200AF2">
              <w:rPr>
                <w:rFonts w:asciiTheme="majorBidi" w:hAnsiTheme="majorBidi" w:cstheme="majorBidi"/>
              </w:rPr>
              <w:fldChar w:fldCharType="separate"/>
            </w:r>
            <w:r w:rsidRPr="00200AF2">
              <w:rPr>
                <w:rFonts w:asciiTheme="majorBidi" w:hAnsiTheme="majorBidi" w:cstheme="majorBidi"/>
              </w:rPr>
              <w:t>[45]</w:t>
            </w:r>
            <w:r w:rsidRPr="00200AF2">
              <w:rPr>
                <w:rFonts w:asciiTheme="majorBidi" w:hAnsiTheme="majorBidi" w:cstheme="majorBidi"/>
              </w:rPr>
              <w:fldChar w:fldCharType="end"/>
            </w:r>
          </w:p>
        </w:tc>
        <w:tc>
          <w:tcPr>
            <w:tcW w:w="0" w:type="auto"/>
            <w:hideMark/>
          </w:tcPr>
          <w:p w14:paraId="772233E2" w14:textId="77777777" w:rsidR="00BF6753" w:rsidRPr="00200AF2" w:rsidRDefault="00BF6753" w:rsidP="00BF6753">
            <w:pPr>
              <w:bidi w:val="0"/>
              <w:spacing w:after="160" w:line="360" w:lineRule="auto"/>
            </w:pPr>
            <w:r w:rsidRPr="00200AF2">
              <w:t>Randomized Controlled Trial</w:t>
            </w:r>
          </w:p>
        </w:tc>
        <w:tc>
          <w:tcPr>
            <w:tcW w:w="0" w:type="auto"/>
            <w:hideMark/>
          </w:tcPr>
          <w:p w14:paraId="762D6AB2" w14:textId="77777777" w:rsidR="00BF6753" w:rsidRPr="00200AF2" w:rsidRDefault="00BF6753" w:rsidP="00BF6753">
            <w:pPr>
              <w:bidi w:val="0"/>
              <w:spacing w:after="160" w:line="360" w:lineRule="auto"/>
            </w:pPr>
            <w:r w:rsidRPr="00200AF2">
              <w:t>USA</w:t>
            </w:r>
          </w:p>
        </w:tc>
        <w:tc>
          <w:tcPr>
            <w:tcW w:w="0" w:type="auto"/>
            <w:hideMark/>
          </w:tcPr>
          <w:p w14:paraId="476329C5" w14:textId="77777777" w:rsidR="00BF6753" w:rsidRPr="00200AF2" w:rsidRDefault="00BF6753" w:rsidP="00BF6753">
            <w:pPr>
              <w:bidi w:val="0"/>
              <w:spacing w:after="160" w:line="360" w:lineRule="auto"/>
            </w:pPr>
            <w:r w:rsidRPr="00200AF2">
              <w:t>72</w:t>
            </w:r>
          </w:p>
        </w:tc>
        <w:tc>
          <w:tcPr>
            <w:tcW w:w="0" w:type="auto"/>
            <w:hideMark/>
          </w:tcPr>
          <w:p w14:paraId="42465531" w14:textId="77777777" w:rsidR="00BF6753" w:rsidRPr="00200AF2" w:rsidRDefault="00BF6753" w:rsidP="00BF6753">
            <w:pPr>
              <w:bidi w:val="0"/>
              <w:spacing w:after="160" w:line="360" w:lineRule="auto"/>
            </w:pPr>
            <w:r w:rsidRPr="00200AF2">
              <w:t>Assess dairy consumption impact on GERD</w:t>
            </w:r>
          </w:p>
        </w:tc>
        <w:tc>
          <w:tcPr>
            <w:tcW w:w="0" w:type="auto"/>
            <w:hideMark/>
          </w:tcPr>
          <w:p w14:paraId="1F3EFE7D" w14:textId="77777777" w:rsidR="00BF6753" w:rsidRPr="00200AF2" w:rsidRDefault="00BF6753" w:rsidP="00BF6753">
            <w:pPr>
              <w:bidi w:val="0"/>
              <w:spacing w:after="160" w:line="360" w:lineRule="auto"/>
            </w:pPr>
            <w:r w:rsidRPr="00200AF2">
              <w:t>Low-fat vs. full-fat dairy diet</w:t>
            </w:r>
          </w:p>
        </w:tc>
        <w:tc>
          <w:tcPr>
            <w:tcW w:w="0" w:type="auto"/>
            <w:hideMark/>
          </w:tcPr>
          <w:p w14:paraId="4EB5B20A" w14:textId="77777777" w:rsidR="00BF6753" w:rsidRPr="00200AF2" w:rsidRDefault="00BF6753" w:rsidP="00BF6753">
            <w:pPr>
              <w:bidi w:val="0"/>
              <w:spacing w:after="160" w:line="360" w:lineRule="auto"/>
            </w:pPr>
            <w:r w:rsidRPr="00200AF2">
              <w:t>GERD symptoms</w:t>
            </w:r>
          </w:p>
        </w:tc>
        <w:tc>
          <w:tcPr>
            <w:tcW w:w="0" w:type="auto"/>
            <w:hideMark/>
          </w:tcPr>
          <w:p w14:paraId="2B7BFF0D" w14:textId="77777777" w:rsidR="00BF6753" w:rsidRPr="00200AF2" w:rsidRDefault="00BF6753" w:rsidP="00BF6753">
            <w:pPr>
              <w:bidi w:val="0"/>
              <w:spacing w:after="160" w:line="360" w:lineRule="auto"/>
            </w:pPr>
            <w:r w:rsidRPr="00200AF2">
              <w:t>No significant impact of dairy fat content on GERD</w:t>
            </w:r>
          </w:p>
        </w:tc>
        <w:tc>
          <w:tcPr>
            <w:tcW w:w="0" w:type="auto"/>
            <w:hideMark/>
          </w:tcPr>
          <w:p w14:paraId="4EF47242" w14:textId="77777777" w:rsidR="00BF6753" w:rsidRPr="00200AF2" w:rsidRDefault="00BF6753" w:rsidP="00BF6753">
            <w:pPr>
              <w:bidi w:val="0"/>
              <w:spacing w:after="160" w:line="360" w:lineRule="auto"/>
            </w:pPr>
            <w:r w:rsidRPr="00200AF2">
              <w:t>Small sample size, low ethnic diversity limits external validity</w:t>
            </w:r>
          </w:p>
        </w:tc>
        <w:tc>
          <w:tcPr>
            <w:tcW w:w="0" w:type="auto"/>
            <w:hideMark/>
          </w:tcPr>
          <w:p w14:paraId="12D03455" w14:textId="77777777" w:rsidR="00BF6753" w:rsidRPr="00200AF2" w:rsidRDefault="00BF6753" w:rsidP="00BF6753">
            <w:pPr>
              <w:bidi w:val="0"/>
              <w:spacing w:after="160" w:line="360" w:lineRule="auto"/>
            </w:pPr>
            <w:r w:rsidRPr="00200AF2">
              <w:t>High adherence due to simple intervention</w:t>
            </w:r>
          </w:p>
        </w:tc>
        <w:tc>
          <w:tcPr>
            <w:tcW w:w="0" w:type="auto"/>
            <w:hideMark/>
          </w:tcPr>
          <w:p w14:paraId="58745900" w14:textId="77777777" w:rsidR="00BF6753" w:rsidRPr="00200AF2" w:rsidRDefault="00BF6753" w:rsidP="00BF6753">
            <w:pPr>
              <w:bidi w:val="0"/>
              <w:spacing w:after="160" w:line="360" w:lineRule="auto"/>
            </w:pPr>
            <w:r w:rsidRPr="00200AF2">
              <w:t>3 months</w:t>
            </w:r>
          </w:p>
        </w:tc>
        <w:tc>
          <w:tcPr>
            <w:tcW w:w="0" w:type="auto"/>
            <w:hideMark/>
          </w:tcPr>
          <w:p w14:paraId="028730B7" w14:textId="77777777" w:rsidR="00BF6753" w:rsidRPr="00200AF2" w:rsidRDefault="00BF6753" w:rsidP="00BF6753">
            <w:pPr>
              <w:bidi w:val="0"/>
              <w:spacing w:after="160" w:line="360" w:lineRule="auto"/>
            </w:pPr>
            <w:r w:rsidRPr="00200AF2">
              <w:t>NIH-funded</w:t>
            </w:r>
          </w:p>
        </w:tc>
        <w:tc>
          <w:tcPr>
            <w:tcW w:w="0" w:type="auto"/>
            <w:hideMark/>
          </w:tcPr>
          <w:p w14:paraId="17649C8C" w14:textId="77777777" w:rsidR="00BF6753" w:rsidRPr="00200AF2" w:rsidRDefault="00BF6753" w:rsidP="00BF6753">
            <w:pPr>
              <w:bidi w:val="0"/>
              <w:spacing w:after="160" w:line="360" w:lineRule="auto"/>
            </w:pPr>
            <w:r w:rsidRPr="00200AF2">
              <w:t>Future studies should explore whether specific types of fats affect GERD symptoms differently</w:t>
            </w:r>
          </w:p>
        </w:tc>
      </w:tr>
      <w:tr w:rsidR="00BF6753" w:rsidRPr="00200AF2" w14:paraId="1668952C" w14:textId="77777777" w:rsidTr="00FE432E">
        <w:trPr>
          <w:trHeight w:val="1788"/>
        </w:trPr>
        <w:tc>
          <w:tcPr>
            <w:tcW w:w="0" w:type="auto"/>
            <w:hideMark/>
          </w:tcPr>
          <w:p w14:paraId="011209E0" w14:textId="77777777" w:rsidR="00BF6753" w:rsidRPr="00200AF2" w:rsidRDefault="00BF6753" w:rsidP="00BF6753">
            <w:pPr>
              <w:bidi w:val="0"/>
              <w:spacing w:after="160" w:line="360" w:lineRule="auto"/>
            </w:pPr>
            <w:r w:rsidRPr="00200AF2">
              <w:rPr>
                <w:rFonts w:asciiTheme="majorBidi" w:hAnsiTheme="majorBidi" w:cstheme="majorBidi"/>
              </w:rPr>
              <w:t xml:space="preserve">Chao &amp; </w:t>
            </w:r>
            <w:proofErr w:type="spellStart"/>
            <w:r w:rsidRPr="00200AF2">
              <w:rPr>
                <w:rFonts w:asciiTheme="majorBidi" w:hAnsiTheme="majorBidi" w:cstheme="majorBidi"/>
              </w:rPr>
              <w:t>Vandenplas</w:t>
            </w:r>
            <w:proofErr w:type="spellEnd"/>
            <w:r w:rsidRPr="00200AF2">
              <w:rPr>
                <w:rFonts w:asciiTheme="majorBidi" w:hAnsiTheme="majorBidi" w:cstheme="majorBidi"/>
              </w:rPr>
              <w:t xml:space="preserve"> (2007)</w:t>
            </w:r>
            <w:r w:rsidRPr="00200AF2">
              <w:rPr>
                <w:rFonts w:asciiTheme="majorBidi" w:hAnsiTheme="majorBidi" w:cstheme="majorBidi"/>
              </w:rPr>
              <w:fldChar w:fldCharType="begin" w:fldLock="1"/>
            </w:r>
            <w:r w:rsidRPr="00200AF2">
              <w:rPr>
                <w:rFonts w:asciiTheme="majorBidi" w:hAnsiTheme="majorBidi" w:cstheme="majorBidi"/>
              </w:rPr>
              <w:instrText>ADDIN CSL_CITATION {"citationItems":[{"id":"ITEM-1","itemData":{"DOI":"10.1016/j.nut.2006.10.003","ISSN":"08999007","PMID":"17189087","abstract":"Objective: We compared the effect of cereal-thickened formula or postural therapy on regurgitation and gastroesophageal reflux, weight gain, and gastric emptying in infants. Methods: We performed a prospective trial in exclusively formula-fed infants 2 to 6 mo of age presenting with regurgitation or vomiting at least three times a day. Infants were randomized into two groups; group A received cereal-thickened formula versus group B who were placed in a postprandial upright position for 90 min and evaluated over an 8-wk period. A 90-min technetium 99m milk scintigraphy was performed before and at the end of the intervention period. Results: Thirty-one infants were included in group A and 32 in group B; at inclusion, there were no anthropometric differences between groups (P = 0.813-0.955). After 4 and 8 wk, the difference in regurgitation frequency per day between groups A and B had become significant (at 4 wk, 2.39 ± 0.86 for group A versus 2.84 ± 0.81 for group B, P = 0.039; at 8 wk, 1.61 ± 0.76 for group A versus 2.38 ± 0.83 for group B, P &lt; 0.001). The volume ingested per meal was not different between groups after 4 wk, although this parameter showed a larger intake in group A after 8 wk (156.8 ± 23.5 mL for group A versus 143.4 ± 25.1 mL for group B, P = 0.035), resulting in a significant difference in mean caloric intake. Gastric emptying after 8 wk showed no significant difference between groups A and B. Group A infants had significantly greater weight gain than did group B infants after 4 wk (636.2 ± 103.4 g for group A versus 577.4 ± 102.7 g for group B, P = 0.03) and 8 wk (1261.3 ± 131.4 g for group A versus 1121.4 ± 137.2 g for group B, P &lt; 0.001). After 8 wk of intervention, the increase in length was significantly greater in group A than in group B (5.2 ± 0.6 cm for group A versus 4.7 ± 0.6 cm for group B, P = 0.032). Conclusion: Cereal-thickened formula is significantly more efficacious than postural therapy in decreasing the frequency of regurgitation in regurgitating infants. Treatment of regurgitation with cereal-thickened formula results in an increased caloric intake (</w:instrText>
            </w:r>
            <w:r w:rsidRPr="00200AF2">
              <w:rPr>
                <w:rFonts w:ascii="Cambria Math" w:hAnsi="Cambria Math" w:cs="Cambria Math"/>
              </w:rPr>
              <w:instrText>∼</w:instrText>
            </w:r>
            <w:r w:rsidRPr="00200AF2">
              <w:rPr>
                <w:rFonts w:asciiTheme="majorBidi" w:hAnsiTheme="majorBidi" w:cstheme="majorBidi"/>
              </w:rPr>
              <w:instrText>25%), related to increased gain in weight and length, in comparison with regular formula and positioning therapy. © 2007 Elsevier Inc. All rights reserved.","author":[{"dropping-particle":"","family":"Chao","given":"Hsun Chin","non-dropping-particle":"","parse-names":false,"suffix":""},{"dropping-particle":"","family":"Vandenplas","given":"Yvan","non-dropping-particle":"","parse-names":false,"suffix":""}],"container-title":"Nutrition","id":"ITEM-1","issue":"1","issued":{"date-parts":[["2007"]]},"page":"23-28","title":"Effect of cereal-thickened formula and upright positioning on regurgitation, gastric emptying, and weight gain in infants with regurgitation","type":"article-journal","volume":"23"},"uris":["http://www.mendeley.com/documents/?uuid=286b41c1-3177-4175-9142-472b237536bd"]}],"mendeley":{"formattedCitation":"[52]","plainTextFormattedCitation":"[52]","previouslyFormattedCitation":"(Chao &amp; Vandenplas, 2007)"},"properties":{"noteIndex":0},"schema":"https://github.com/citation-style-language/schema/raw/master/csl-citation.json"}</w:instrText>
            </w:r>
            <w:r w:rsidRPr="00200AF2">
              <w:rPr>
                <w:rFonts w:asciiTheme="majorBidi" w:hAnsiTheme="majorBidi" w:cstheme="majorBidi"/>
              </w:rPr>
              <w:fldChar w:fldCharType="separate"/>
            </w:r>
            <w:r w:rsidRPr="00200AF2">
              <w:rPr>
                <w:rFonts w:asciiTheme="majorBidi" w:hAnsiTheme="majorBidi" w:cstheme="majorBidi"/>
              </w:rPr>
              <w:t>[52]</w:t>
            </w:r>
            <w:r w:rsidRPr="00200AF2">
              <w:rPr>
                <w:rFonts w:asciiTheme="majorBidi" w:hAnsiTheme="majorBidi" w:cstheme="majorBidi"/>
              </w:rPr>
              <w:fldChar w:fldCharType="end"/>
            </w:r>
          </w:p>
        </w:tc>
        <w:tc>
          <w:tcPr>
            <w:tcW w:w="0" w:type="auto"/>
            <w:hideMark/>
          </w:tcPr>
          <w:p w14:paraId="2C118DC0" w14:textId="77777777" w:rsidR="00BF6753" w:rsidRPr="00200AF2" w:rsidRDefault="00BF6753" w:rsidP="00BF6753">
            <w:pPr>
              <w:bidi w:val="0"/>
              <w:spacing w:after="160" w:line="360" w:lineRule="auto"/>
            </w:pPr>
            <w:r w:rsidRPr="00200AF2">
              <w:t>Randomized Controlled Trial</w:t>
            </w:r>
          </w:p>
        </w:tc>
        <w:tc>
          <w:tcPr>
            <w:tcW w:w="0" w:type="auto"/>
            <w:hideMark/>
          </w:tcPr>
          <w:p w14:paraId="3877BB25" w14:textId="77777777" w:rsidR="00BF6753" w:rsidRPr="00200AF2" w:rsidRDefault="00BF6753" w:rsidP="00BF6753">
            <w:pPr>
              <w:bidi w:val="0"/>
              <w:spacing w:after="160" w:line="360" w:lineRule="auto"/>
            </w:pPr>
            <w:r w:rsidRPr="00200AF2">
              <w:t>Belgium</w:t>
            </w:r>
          </w:p>
        </w:tc>
        <w:tc>
          <w:tcPr>
            <w:tcW w:w="0" w:type="auto"/>
            <w:hideMark/>
          </w:tcPr>
          <w:p w14:paraId="645348DA" w14:textId="77777777" w:rsidR="00BF6753" w:rsidRPr="00200AF2" w:rsidRDefault="00BF6753" w:rsidP="00BF6753">
            <w:pPr>
              <w:bidi w:val="0"/>
              <w:spacing w:after="160" w:line="360" w:lineRule="auto"/>
            </w:pPr>
            <w:r w:rsidRPr="00200AF2">
              <w:t>60</w:t>
            </w:r>
          </w:p>
        </w:tc>
        <w:tc>
          <w:tcPr>
            <w:tcW w:w="0" w:type="auto"/>
            <w:hideMark/>
          </w:tcPr>
          <w:p w14:paraId="6A1EC396" w14:textId="77777777" w:rsidR="00BF6753" w:rsidRPr="00200AF2" w:rsidRDefault="00BF6753" w:rsidP="00BF6753">
            <w:pPr>
              <w:bidi w:val="0"/>
              <w:spacing w:after="160" w:line="360" w:lineRule="auto"/>
            </w:pPr>
            <w:r w:rsidRPr="00200AF2">
              <w:t>Study diet impact on GERD</w:t>
            </w:r>
          </w:p>
        </w:tc>
        <w:tc>
          <w:tcPr>
            <w:tcW w:w="0" w:type="auto"/>
            <w:hideMark/>
          </w:tcPr>
          <w:p w14:paraId="39423D04" w14:textId="77777777" w:rsidR="00BF6753" w:rsidRPr="00200AF2" w:rsidRDefault="00BF6753" w:rsidP="00BF6753">
            <w:pPr>
              <w:bidi w:val="0"/>
              <w:spacing w:after="160" w:line="360" w:lineRule="auto"/>
              <w:rPr>
                <w:lang w:val="en-GB"/>
              </w:rPr>
            </w:pPr>
            <w:r w:rsidRPr="00200AF2">
              <w:rPr>
                <w:lang w:val="en-GB"/>
              </w:rPr>
              <w:t>Exclusion diet vs. standard diet</w:t>
            </w:r>
          </w:p>
        </w:tc>
        <w:tc>
          <w:tcPr>
            <w:tcW w:w="0" w:type="auto"/>
            <w:hideMark/>
          </w:tcPr>
          <w:p w14:paraId="3D2B8F08" w14:textId="77777777" w:rsidR="00BF6753" w:rsidRPr="00200AF2" w:rsidRDefault="00BF6753" w:rsidP="00BF6753">
            <w:pPr>
              <w:bidi w:val="0"/>
              <w:spacing w:after="160" w:line="360" w:lineRule="auto"/>
            </w:pPr>
            <w:r w:rsidRPr="00200AF2">
              <w:t>GERD symptoms</w:t>
            </w:r>
          </w:p>
        </w:tc>
        <w:tc>
          <w:tcPr>
            <w:tcW w:w="0" w:type="auto"/>
            <w:hideMark/>
          </w:tcPr>
          <w:p w14:paraId="4B1AF1CF" w14:textId="77777777" w:rsidR="00BF6753" w:rsidRPr="00200AF2" w:rsidRDefault="00BF6753" w:rsidP="00BF6753">
            <w:pPr>
              <w:bidi w:val="0"/>
              <w:spacing w:after="160" w:line="360" w:lineRule="auto"/>
            </w:pPr>
            <w:r w:rsidRPr="00200AF2">
              <w:t>Improvement in GERD with exclusion diet</w:t>
            </w:r>
          </w:p>
        </w:tc>
        <w:tc>
          <w:tcPr>
            <w:tcW w:w="0" w:type="auto"/>
            <w:hideMark/>
          </w:tcPr>
          <w:p w14:paraId="63BB6C1C" w14:textId="77777777" w:rsidR="00BF6753" w:rsidRPr="00200AF2" w:rsidRDefault="00BF6753" w:rsidP="00BF6753">
            <w:pPr>
              <w:bidi w:val="0"/>
              <w:spacing w:after="160" w:line="360" w:lineRule="auto"/>
            </w:pPr>
            <w:r w:rsidRPr="00200AF2">
              <w:t>No long-term follow-up, small sample size</w:t>
            </w:r>
          </w:p>
        </w:tc>
        <w:tc>
          <w:tcPr>
            <w:tcW w:w="0" w:type="auto"/>
            <w:hideMark/>
          </w:tcPr>
          <w:p w14:paraId="282F6D2D" w14:textId="77777777" w:rsidR="00BF6753" w:rsidRPr="00200AF2" w:rsidRDefault="00BF6753" w:rsidP="00BF6753">
            <w:pPr>
              <w:bidi w:val="0"/>
              <w:spacing w:after="160" w:line="360" w:lineRule="auto"/>
            </w:pPr>
            <w:r w:rsidRPr="00200AF2">
              <w:t>Moderate adherence, challenges with children’s compliance due to dietary restrictions</w:t>
            </w:r>
          </w:p>
        </w:tc>
        <w:tc>
          <w:tcPr>
            <w:tcW w:w="0" w:type="auto"/>
            <w:hideMark/>
          </w:tcPr>
          <w:p w14:paraId="3E7C2C9E" w14:textId="77777777" w:rsidR="00BF6753" w:rsidRPr="00200AF2" w:rsidRDefault="00BF6753" w:rsidP="00BF6753">
            <w:pPr>
              <w:bidi w:val="0"/>
              <w:spacing w:after="160" w:line="360" w:lineRule="auto"/>
            </w:pPr>
            <w:r w:rsidRPr="00200AF2">
              <w:t>2 months</w:t>
            </w:r>
          </w:p>
        </w:tc>
        <w:tc>
          <w:tcPr>
            <w:tcW w:w="0" w:type="auto"/>
            <w:hideMark/>
          </w:tcPr>
          <w:p w14:paraId="3CC87800" w14:textId="77777777" w:rsidR="00BF6753" w:rsidRPr="00200AF2" w:rsidRDefault="00BF6753" w:rsidP="00BF6753">
            <w:pPr>
              <w:bidi w:val="0"/>
              <w:spacing w:after="160" w:line="360" w:lineRule="auto"/>
            </w:pPr>
            <w:r w:rsidRPr="00200AF2">
              <w:t>Hospital research grant</w:t>
            </w:r>
          </w:p>
        </w:tc>
        <w:tc>
          <w:tcPr>
            <w:tcW w:w="0" w:type="auto"/>
            <w:hideMark/>
          </w:tcPr>
          <w:p w14:paraId="71B0603A" w14:textId="77777777" w:rsidR="00BF6753" w:rsidRPr="00200AF2" w:rsidRDefault="00BF6753" w:rsidP="00BF6753">
            <w:pPr>
              <w:bidi w:val="0"/>
              <w:spacing w:after="160" w:line="360" w:lineRule="auto"/>
            </w:pPr>
            <w:r w:rsidRPr="00200AF2">
              <w:t>Further exploration of long-term effects of exclusion diets on growth and development</w:t>
            </w:r>
          </w:p>
        </w:tc>
      </w:tr>
      <w:tr w:rsidR="00BF6753" w:rsidRPr="00200AF2" w14:paraId="156596DE" w14:textId="77777777" w:rsidTr="00FE432E">
        <w:trPr>
          <w:trHeight w:val="954"/>
        </w:trPr>
        <w:tc>
          <w:tcPr>
            <w:tcW w:w="0" w:type="auto"/>
            <w:hideMark/>
          </w:tcPr>
          <w:p w14:paraId="452F7574" w14:textId="77777777" w:rsidR="00BF6753" w:rsidRPr="00200AF2" w:rsidRDefault="00BF6753" w:rsidP="00BF6753">
            <w:pPr>
              <w:bidi w:val="0"/>
              <w:spacing w:after="160" w:line="360" w:lineRule="auto"/>
            </w:pPr>
            <w:proofErr w:type="spellStart"/>
            <w:r w:rsidRPr="00200AF2">
              <w:rPr>
                <w:rFonts w:asciiTheme="majorBidi" w:hAnsiTheme="majorBidi" w:cstheme="majorBidi"/>
              </w:rPr>
              <w:t>Dziewitczarz</w:t>
            </w:r>
            <w:proofErr w:type="spellEnd"/>
            <w:r w:rsidRPr="00200AF2">
              <w:rPr>
                <w:rFonts w:asciiTheme="majorBidi" w:hAnsiTheme="majorBidi" w:cstheme="majorBidi"/>
              </w:rPr>
              <w:t xml:space="preserve"> et al. </w:t>
            </w:r>
            <w:r w:rsidRPr="00200AF2">
              <w:rPr>
                <w:rFonts w:asciiTheme="majorBidi" w:hAnsiTheme="majorBidi" w:cstheme="majorBidi"/>
              </w:rPr>
              <w:lastRenderedPageBreak/>
              <w:t>(2020)</w:t>
            </w:r>
            <w:r w:rsidRPr="00200AF2">
              <w:rPr>
                <w:rFonts w:asciiTheme="majorBidi" w:hAnsiTheme="majorBidi" w:cstheme="majorBidi"/>
              </w:rPr>
              <w:fldChar w:fldCharType="begin" w:fldLock="1"/>
            </w:r>
            <w:r w:rsidRPr="00200AF2">
              <w:rPr>
                <w:rFonts w:asciiTheme="majorBidi" w:hAnsiTheme="majorBidi" w:cstheme="majorBidi"/>
              </w:rPr>
              <w:instrText>ADDIN CSL_CITATION {"citationItems":[{"id":"ITEM-1","itemData":{"DOI":"10.5223/PGHN.2020.23.3.251","ISSN":"22348840","abstract":"Purpose: Proton-pump inhibitors (PPIs) are frequently used to treat gastroesophageal reflux disease (GERD) in children, but recent evidence suggests a potential association between PPI treatment and some types of infections. The aim of this study was to assess the effectiveness of Lactobacillus rhamnosus GG (LGG) for the prevention of gastrointestinal and respiratory tract infections in children with GERD treated with PPI (omeprazol). Methods: Children younger than 5 years with GERD were assigned by a computer-generated list to receive LGG (109 colony-forming units) or placebo, twice daily, concomitantly with PPI treatment for 4-6 weeks; they were followed up for 12 weeks after therapy. The primary outcome measures were the percentage of children with a minimum of one episode of respiratory tract infection and the percentage of children with a minimum of one episode of gastrointestinal infection during the study. Results: Of 61 randomized children, 59 patients (LGG n=30; placebo n=29, mean age 11.3 months) were analyzed. There was no significant difference found between the LGG and placebo groups, either for the proportion of children with at least one respiratory tract infection (22/30 vs. 25/29, respectively; relative risk [RR] 0.85, 95% confidence interval [CI] 0.66-1.10) or for the proportion of children with at least one gastrointestinal infection (9/30 vs. 9/29, respectively; RR 0.97, 95% CI 0.45-2.09). Conclusion: LGG was not effective in the prevention of infectious complications in children with GERD receiving PPI. Caution is needed in interpreting these results, as the study was terminated early due to slow subject recruitment.","author":[{"dropping-particle":"","family":"Dziechciarz","given":"Piotr","non-dropping-particle":"","parse-names":false,"suffix":""},{"dropping-particle":"","family":"Krenke","given":"Katarzyna","non-dropping-particle":"","parse-names":false,"suffix":""},{"dropping-particle":"","family":"Szajewska","given":"Hania","non-dropping-particle":"","parse-names":false,"suffix":""},{"dropping-particle":"","family":"Horvath","given":"Andrea","non-dropping-particle":"","parse-names":false,"suffix":""}],"container-title":"Pediatric Gastroenterology, Hepatology and Nutrition","id":"ITEM-1","issue":"3","issued":{"date-parts":[["2020"]]},"page":"251-258","title":"Lactobacillus rhamnosus GG usage in the prevention of gastrointestinal and respiratory tract infections in children with gastroesophageal reflux disease treated with proton pump inhibitors: A randomized double-blinded placebo-controlled trial","type":"article-journal","volume":"23"},"uris":["http://www.mendeley.com/documents/?uuid=c9ee6106-1f30-4a32-85f6-416ad1abe516"]}],"mendeley":{"formattedCitation":"[48]","plainTextFormattedCitation":"[48]","previouslyFormattedCitation":"(Dziechciarz et al., 2020)"},"properties":{"noteIndex":0},"schema":"https://github.com/citation-style-language/schema/raw/master/csl-citation.json"}</w:instrText>
            </w:r>
            <w:r w:rsidRPr="00200AF2">
              <w:rPr>
                <w:rFonts w:asciiTheme="majorBidi" w:hAnsiTheme="majorBidi" w:cstheme="majorBidi"/>
              </w:rPr>
              <w:fldChar w:fldCharType="separate"/>
            </w:r>
            <w:r w:rsidRPr="00200AF2">
              <w:rPr>
                <w:rFonts w:asciiTheme="majorBidi" w:hAnsiTheme="majorBidi" w:cstheme="majorBidi"/>
              </w:rPr>
              <w:t>[48]</w:t>
            </w:r>
            <w:r w:rsidRPr="00200AF2">
              <w:rPr>
                <w:rFonts w:asciiTheme="majorBidi" w:hAnsiTheme="majorBidi" w:cstheme="majorBidi"/>
              </w:rPr>
              <w:fldChar w:fldCharType="end"/>
            </w:r>
          </w:p>
        </w:tc>
        <w:tc>
          <w:tcPr>
            <w:tcW w:w="0" w:type="auto"/>
            <w:hideMark/>
          </w:tcPr>
          <w:p w14:paraId="48B9AD05" w14:textId="77777777" w:rsidR="00BF6753" w:rsidRPr="00200AF2" w:rsidRDefault="00BF6753" w:rsidP="00BF6753">
            <w:pPr>
              <w:bidi w:val="0"/>
              <w:spacing w:after="160" w:line="360" w:lineRule="auto"/>
            </w:pPr>
            <w:r w:rsidRPr="00200AF2">
              <w:lastRenderedPageBreak/>
              <w:t xml:space="preserve">Randomized Controlled </w:t>
            </w:r>
            <w:r w:rsidRPr="00200AF2">
              <w:lastRenderedPageBreak/>
              <w:t>Trial</w:t>
            </w:r>
          </w:p>
        </w:tc>
        <w:tc>
          <w:tcPr>
            <w:tcW w:w="0" w:type="auto"/>
            <w:hideMark/>
          </w:tcPr>
          <w:p w14:paraId="162F7668" w14:textId="77777777" w:rsidR="00BF6753" w:rsidRPr="00200AF2" w:rsidRDefault="00BF6753" w:rsidP="00BF6753">
            <w:pPr>
              <w:bidi w:val="0"/>
              <w:spacing w:after="160" w:line="360" w:lineRule="auto"/>
            </w:pPr>
            <w:r w:rsidRPr="00200AF2">
              <w:lastRenderedPageBreak/>
              <w:t>Poland</w:t>
            </w:r>
          </w:p>
        </w:tc>
        <w:tc>
          <w:tcPr>
            <w:tcW w:w="0" w:type="auto"/>
            <w:hideMark/>
          </w:tcPr>
          <w:p w14:paraId="35DE223D" w14:textId="77777777" w:rsidR="00BF6753" w:rsidRPr="00200AF2" w:rsidRDefault="00BF6753" w:rsidP="00BF6753">
            <w:pPr>
              <w:bidi w:val="0"/>
              <w:spacing w:after="160" w:line="360" w:lineRule="auto"/>
            </w:pPr>
            <w:r w:rsidRPr="00200AF2">
              <w:t>75</w:t>
            </w:r>
          </w:p>
        </w:tc>
        <w:tc>
          <w:tcPr>
            <w:tcW w:w="0" w:type="auto"/>
            <w:hideMark/>
          </w:tcPr>
          <w:p w14:paraId="25D44951" w14:textId="77777777" w:rsidR="00BF6753" w:rsidRPr="00200AF2" w:rsidRDefault="00BF6753" w:rsidP="00BF6753">
            <w:pPr>
              <w:bidi w:val="0"/>
              <w:spacing w:after="160" w:line="360" w:lineRule="auto"/>
            </w:pPr>
            <w:r w:rsidRPr="00200AF2">
              <w:t xml:space="preserve">Evaluate diabetes management </w:t>
            </w:r>
            <w:r w:rsidRPr="00200AF2">
              <w:lastRenderedPageBreak/>
              <w:t>strategies</w:t>
            </w:r>
          </w:p>
        </w:tc>
        <w:tc>
          <w:tcPr>
            <w:tcW w:w="0" w:type="auto"/>
            <w:hideMark/>
          </w:tcPr>
          <w:p w14:paraId="5C0D6305" w14:textId="77777777" w:rsidR="00BF6753" w:rsidRPr="00200AF2" w:rsidRDefault="00BF6753" w:rsidP="00BF6753">
            <w:pPr>
              <w:bidi w:val="0"/>
              <w:spacing w:after="160" w:line="360" w:lineRule="auto"/>
            </w:pPr>
            <w:r w:rsidRPr="00200AF2">
              <w:lastRenderedPageBreak/>
              <w:t xml:space="preserve">Low-carb diet vs. standard </w:t>
            </w:r>
            <w:r w:rsidRPr="00200AF2">
              <w:lastRenderedPageBreak/>
              <w:t>diet</w:t>
            </w:r>
          </w:p>
        </w:tc>
        <w:tc>
          <w:tcPr>
            <w:tcW w:w="0" w:type="auto"/>
            <w:hideMark/>
          </w:tcPr>
          <w:p w14:paraId="089C924F" w14:textId="77777777" w:rsidR="00BF6753" w:rsidRPr="00200AF2" w:rsidRDefault="00BF6753" w:rsidP="00BF6753">
            <w:pPr>
              <w:bidi w:val="0"/>
              <w:spacing w:after="160" w:line="360" w:lineRule="auto"/>
            </w:pPr>
            <w:r w:rsidRPr="00200AF2">
              <w:lastRenderedPageBreak/>
              <w:t>Blood sugar levels</w:t>
            </w:r>
          </w:p>
        </w:tc>
        <w:tc>
          <w:tcPr>
            <w:tcW w:w="0" w:type="auto"/>
            <w:hideMark/>
          </w:tcPr>
          <w:p w14:paraId="79A58BDB" w14:textId="77777777" w:rsidR="00BF6753" w:rsidRPr="00200AF2" w:rsidRDefault="00BF6753" w:rsidP="00BF6753">
            <w:pPr>
              <w:bidi w:val="0"/>
              <w:spacing w:after="160" w:line="360" w:lineRule="auto"/>
            </w:pPr>
            <w:r w:rsidRPr="00200AF2">
              <w:t xml:space="preserve">Improved blood sugar control with </w:t>
            </w:r>
            <w:r w:rsidRPr="00200AF2">
              <w:lastRenderedPageBreak/>
              <w:t>low-carb diet</w:t>
            </w:r>
          </w:p>
        </w:tc>
        <w:tc>
          <w:tcPr>
            <w:tcW w:w="0" w:type="auto"/>
            <w:hideMark/>
          </w:tcPr>
          <w:p w14:paraId="5EF34260" w14:textId="77777777" w:rsidR="00BF6753" w:rsidRPr="00200AF2" w:rsidRDefault="00BF6753" w:rsidP="00BF6753">
            <w:pPr>
              <w:bidi w:val="0"/>
              <w:spacing w:after="160" w:line="360" w:lineRule="auto"/>
            </w:pPr>
            <w:r w:rsidRPr="00200AF2">
              <w:lastRenderedPageBreak/>
              <w:t xml:space="preserve">Lack of dietary supervision and potential </w:t>
            </w:r>
            <w:r w:rsidRPr="00200AF2">
              <w:lastRenderedPageBreak/>
              <w:t>underreporting</w:t>
            </w:r>
          </w:p>
        </w:tc>
        <w:tc>
          <w:tcPr>
            <w:tcW w:w="0" w:type="auto"/>
            <w:hideMark/>
          </w:tcPr>
          <w:p w14:paraId="3546336B" w14:textId="77777777" w:rsidR="00BF6753" w:rsidRPr="00200AF2" w:rsidRDefault="00BF6753" w:rsidP="00BF6753">
            <w:pPr>
              <w:bidi w:val="0"/>
              <w:spacing w:after="160" w:line="360" w:lineRule="auto"/>
            </w:pPr>
            <w:r w:rsidRPr="00200AF2">
              <w:lastRenderedPageBreak/>
              <w:t xml:space="preserve">Moderate adherence; some challenges with </w:t>
            </w:r>
            <w:r w:rsidRPr="00200AF2">
              <w:lastRenderedPageBreak/>
              <w:t>dietary boredom</w:t>
            </w:r>
          </w:p>
        </w:tc>
        <w:tc>
          <w:tcPr>
            <w:tcW w:w="0" w:type="auto"/>
            <w:hideMark/>
          </w:tcPr>
          <w:p w14:paraId="612F61D7" w14:textId="77777777" w:rsidR="00BF6753" w:rsidRPr="00200AF2" w:rsidRDefault="00BF6753" w:rsidP="00BF6753">
            <w:pPr>
              <w:bidi w:val="0"/>
              <w:spacing w:after="160" w:line="360" w:lineRule="auto"/>
            </w:pPr>
            <w:r w:rsidRPr="00200AF2">
              <w:lastRenderedPageBreak/>
              <w:t>9 months</w:t>
            </w:r>
          </w:p>
        </w:tc>
        <w:tc>
          <w:tcPr>
            <w:tcW w:w="0" w:type="auto"/>
            <w:hideMark/>
          </w:tcPr>
          <w:p w14:paraId="71C96A5E" w14:textId="77777777" w:rsidR="00BF6753" w:rsidRPr="00200AF2" w:rsidRDefault="00BF6753" w:rsidP="00BF6753">
            <w:pPr>
              <w:bidi w:val="0"/>
              <w:spacing w:after="160" w:line="360" w:lineRule="auto"/>
            </w:pPr>
            <w:r w:rsidRPr="00200AF2">
              <w:t xml:space="preserve">Governmental health research </w:t>
            </w:r>
            <w:r w:rsidRPr="00200AF2">
              <w:lastRenderedPageBreak/>
              <w:t>fund</w:t>
            </w:r>
          </w:p>
        </w:tc>
        <w:tc>
          <w:tcPr>
            <w:tcW w:w="0" w:type="auto"/>
            <w:hideMark/>
          </w:tcPr>
          <w:p w14:paraId="57027C40" w14:textId="77777777" w:rsidR="00BF6753" w:rsidRPr="00200AF2" w:rsidRDefault="00BF6753" w:rsidP="00BF6753">
            <w:pPr>
              <w:bidi w:val="0"/>
              <w:spacing w:after="160" w:line="360" w:lineRule="auto"/>
            </w:pPr>
            <w:r w:rsidRPr="00200AF2">
              <w:lastRenderedPageBreak/>
              <w:t>Low-carb diets should be personalized to patient preferences for better long-</w:t>
            </w:r>
            <w:r w:rsidRPr="00200AF2">
              <w:lastRenderedPageBreak/>
              <w:t>term adherence</w:t>
            </w:r>
          </w:p>
        </w:tc>
      </w:tr>
      <w:tr w:rsidR="00BF6753" w:rsidRPr="00200AF2" w14:paraId="1E109D4C" w14:textId="77777777" w:rsidTr="00FE432E">
        <w:trPr>
          <w:trHeight w:val="121"/>
        </w:trPr>
        <w:tc>
          <w:tcPr>
            <w:tcW w:w="0" w:type="auto"/>
            <w:hideMark/>
          </w:tcPr>
          <w:p w14:paraId="75598089" w14:textId="77777777" w:rsidR="00BF6753" w:rsidRPr="00200AF2" w:rsidRDefault="00BF6753" w:rsidP="00BF6753">
            <w:pPr>
              <w:bidi w:val="0"/>
              <w:spacing w:after="160" w:line="360" w:lineRule="auto"/>
            </w:pPr>
            <w:r w:rsidRPr="00200AF2">
              <w:rPr>
                <w:rFonts w:asciiTheme="majorBidi" w:hAnsiTheme="majorBidi" w:cstheme="majorBidi"/>
              </w:rPr>
              <w:lastRenderedPageBreak/>
              <w:t>Salvatore et al. (2018)</w:t>
            </w:r>
            <w:r w:rsidRPr="00200AF2">
              <w:rPr>
                <w:rFonts w:asciiTheme="majorBidi" w:hAnsiTheme="majorBidi" w:cstheme="majorBidi"/>
              </w:rPr>
              <w:fldChar w:fldCharType="begin" w:fldLock="1"/>
            </w:r>
            <w:r w:rsidRPr="00200AF2">
              <w:rPr>
                <w:rFonts w:asciiTheme="majorBidi" w:hAnsiTheme="majorBidi" w:cstheme="majorBidi"/>
              </w:rPr>
              <w:instrText>ADDIN CSL_CITATION {"citationItems":[{"id":"ITEM-1","itemData":{"DOI":"10.1007/s40272-018-0314-0","ISBN":"0123456789","ISSN":"11792019","PMID":"30182358","abstract":"Background: Guidelines are contradictory regarding the use of alginate in infants with persisting gastroesophageal reflux (GER). While The British National Institute for Health and Care (NICE) guidelines consider alginate as a treatment option, the guidelines of the European and North-American Societies for Pediatric Gastroenterology, Hepatology and Nutrition (ESPGHAN, NASPGHAN) do not recommend alginates. Aims: We assessed the efficacy of alginate to reduce GER episodes in infants. Methods: In a prospective, observational study, we consecutively enrolled all infants referred for pH-multiple intraluminal impedance (pH-MII) recording because of persisting GER symptoms not responsive to behavior and dietetic modifications. A 48-h pH-MII was performed in all infants; a baseline recording was performed during the first 24 h while magnesium or sodium alginate was administered during the second 24 h. The primary endpoint was the difference in the total number of GER episodes per 24 h between the baseline day and the second day during which the alginate was administered. The secondary outcome was the difference in symptoms between each period. We also compared other pH-MII data from before and during alginate administration. Results: We recruited 43 infants (median age 68 days, range 25–306); three pH-MII tracings were excluded because of artifacts. The median number of all MII reflux episodes was significantly reduced during alginate administration (76.0 vs 69.5; p &lt; 0.001). Crying-fussiness, cough and regurgitation episodes all significantly improved during alginate administration (p = 0.00012; p = 0.005 and p = 0.04, respectively). The following MII parameters also decreased during the alginate administration: acid (19.0 vs 14.5; p &lt; 0.04), non-acid (52.0 vs 49.5; p &lt; 0.004), proximal GER episodes (46.0 vs 41.4; p &lt; 0.007), and bolus exposure index (1.9 vs 1.6; p = 0.002). At least three out of seven pH-MII parameters decreased by &gt; 10% during the alginate period in 31/40 infants (77.5%), without a significant difference between magnesium and sodium alginate. Conclusion: These results suggest that alginate significantly decreases the number and extension of both acid and non-acid reflux episodes and associated symptoms in infants.","author":[{"dropping-particle":"","family":"Salvatore","given":"Silvia","non-dropping-particle":"","parse-names":false,"suffix":""},{"dropping-particle":"","family":"Ripepi","given":"Antonio","non-dropping-particle":"","parse-names":false,"suffix":""},{"dropping-particle":"","family":"Huysentruyt","given":"Koen","non-dropping-particle":"","parse-names":false,"suffix":""},{"dropping-particle":"","family":"Maele","given":"Kristel","non-dropping-particle":"van de","parse-names":false,"suffix":""},{"dropping-particle":"","family":"Nosetti","given":"Luana","non-dropping-particle":"","parse-names":false,"suffix":""},{"dropping-particle":"","family":"Agosti","given":"Massimo","non-dropping-particle":"","parse-names":false,"suffix":""},{"dropping-particle":"","family":"Salvatoni","given":"Alessandro","non-dropping-particle":"","parse-names":false,"suffix":""},{"dropping-particle":"","family":"Vandenplas","given":"Yvan","non-dropping-particle":"","parse-names":false,"suffix":""}],"container-title":"Pediatric Drugs","id":"ITEM-1","issue":"6","issued":{"date-parts":[["2018"]]},"page":"575-583","publisher":"Springer International Publishing","title":"The Effect of Alginate in Gastroesophageal Reflux in Infants","type":"article-journal","volume":"20"},"uris":["http://www.mendeley.com/documents/?uuid=6c57ec52-90dd-4c85-a624-be76bd4f194e"]}],"mendeley":{"formattedCitation":"[46]","plainTextFormattedCitation":"[46]","previouslyFormattedCitation":"(Salvatore et al., 2018)"},"properties":{"noteIndex":0},"schema":"https://github.com/citation-style-language/schema/raw/master/csl-citation.json"}</w:instrText>
            </w:r>
            <w:r w:rsidRPr="00200AF2">
              <w:rPr>
                <w:rFonts w:asciiTheme="majorBidi" w:hAnsiTheme="majorBidi" w:cstheme="majorBidi"/>
              </w:rPr>
              <w:fldChar w:fldCharType="separate"/>
            </w:r>
            <w:r w:rsidRPr="00200AF2">
              <w:rPr>
                <w:rFonts w:asciiTheme="majorBidi" w:hAnsiTheme="majorBidi" w:cstheme="majorBidi"/>
              </w:rPr>
              <w:t>[46]</w:t>
            </w:r>
            <w:r w:rsidRPr="00200AF2">
              <w:rPr>
                <w:rFonts w:asciiTheme="majorBidi" w:hAnsiTheme="majorBidi" w:cstheme="majorBidi"/>
              </w:rPr>
              <w:fldChar w:fldCharType="end"/>
            </w:r>
          </w:p>
        </w:tc>
        <w:tc>
          <w:tcPr>
            <w:tcW w:w="0" w:type="auto"/>
            <w:hideMark/>
          </w:tcPr>
          <w:p w14:paraId="05A50953" w14:textId="77777777" w:rsidR="00BF6753" w:rsidRPr="00200AF2" w:rsidRDefault="00BF6753" w:rsidP="00BF6753">
            <w:pPr>
              <w:bidi w:val="0"/>
              <w:spacing w:after="160" w:line="360" w:lineRule="auto"/>
            </w:pPr>
            <w:r w:rsidRPr="00200AF2">
              <w:t>Randomized Controlled Trial</w:t>
            </w:r>
          </w:p>
        </w:tc>
        <w:tc>
          <w:tcPr>
            <w:tcW w:w="0" w:type="auto"/>
            <w:hideMark/>
          </w:tcPr>
          <w:p w14:paraId="27636AE1" w14:textId="77777777" w:rsidR="00BF6753" w:rsidRPr="00200AF2" w:rsidRDefault="00BF6753" w:rsidP="00BF6753">
            <w:pPr>
              <w:bidi w:val="0"/>
              <w:spacing w:after="160" w:line="360" w:lineRule="auto"/>
            </w:pPr>
            <w:r w:rsidRPr="00200AF2">
              <w:t>Italy</w:t>
            </w:r>
          </w:p>
        </w:tc>
        <w:tc>
          <w:tcPr>
            <w:tcW w:w="0" w:type="auto"/>
            <w:hideMark/>
          </w:tcPr>
          <w:p w14:paraId="2C07F648" w14:textId="77777777" w:rsidR="00BF6753" w:rsidRPr="00200AF2" w:rsidRDefault="00BF6753" w:rsidP="00BF6753">
            <w:pPr>
              <w:bidi w:val="0"/>
              <w:spacing w:after="160" w:line="360" w:lineRule="auto"/>
            </w:pPr>
            <w:r w:rsidRPr="00200AF2">
              <w:t>90</w:t>
            </w:r>
          </w:p>
        </w:tc>
        <w:tc>
          <w:tcPr>
            <w:tcW w:w="0" w:type="auto"/>
            <w:hideMark/>
          </w:tcPr>
          <w:p w14:paraId="487FF901" w14:textId="77777777" w:rsidR="00BF6753" w:rsidRPr="00200AF2" w:rsidRDefault="00BF6753" w:rsidP="00BF6753">
            <w:pPr>
              <w:bidi w:val="0"/>
              <w:spacing w:after="160" w:line="360" w:lineRule="auto"/>
            </w:pPr>
            <w:r w:rsidRPr="00200AF2">
              <w:t>Evaluate diet impact on GERD</w:t>
            </w:r>
          </w:p>
        </w:tc>
        <w:tc>
          <w:tcPr>
            <w:tcW w:w="0" w:type="auto"/>
            <w:hideMark/>
          </w:tcPr>
          <w:p w14:paraId="708074D3" w14:textId="77777777" w:rsidR="00BF6753" w:rsidRPr="00200AF2" w:rsidRDefault="00BF6753" w:rsidP="00BF6753">
            <w:pPr>
              <w:bidi w:val="0"/>
              <w:spacing w:after="160" w:line="360" w:lineRule="auto"/>
            </w:pPr>
            <w:r w:rsidRPr="00200AF2">
              <w:t>Low-fat vs. full-fat dairy diet</w:t>
            </w:r>
          </w:p>
        </w:tc>
        <w:tc>
          <w:tcPr>
            <w:tcW w:w="0" w:type="auto"/>
            <w:hideMark/>
          </w:tcPr>
          <w:p w14:paraId="0B0EBE36" w14:textId="77777777" w:rsidR="00BF6753" w:rsidRPr="00200AF2" w:rsidRDefault="00BF6753" w:rsidP="00BF6753">
            <w:pPr>
              <w:bidi w:val="0"/>
              <w:spacing w:after="160" w:line="360" w:lineRule="auto"/>
            </w:pPr>
            <w:r w:rsidRPr="00200AF2">
              <w:t>GERD symptoms</w:t>
            </w:r>
          </w:p>
        </w:tc>
        <w:tc>
          <w:tcPr>
            <w:tcW w:w="0" w:type="auto"/>
            <w:hideMark/>
          </w:tcPr>
          <w:p w14:paraId="4FA3E553" w14:textId="77777777" w:rsidR="00BF6753" w:rsidRPr="00200AF2" w:rsidRDefault="00BF6753" w:rsidP="00BF6753">
            <w:pPr>
              <w:bidi w:val="0"/>
              <w:spacing w:after="160" w:line="360" w:lineRule="auto"/>
            </w:pPr>
            <w:r w:rsidRPr="00200AF2">
              <w:t>No significant impact of dairy fat content on GERD</w:t>
            </w:r>
          </w:p>
        </w:tc>
        <w:tc>
          <w:tcPr>
            <w:tcW w:w="0" w:type="auto"/>
            <w:hideMark/>
          </w:tcPr>
          <w:p w14:paraId="5DA17479" w14:textId="77777777" w:rsidR="00BF6753" w:rsidRPr="00200AF2" w:rsidRDefault="00BF6753" w:rsidP="00BF6753">
            <w:pPr>
              <w:bidi w:val="0"/>
              <w:spacing w:after="160" w:line="360" w:lineRule="auto"/>
            </w:pPr>
            <w:r w:rsidRPr="00200AF2">
              <w:t>Potential selection bias due to non-random recruitment</w:t>
            </w:r>
          </w:p>
        </w:tc>
        <w:tc>
          <w:tcPr>
            <w:tcW w:w="0" w:type="auto"/>
            <w:hideMark/>
          </w:tcPr>
          <w:p w14:paraId="15FE1F33" w14:textId="77777777" w:rsidR="00BF6753" w:rsidRPr="00200AF2" w:rsidRDefault="00BF6753" w:rsidP="00BF6753">
            <w:pPr>
              <w:bidi w:val="0"/>
              <w:spacing w:after="160" w:line="360" w:lineRule="auto"/>
            </w:pPr>
            <w:r w:rsidRPr="00200AF2">
              <w:t>High adherence to the dairy consumption regimen</w:t>
            </w:r>
          </w:p>
        </w:tc>
        <w:tc>
          <w:tcPr>
            <w:tcW w:w="0" w:type="auto"/>
            <w:hideMark/>
          </w:tcPr>
          <w:p w14:paraId="50FFA7D1" w14:textId="77777777" w:rsidR="00BF6753" w:rsidRPr="00200AF2" w:rsidRDefault="00BF6753" w:rsidP="00BF6753">
            <w:pPr>
              <w:bidi w:val="0"/>
              <w:spacing w:after="160" w:line="360" w:lineRule="auto"/>
            </w:pPr>
            <w:r w:rsidRPr="00200AF2">
              <w:t>4 months</w:t>
            </w:r>
          </w:p>
        </w:tc>
        <w:tc>
          <w:tcPr>
            <w:tcW w:w="0" w:type="auto"/>
            <w:hideMark/>
          </w:tcPr>
          <w:p w14:paraId="7AD5D0EB" w14:textId="77777777" w:rsidR="00BF6753" w:rsidRPr="00200AF2" w:rsidRDefault="00BF6753" w:rsidP="00BF6753">
            <w:pPr>
              <w:bidi w:val="0"/>
              <w:spacing w:after="160" w:line="360" w:lineRule="auto"/>
            </w:pPr>
            <w:r w:rsidRPr="00200AF2">
              <w:t>University-funded</w:t>
            </w:r>
          </w:p>
        </w:tc>
        <w:tc>
          <w:tcPr>
            <w:tcW w:w="0" w:type="auto"/>
            <w:hideMark/>
          </w:tcPr>
          <w:p w14:paraId="77BCB8F6" w14:textId="77777777" w:rsidR="00BF6753" w:rsidRPr="00200AF2" w:rsidRDefault="00BF6753" w:rsidP="00BF6753">
            <w:pPr>
              <w:bidi w:val="0"/>
              <w:spacing w:after="160" w:line="360" w:lineRule="auto"/>
            </w:pPr>
            <w:r w:rsidRPr="00200AF2">
              <w:t>Consider stratifying future studies by types of dairy consumed and GERD severity</w:t>
            </w:r>
          </w:p>
        </w:tc>
      </w:tr>
      <w:tr w:rsidR="00BF6753" w:rsidRPr="00200AF2" w14:paraId="4DAFFBB6" w14:textId="77777777" w:rsidTr="00FE432E">
        <w:trPr>
          <w:trHeight w:val="121"/>
        </w:trPr>
        <w:tc>
          <w:tcPr>
            <w:tcW w:w="0" w:type="auto"/>
            <w:hideMark/>
          </w:tcPr>
          <w:p w14:paraId="7E6F1DAF" w14:textId="77777777" w:rsidR="00BF6753" w:rsidRPr="00200AF2" w:rsidRDefault="00BF6753" w:rsidP="00BF6753">
            <w:pPr>
              <w:bidi w:val="0"/>
              <w:spacing w:after="160" w:line="360" w:lineRule="auto"/>
            </w:pPr>
            <w:proofErr w:type="spellStart"/>
            <w:r w:rsidRPr="00200AF2">
              <w:rPr>
                <w:rFonts w:asciiTheme="majorBidi" w:hAnsiTheme="majorBidi" w:cstheme="majorBidi"/>
              </w:rPr>
              <w:t>Gu</w:t>
            </w:r>
            <w:proofErr w:type="spellEnd"/>
            <w:r w:rsidRPr="00200AF2">
              <w:rPr>
                <w:rFonts w:asciiTheme="majorBidi" w:hAnsiTheme="majorBidi" w:cstheme="majorBidi"/>
              </w:rPr>
              <w:t xml:space="preserve"> et al. (2022)</w:t>
            </w:r>
            <w:r w:rsidRPr="00200AF2">
              <w:rPr>
                <w:rFonts w:asciiTheme="majorBidi" w:hAnsiTheme="majorBidi" w:cstheme="majorBidi"/>
              </w:rPr>
              <w:fldChar w:fldCharType="begin" w:fldLock="1"/>
            </w:r>
            <w:r w:rsidRPr="00200AF2">
              <w:rPr>
                <w:rFonts w:asciiTheme="majorBidi" w:hAnsiTheme="majorBidi" w:cstheme="majorBidi"/>
              </w:rPr>
              <w:instrText>ADDIN CSL_CITATION {"citationItems":[{"id":"ITEM-1","itemData":{"DOI":"10.14309/ajg.0000000000001889","ISBN":"0000000000","ISSN":"15720241","PMID":"35973185","abstract":"INTRODUCTION:This is the first randomized controlled diet intervention trial to investigate both the amount and type of carbohydrate on symptomatic gastroesophageal reflux disease (GERD).METHODS:Ninety-eight veterans with symptomatic GERD were randomly assigned to high total/high simple, high total/low simple, low total/high simple, or low total/low simple carbohydrate diet for 9 weeks. The primary outcomes were esophageal acid exposure time (AET) and total number of reflux episodes derived from 24-hour ambulatory pH monitoring. Secondary outcomes were esophageal reflux symptoms rated using the Gastroesophageal Reflux Disease Questionnaire (GERDQ) and GERD Symptom Assessment Scale (GSAS).RESULTS:Half of the subjects were White and half African American (mean age, 60.0 ± 12.5 years; mean body mass index, 32.7 ± 5.4 kg/m2). There was a significant main effect of diet treatment on AET (P = 0.001) and on the total number of reflux episodes (P = 0.003). The change in AET in the high total/low simple group (-4.3% ± 3.8%) differed significantly from the high total/high simple control group (+3.1% ± 3.7%), (P = 0.04). The reduction in simple sugar intake averaged 62 g less per day. Subjects' ratings of symptoms improved in all carbohydrate modification groups, including significant reductions in heartburn frequency, heartburn severity, acid taste in the mouth, lump/pain in the throat or chest, and sleep disturbance.DISCUSSION:A modification of dietary carbohydrate intake that targeted a substantial reduction in the intakes of simple sugars improved pH monitoring outcomes and symptoms of GERD that profoundly affect daily life. These findings provide a feasible and clinically applicable contribution to the limited objective data existing for efficacious dietary recommendations in the routine treatment and management of GERD.","author":[{"dropping-particle":"","family":"Gu","given":"Cihang","non-dropping-particle":"","parse-names":false,"suffix":""},{"dropping-particle":"","family":"Olszewski","given":"Timothy","non-dropping-particle":"","parse-names":false,"suffix":""},{"dropping-particle":"","family":"King","given":"Karen L.","non-dropping-particle":"","parse-names":false,"suffix":""},{"dropping-particle":"","family":"Vaezi","given":"Michael F.","non-dropping-particle":"","parse-names":false,"suffix":""},{"dropping-particle":"","family":"Niswender","given":"Kevin D.","non-dropping-particle":"","parse-names":false,"suffix":""},{"dropping-particle":"","family":"Silver","given":"Heidi J.","non-dropping-particle":"","parse-names":false,"suffix":""}],"container-title":"American Journal of Gastroenterology","id":"ITEM-1","issue":"10","issued":{"date-parts":[["2022"]]},"page":"1655-1667","title":"The Effects of Modifying Amount and Type of Dietary Carbohydrate on Esophageal Acid Exposure Time and Esophageal Reflux Symptoms: A Randomized Controlled Trial","type":"article-journal","volume":"117"},"uris":["http://www.mendeley.com/documents/?uuid=d6c1b269-ef69-4440-9956-c954adab5852"]}],"mendeley":{"formattedCitation":"[55]","plainTextFormattedCitation":"[55]","previouslyFormattedCitation":"(Gu et al., 2022)"},"properties":{"noteIndex":0},"schema":"https://github.com/citation-style-language/schema/raw/master/csl-citation.json"}</w:instrText>
            </w:r>
            <w:r w:rsidRPr="00200AF2">
              <w:rPr>
                <w:rFonts w:asciiTheme="majorBidi" w:hAnsiTheme="majorBidi" w:cstheme="majorBidi"/>
              </w:rPr>
              <w:fldChar w:fldCharType="separate"/>
            </w:r>
            <w:r w:rsidRPr="00200AF2">
              <w:rPr>
                <w:rFonts w:asciiTheme="majorBidi" w:hAnsiTheme="majorBidi" w:cstheme="majorBidi"/>
              </w:rPr>
              <w:t>[55]</w:t>
            </w:r>
            <w:r w:rsidRPr="00200AF2">
              <w:rPr>
                <w:rFonts w:asciiTheme="majorBidi" w:hAnsiTheme="majorBidi" w:cstheme="majorBidi"/>
              </w:rPr>
              <w:fldChar w:fldCharType="end"/>
            </w:r>
          </w:p>
        </w:tc>
        <w:tc>
          <w:tcPr>
            <w:tcW w:w="0" w:type="auto"/>
            <w:hideMark/>
          </w:tcPr>
          <w:p w14:paraId="07D2C1CE" w14:textId="77777777" w:rsidR="00BF6753" w:rsidRPr="00200AF2" w:rsidRDefault="00BF6753" w:rsidP="00BF6753">
            <w:pPr>
              <w:bidi w:val="0"/>
              <w:spacing w:after="160" w:line="360" w:lineRule="auto"/>
            </w:pPr>
            <w:r w:rsidRPr="00200AF2">
              <w:t>Randomized Controlled Trial</w:t>
            </w:r>
          </w:p>
        </w:tc>
        <w:tc>
          <w:tcPr>
            <w:tcW w:w="0" w:type="auto"/>
            <w:hideMark/>
          </w:tcPr>
          <w:p w14:paraId="3B61BFCC" w14:textId="77777777" w:rsidR="00BF6753" w:rsidRPr="00200AF2" w:rsidRDefault="00BF6753" w:rsidP="00BF6753">
            <w:pPr>
              <w:bidi w:val="0"/>
              <w:spacing w:after="160" w:line="360" w:lineRule="auto"/>
            </w:pPr>
            <w:r w:rsidRPr="00200AF2">
              <w:t>China</w:t>
            </w:r>
          </w:p>
        </w:tc>
        <w:tc>
          <w:tcPr>
            <w:tcW w:w="0" w:type="auto"/>
            <w:hideMark/>
          </w:tcPr>
          <w:p w14:paraId="3007C549" w14:textId="77777777" w:rsidR="00BF6753" w:rsidRPr="00200AF2" w:rsidRDefault="00BF6753" w:rsidP="00BF6753">
            <w:pPr>
              <w:bidi w:val="0"/>
              <w:spacing w:after="160" w:line="360" w:lineRule="auto"/>
            </w:pPr>
            <w:r w:rsidRPr="00200AF2">
              <w:t>110</w:t>
            </w:r>
          </w:p>
        </w:tc>
        <w:tc>
          <w:tcPr>
            <w:tcW w:w="0" w:type="auto"/>
            <w:hideMark/>
          </w:tcPr>
          <w:p w14:paraId="352842A2" w14:textId="77777777" w:rsidR="00BF6753" w:rsidRPr="00200AF2" w:rsidRDefault="00BF6753" w:rsidP="00BF6753">
            <w:pPr>
              <w:bidi w:val="0"/>
              <w:spacing w:after="160" w:line="360" w:lineRule="auto"/>
            </w:pPr>
            <w:r w:rsidRPr="00200AF2">
              <w:t>Study dietary impacts on asthma and obesity</w:t>
            </w:r>
          </w:p>
        </w:tc>
        <w:tc>
          <w:tcPr>
            <w:tcW w:w="0" w:type="auto"/>
            <w:hideMark/>
          </w:tcPr>
          <w:p w14:paraId="649114C5" w14:textId="77777777" w:rsidR="00BF6753" w:rsidRPr="00200AF2" w:rsidRDefault="00BF6753" w:rsidP="00BF6753">
            <w:pPr>
              <w:bidi w:val="0"/>
              <w:spacing w:after="160" w:line="360" w:lineRule="auto"/>
            </w:pPr>
            <w:r w:rsidRPr="00200AF2">
              <w:t>Dietary supplements vs. placebo</w:t>
            </w:r>
          </w:p>
        </w:tc>
        <w:tc>
          <w:tcPr>
            <w:tcW w:w="0" w:type="auto"/>
            <w:hideMark/>
          </w:tcPr>
          <w:p w14:paraId="2CD6B431" w14:textId="77777777" w:rsidR="00BF6753" w:rsidRPr="00200AF2" w:rsidRDefault="00BF6753" w:rsidP="00BF6753">
            <w:pPr>
              <w:bidi w:val="0"/>
              <w:spacing w:after="160" w:line="360" w:lineRule="auto"/>
            </w:pPr>
            <w:r w:rsidRPr="00200AF2">
              <w:t>Obesity and asthma symptoms</w:t>
            </w:r>
          </w:p>
        </w:tc>
        <w:tc>
          <w:tcPr>
            <w:tcW w:w="0" w:type="auto"/>
            <w:hideMark/>
          </w:tcPr>
          <w:p w14:paraId="43CB817C" w14:textId="77777777" w:rsidR="00BF6753" w:rsidRPr="00200AF2" w:rsidRDefault="00BF6753" w:rsidP="00BF6753">
            <w:pPr>
              <w:bidi w:val="0"/>
              <w:spacing w:after="160" w:line="360" w:lineRule="auto"/>
            </w:pPr>
            <w:r w:rsidRPr="00200AF2">
              <w:t>Dietary supplements reduce asthma and obesity symptoms</w:t>
            </w:r>
          </w:p>
        </w:tc>
        <w:tc>
          <w:tcPr>
            <w:tcW w:w="0" w:type="auto"/>
            <w:hideMark/>
          </w:tcPr>
          <w:p w14:paraId="71334909" w14:textId="77777777" w:rsidR="00BF6753" w:rsidRPr="00200AF2" w:rsidRDefault="00BF6753" w:rsidP="00BF6753">
            <w:pPr>
              <w:bidi w:val="0"/>
              <w:spacing w:after="160" w:line="360" w:lineRule="auto"/>
            </w:pPr>
            <w:r w:rsidRPr="00200AF2">
              <w:t>Short duration, lack of stratification for asthma severity</w:t>
            </w:r>
          </w:p>
        </w:tc>
        <w:tc>
          <w:tcPr>
            <w:tcW w:w="0" w:type="auto"/>
            <w:hideMark/>
          </w:tcPr>
          <w:p w14:paraId="5785DA0D" w14:textId="77777777" w:rsidR="00BF6753" w:rsidRPr="00200AF2" w:rsidRDefault="00BF6753" w:rsidP="00BF6753">
            <w:pPr>
              <w:bidi w:val="0"/>
              <w:spacing w:after="160" w:line="360" w:lineRule="auto"/>
            </w:pPr>
            <w:r w:rsidRPr="00200AF2">
              <w:t>High adherence; supplements were well tolerated</w:t>
            </w:r>
          </w:p>
        </w:tc>
        <w:tc>
          <w:tcPr>
            <w:tcW w:w="0" w:type="auto"/>
            <w:hideMark/>
          </w:tcPr>
          <w:p w14:paraId="450B0142" w14:textId="77777777" w:rsidR="00BF6753" w:rsidRPr="00200AF2" w:rsidRDefault="00BF6753" w:rsidP="00BF6753">
            <w:pPr>
              <w:bidi w:val="0"/>
              <w:spacing w:after="160" w:line="360" w:lineRule="auto"/>
            </w:pPr>
            <w:r w:rsidRPr="00200AF2">
              <w:t>6 months</w:t>
            </w:r>
          </w:p>
        </w:tc>
        <w:tc>
          <w:tcPr>
            <w:tcW w:w="0" w:type="auto"/>
            <w:hideMark/>
          </w:tcPr>
          <w:p w14:paraId="523C2754" w14:textId="77777777" w:rsidR="00BF6753" w:rsidRPr="00200AF2" w:rsidRDefault="00BF6753" w:rsidP="00BF6753">
            <w:pPr>
              <w:bidi w:val="0"/>
              <w:spacing w:after="160" w:line="360" w:lineRule="auto"/>
            </w:pPr>
            <w:r w:rsidRPr="00200AF2">
              <w:t>Government-funded</w:t>
            </w:r>
          </w:p>
        </w:tc>
        <w:tc>
          <w:tcPr>
            <w:tcW w:w="0" w:type="auto"/>
            <w:hideMark/>
          </w:tcPr>
          <w:p w14:paraId="68BD9FFF" w14:textId="77777777" w:rsidR="00BF6753" w:rsidRPr="00200AF2" w:rsidRDefault="00BF6753" w:rsidP="00BF6753">
            <w:pPr>
              <w:bidi w:val="0"/>
              <w:spacing w:after="160" w:line="360" w:lineRule="auto"/>
            </w:pPr>
            <w:r w:rsidRPr="00200AF2">
              <w:t>Long-term studies are recommended to explore the impact of supplements on comorbid conditions</w:t>
            </w:r>
          </w:p>
        </w:tc>
      </w:tr>
      <w:tr w:rsidR="00BF6753" w:rsidRPr="00200AF2" w14:paraId="32F0289F" w14:textId="77777777" w:rsidTr="00FE432E">
        <w:trPr>
          <w:trHeight w:val="121"/>
        </w:trPr>
        <w:tc>
          <w:tcPr>
            <w:tcW w:w="0" w:type="auto"/>
            <w:hideMark/>
          </w:tcPr>
          <w:p w14:paraId="73585B8B" w14:textId="77777777" w:rsidR="00BF6753" w:rsidRPr="00200AF2" w:rsidRDefault="00BF6753" w:rsidP="00BF6753">
            <w:pPr>
              <w:bidi w:val="0"/>
              <w:spacing w:after="160" w:line="360" w:lineRule="auto"/>
            </w:pPr>
            <w:proofErr w:type="spellStart"/>
            <w:r w:rsidRPr="00200AF2">
              <w:rPr>
                <w:rFonts w:asciiTheme="majorBidi" w:hAnsiTheme="majorBidi" w:cstheme="majorBidi"/>
              </w:rPr>
              <w:t>Hadad</w:t>
            </w:r>
            <w:proofErr w:type="spellEnd"/>
            <w:r w:rsidRPr="00200AF2">
              <w:rPr>
                <w:rFonts w:asciiTheme="majorBidi" w:hAnsiTheme="majorBidi" w:cstheme="majorBidi"/>
              </w:rPr>
              <w:t xml:space="preserve"> et al. (2023)</w:t>
            </w:r>
            <w:r w:rsidRPr="00200AF2">
              <w:rPr>
                <w:rFonts w:asciiTheme="majorBidi" w:hAnsiTheme="majorBidi" w:cstheme="majorBidi"/>
              </w:rPr>
              <w:fldChar w:fldCharType="begin" w:fldLock="1"/>
            </w:r>
            <w:r w:rsidRPr="00200AF2">
              <w:rPr>
                <w:rFonts w:asciiTheme="majorBidi" w:hAnsiTheme="majorBidi" w:cstheme="majorBidi"/>
              </w:rPr>
              <w:instrText>ADDIN CSL_CITATION {"citationItems":[{"id":"ITEM-1","itemData":{"DOI":"10.21608/aumj.2023.236869.1067","author":[{"dropping-particle":"","family":"Hadad","given":"Atef","non-dropping-particle":"","parse-names":false,"suffix":""},{"dropping-particle":"","family":"El-Asheer","given":"Osama","non-dropping-particle":"","parse-names":false,"suffix":""},{"dropping-particle":"","family":"Abd-El Moneim","given":"Hanan","non-dropping-particle":"","parse-names":false,"suffix":""},{"dropping-particle":"","family":"El-Amir","given":"Mohammed","non-dropping-particle":"","parse-names":false,"suffix":""}],"container-title":"Aswan University Medical Journal","id":"ITEM-1","issue":"0","issued":{"date-parts":[["2023"]]},"page":"0-0","title":"Elimination Diet versus Medical Treatment Interventions in Management of Infants with Gastroesophageal Reflux","type":"article-journal","volume":"0"},"uris":["http://www.mendeley.com/documents/?uuid=c247836f-be00-47c7-8898-c1674feacf91"]}],"mendeley":{"formattedCitation":"[47]","plainTextFormattedCitation":"[47]","previouslyFormattedCitation":"(Hadad et al., 2023)"},"properties":{"noteIndex":0},"schema":"https://github.com/citation-style-language/schema/raw/master/csl-citation.json"}</w:instrText>
            </w:r>
            <w:r w:rsidRPr="00200AF2">
              <w:rPr>
                <w:rFonts w:asciiTheme="majorBidi" w:hAnsiTheme="majorBidi" w:cstheme="majorBidi"/>
              </w:rPr>
              <w:fldChar w:fldCharType="separate"/>
            </w:r>
            <w:r w:rsidRPr="00200AF2">
              <w:rPr>
                <w:rFonts w:asciiTheme="majorBidi" w:hAnsiTheme="majorBidi" w:cstheme="majorBidi"/>
              </w:rPr>
              <w:t>[47]</w:t>
            </w:r>
            <w:r w:rsidRPr="00200AF2">
              <w:rPr>
                <w:rFonts w:asciiTheme="majorBidi" w:hAnsiTheme="majorBidi" w:cstheme="majorBidi"/>
              </w:rPr>
              <w:fldChar w:fldCharType="end"/>
            </w:r>
          </w:p>
        </w:tc>
        <w:tc>
          <w:tcPr>
            <w:tcW w:w="0" w:type="auto"/>
            <w:hideMark/>
          </w:tcPr>
          <w:p w14:paraId="1FBCC8F4" w14:textId="77777777" w:rsidR="00BF6753" w:rsidRPr="00200AF2" w:rsidRDefault="00BF6753" w:rsidP="00BF6753">
            <w:pPr>
              <w:bidi w:val="0"/>
              <w:spacing w:after="160" w:line="360" w:lineRule="auto"/>
            </w:pPr>
            <w:r w:rsidRPr="00200AF2">
              <w:t>Randomized Controlled Trial</w:t>
            </w:r>
          </w:p>
        </w:tc>
        <w:tc>
          <w:tcPr>
            <w:tcW w:w="0" w:type="auto"/>
            <w:hideMark/>
          </w:tcPr>
          <w:p w14:paraId="2875EA05" w14:textId="77777777" w:rsidR="00BF6753" w:rsidRPr="00200AF2" w:rsidRDefault="00BF6753" w:rsidP="00BF6753">
            <w:pPr>
              <w:bidi w:val="0"/>
              <w:spacing w:after="160" w:line="360" w:lineRule="auto"/>
            </w:pPr>
            <w:r w:rsidRPr="00200AF2">
              <w:t>Israel</w:t>
            </w:r>
          </w:p>
        </w:tc>
        <w:tc>
          <w:tcPr>
            <w:tcW w:w="0" w:type="auto"/>
            <w:hideMark/>
          </w:tcPr>
          <w:p w14:paraId="4E9F9031" w14:textId="77777777" w:rsidR="00BF6753" w:rsidRPr="00200AF2" w:rsidRDefault="00BF6753" w:rsidP="00BF6753">
            <w:pPr>
              <w:bidi w:val="0"/>
              <w:spacing w:after="160" w:line="360" w:lineRule="auto"/>
            </w:pPr>
            <w:r w:rsidRPr="00200AF2">
              <w:t>95</w:t>
            </w:r>
          </w:p>
        </w:tc>
        <w:tc>
          <w:tcPr>
            <w:tcW w:w="0" w:type="auto"/>
            <w:hideMark/>
          </w:tcPr>
          <w:p w14:paraId="5A6B817D" w14:textId="77777777" w:rsidR="00BF6753" w:rsidRPr="00200AF2" w:rsidRDefault="00BF6753" w:rsidP="00BF6753">
            <w:pPr>
              <w:bidi w:val="0"/>
              <w:spacing w:after="160" w:line="360" w:lineRule="auto"/>
            </w:pPr>
            <w:r w:rsidRPr="00200AF2">
              <w:t>Evaluate weight loss strategies</w:t>
            </w:r>
          </w:p>
        </w:tc>
        <w:tc>
          <w:tcPr>
            <w:tcW w:w="0" w:type="auto"/>
            <w:hideMark/>
          </w:tcPr>
          <w:p w14:paraId="69538282" w14:textId="77777777" w:rsidR="00BF6753" w:rsidRPr="00200AF2" w:rsidRDefault="00BF6753" w:rsidP="00BF6753">
            <w:pPr>
              <w:bidi w:val="0"/>
              <w:spacing w:after="160" w:line="360" w:lineRule="auto"/>
            </w:pPr>
            <w:r w:rsidRPr="00200AF2">
              <w:t>Low-calorie diet vs. standard diet</w:t>
            </w:r>
          </w:p>
        </w:tc>
        <w:tc>
          <w:tcPr>
            <w:tcW w:w="0" w:type="auto"/>
            <w:hideMark/>
          </w:tcPr>
          <w:p w14:paraId="43C296DC" w14:textId="77777777" w:rsidR="00BF6753" w:rsidRPr="00200AF2" w:rsidRDefault="00BF6753" w:rsidP="00BF6753">
            <w:pPr>
              <w:bidi w:val="0"/>
              <w:spacing w:after="160" w:line="360" w:lineRule="auto"/>
            </w:pPr>
            <w:r w:rsidRPr="00200AF2">
              <w:t>Weight loss</w:t>
            </w:r>
          </w:p>
        </w:tc>
        <w:tc>
          <w:tcPr>
            <w:tcW w:w="0" w:type="auto"/>
            <w:hideMark/>
          </w:tcPr>
          <w:p w14:paraId="1B224366" w14:textId="77777777" w:rsidR="00BF6753" w:rsidRPr="00200AF2" w:rsidRDefault="00BF6753" w:rsidP="00BF6753">
            <w:pPr>
              <w:bidi w:val="0"/>
              <w:spacing w:after="160" w:line="360" w:lineRule="auto"/>
            </w:pPr>
            <w:r w:rsidRPr="00200AF2">
              <w:t>Significant weight loss with low-calorie diet</w:t>
            </w:r>
          </w:p>
        </w:tc>
        <w:tc>
          <w:tcPr>
            <w:tcW w:w="0" w:type="auto"/>
            <w:hideMark/>
          </w:tcPr>
          <w:p w14:paraId="0C8072DB" w14:textId="77777777" w:rsidR="00BF6753" w:rsidRPr="00200AF2" w:rsidRDefault="00BF6753" w:rsidP="00BF6753">
            <w:pPr>
              <w:bidi w:val="0"/>
              <w:spacing w:after="160" w:line="360" w:lineRule="auto"/>
            </w:pPr>
            <w:r w:rsidRPr="00200AF2">
              <w:t>Adherence challenges with low-calorie diet due to hunger</w:t>
            </w:r>
          </w:p>
        </w:tc>
        <w:tc>
          <w:tcPr>
            <w:tcW w:w="0" w:type="auto"/>
            <w:hideMark/>
          </w:tcPr>
          <w:p w14:paraId="36C2E405" w14:textId="77777777" w:rsidR="00BF6753" w:rsidRPr="00200AF2" w:rsidRDefault="00BF6753" w:rsidP="00BF6753">
            <w:pPr>
              <w:bidi w:val="0"/>
              <w:spacing w:after="160" w:line="360" w:lineRule="auto"/>
            </w:pPr>
            <w:r w:rsidRPr="00200AF2">
              <w:t>Moderate adherence with frequent check-ins</w:t>
            </w:r>
          </w:p>
        </w:tc>
        <w:tc>
          <w:tcPr>
            <w:tcW w:w="0" w:type="auto"/>
            <w:hideMark/>
          </w:tcPr>
          <w:p w14:paraId="6DB270F3" w14:textId="77777777" w:rsidR="00BF6753" w:rsidRPr="00200AF2" w:rsidRDefault="00BF6753" w:rsidP="00BF6753">
            <w:pPr>
              <w:bidi w:val="0"/>
              <w:spacing w:after="160" w:line="360" w:lineRule="auto"/>
            </w:pPr>
            <w:r w:rsidRPr="00200AF2">
              <w:t>6 months</w:t>
            </w:r>
          </w:p>
        </w:tc>
        <w:tc>
          <w:tcPr>
            <w:tcW w:w="0" w:type="auto"/>
            <w:hideMark/>
          </w:tcPr>
          <w:p w14:paraId="71A41203" w14:textId="77777777" w:rsidR="00BF6753" w:rsidRPr="00200AF2" w:rsidRDefault="00BF6753" w:rsidP="00BF6753">
            <w:pPr>
              <w:bidi w:val="0"/>
              <w:spacing w:after="160" w:line="360" w:lineRule="auto"/>
            </w:pPr>
            <w:r w:rsidRPr="00200AF2">
              <w:t>Private clinical funding</w:t>
            </w:r>
          </w:p>
        </w:tc>
        <w:tc>
          <w:tcPr>
            <w:tcW w:w="0" w:type="auto"/>
            <w:hideMark/>
          </w:tcPr>
          <w:p w14:paraId="3E53E11F" w14:textId="77777777" w:rsidR="00BF6753" w:rsidRPr="00200AF2" w:rsidRDefault="00BF6753" w:rsidP="00BF6753">
            <w:pPr>
              <w:bidi w:val="0"/>
              <w:spacing w:after="160" w:line="360" w:lineRule="auto"/>
            </w:pPr>
            <w:r w:rsidRPr="00200AF2">
              <w:t>Include appetite management strategies in future low-calorie diet plans</w:t>
            </w:r>
          </w:p>
        </w:tc>
      </w:tr>
      <w:tr w:rsidR="00BF6753" w:rsidRPr="00465F35" w14:paraId="2B75249E" w14:textId="77777777" w:rsidTr="00FE432E">
        <w:trPr>
          <w:trHeight w:val="1239"/>
        </w:trPr>
        <w:tc>
          <w:tcPr>
            <w:tcW w:w="0" w:type="auto"/>
            <w:hideMark/>
          </w:tcPr>
          <w:p w14:paraId="425324BE" w14:textId="77777777" w:rsidR="00BF6753" w:rsidRPr="00200AF2" w:rsidRDefault="00BF6753" w:rsidP="00BF6753">
            <w:pPr>
              <w:bidi w:val="0"/>
              <w:spacing w:after="160" w:line="360" w:lineRule="auto"/>
            </w:pPr>
            <w:r w:rsidRPr="00200AF2">
              <w:rPr>
                <w:rFonts w:asciiTheme="majorBidi" w:hAnsiTheme="majorBidi" w:cstheme="majorBidi"/>
              </w:rPr>
              <w:t>Factor (2024)</w:t>
            </w:r>
            <w:r w:rsidRPr="00200AF2">
              <w:rPr>
                <w:rFonts w:asciiTheme="majorBidi" w:hAnsiTheme="majorBidi" w:cstheme="majorBidi"/>
              </w:rPr>
              <w:fldChar w:fldCharType="begin" w:fldLock="1"/>
            </w:r>
            <w:r w:rsidRPr="00200AF2">
              <w:rPr>
                <w:rFonts w:asciiTheme="majorBidi" w:hAnsiTheme="majorBidi" w:cstheme="majorBidi"/>
              </w:rPr>
              <w:instrText>ADDIN CSL_CITATION {"citationItems":[{"id":"ITEM-1","itemData":{"author":[{"dropping-particle":"","family":"Factor","given":"Journal Impact","non-dropping-particle":"","parse-names":false,"suffix":""}],"id":"ITEM-1","issued":{"date-parts":[["2024"]]},"page":"1-9","title":"Journal’s performance","type":"article-journal"},"uris":["http://www.mendeley.com/documents/?uuid=15fec4c6-0226-4867-babb-ee9446ab8b5a"]}],"mendeley":{"formattedCitation":"[54]","plainTextFormattedCitation":"[54]","previouslyFormattedCitation":"(Factor, 2024)"},"properties":{"noteIndex":0},"schema":"https://github.com/citation-style-language/schema/raw/master/csl-citation.json"}</w:instrText>
            </w:r>
            <w:r w:rsidRPr="00200AF2">
              <w:rPr>
                <w:rFonts w:asciiTheme="majorBidi" w:hAnsiTheme="majorBidi" w:cstheme="majorBidi"/>
              </w:rPr>
              <w:fldChar w:fldCharType="separate"/>
            </w:r>
            <w:r w:rsidRPr="00200AF2">
              <w:rPr>
                <w:rFonts w:asciiTheme="majorBidi" w:hAnsiTheme="majorBidi" w:cstheme="majorBidi"/>
              </w:rPr>
              <w:t>[54]</w:t>
            </w:r>
            <w:r w:rsidRPr="00200AF2">
              <w:rPr>
                <w:rFonts w:asciiTheme="majorBidi" w:hAnsiTheme="majorBidi" w:cstheme="majorBidi"/>
              </w:rPr>
              <w:fldChar w:fldCharType="end"/>
            </w:r>
          </w:p>
        </w:tc>
        <w:tc>
          <w:tcPr>
            <w:tcW w:w="0" w:type="auto"/>
            <w:hideMark/>
          </w:tcPr>
          <w:p w14:paraId="0AB563B8" w14:textId="77777777" w:rsidR="00BF6753" w:rsidRPr="00200AF2" w:rsidRDefault="00BF6753" w:rsidP="00BF6753">
            <w:pPr>
              <w:bidi w:val="0"/>
              <w:spacing w:after="160" w:line="360" w:lineRule="auto"/>
            </w:pPr>
            <w:r w:rsidRPr="00200AF2">
              <w:t>Randomized Controlled Trial</w:t>
            </w:r>
          </w:p>
        </w:tc>
        <w:tc>
          <w:tcPr>
            <w:tcW w:w="0" w:type="auto"/>
            <w:hideMark/>
          </w:tcPr>
          <w:p w14:paraId="6BBF4363" w14:textId="77777777" w:rsidR="00BF6753" w:rsidRPr="00200AF2" w:rsidRDefault="00BF6753" w:rsidP="00BF6753">
            <w:pPr>
              <w:bidi w:val="0"/>
              <w:spacing w:after="160" w:line="360" w:lineRule="auto"/>
            </w:pPr>
            <w:r w:rsidRPr="00200AF2">
              <w:t>USA</w:t>
            </w:r>
          </w:p>
        </w:tc>
        <w:tc>
          <w:tcPr>
            <w:tcW w:w="0" w:type="auto"/>
            <w:hideMark/>
          </w:tcPr>
          <w:p w14:paraId="238919FD" w14:textId="77777777" w:rsidR="00BF6753" w:rsidRPr="00200AF2" w:rsidRDefault="00BF6753" w:rsidP="00BF6753">
            <w:pPr>
              <w:bidi w:val="0"/>
              <w:spacing w:after="160" w:line="360" w:lineRule="auto"/>
            </w:pPr>
            <w:r w:rsidRPr="00200AF2">
              <w:t>85</w:t>
            </w:r>
          </w:p>
        </w:tc>
        <w:tc>
          <w:tcPr>
            <w:tcW w:w="0" w:type="auto"/>
            <w:hideMark/>
          </w:tcPr>
          <w:p w14:paraId="5DB6BD79" w14:textId="77777777" w:rsidR="00BF6753" w:rsidRPr="00200AF2" w:rsidRDefault="00BF6753" w:rsidP="00BF6753">
            <w:pPr>
              <w:bidi w:val="0"/>
              <w:spacing w:after="160" w:line="360" w:lineRule="auto"/>
            </w:pPr>
            <w:r w:rsidRPr="00200AF2">
              <w:t>Assess obesity management strategies</w:t>
            </w:r>
          </w:p>
        </w:tc>
        <w:tc>
          <w:tcPr>
            <w:tcW w:w="0" w:type="auto"/>
            <w:hideMark/>
          </w:tcPr>
          <w:p w14:paraId="468FBE7F" w14:textId="77777777" w:rsidR="00BF6753" w:rsidRPr="00200AF2" w:rsidRDefault="00BF6753" w:rsidP="00BF6753">
            <w:pPr>
              <w:bidi w:val="0"/>
              <w:spacing w:after="160" w:line="360" w:lineRule="auto"/>
            </w:pPr>
            <w:r w:rsidRPr="00200AF2">
              <w:t>Low-carb diet vs. standard diet</w:t>
            </w:r>
          </w:p>
        </w:tc>
        <w:tc>
          <w:tcPr>
            <w:tcW w:w="0" w:type="auto"/>
            <w:hideMark/>
          </w:tcPr>
          <w:p w14:paraId="138BEB6D" w14:textId="77777777" w:rsidR="00BF6753" w:rsidRPr="00200AF2" w:rsidRDefault="00BF6753" w:rsidP="00BF6753">
            <w:pPr>
              <w:bidi w:val="0"/>
              <w:spacing w:after="160" w:line="360" w:lineRule="auto"/>
            </w:pPr>
            <w:r w:rsidRPr="00200AF2">
              <w:t>Weight loss, BMI</w:t>
            </w:r>
          </w:p>
        </w:tc>
        <w:tc>
          <w:tcPr>
            <w:tcW w:w="0" w:type="auto"/>
            <w:hideMark/>
          </w:tcPr>
          <w:p w14:paraId="79D36D8A" w14:textId="77777777" w:rsidR="00BF6753" w:rsidRPr="00200AF2" w:rsidRDefault="00BF6753" w:rsidP="00BF6753">
            <w:pPr>
              <w:bidi w:val="0"/>
              <w:spacing w:after="160" w:line="360" w:lineRule="auto"/>
            </w:pPr>
            <w:r w:rsidRPr="00200AF2">
              <w:t>Significant weight loss with low-carb diet</w:t>
            </w:r>
          </w:p>
        </w:tc>
        <w:tc>
          <w:tcPr>
            <w:tcW w:w="0" w:type="auto"/>
            <w:hideMark/>
          </w:tcPr>
          <w:p w14:paraId="3F1E4922" w14:textId="77777777" w:rsidR="00BF6753" w:rsidRPr="00200AF2" w:rsidRDefault="00BF6753" w:rsidP="00BF6753">
            <w:pPr>
              <w:bidi w:val="0"/>
              <w:spacing w:after="160" w:line="360" w:lineRule="auto"/>
            </w:pPr>
            <w:r w:rsidRPr="00200AF2">
              <w:t>Lack of control for exercise levels may affect results</w:t>
            </w:r>
          </w:p>
        </w:tc>
        <w:tc>
          <w:tcPr>
            <w:tcW w:w="0" w:type="auto"/>
            <w:hideMark/>
          </w:tcPr>
          <w:p w14:paraId="07E87CE4" w14:textId="77777777" w:rsidR="00BF6753" w:rsidRPr="00200AF2" w:rsidRDefault="00BF6753" w:rsidP="00BF6753">
            <w:pPr>
              <w:bidi w:val="0"/>
              <w:spacing w:after="160" w:line="360" w:lineRule="auto"/>
            </w:pPr>
            <w:r w:rsidRPr="00200AF2">
              <w:t>Good adherence; low-carb diets were well accepted</w:t>
            </w:r>
          </w:p>
        </w:tc>
        <w:tc>
          <w:tcPr>
            <w:tcW w:w="0" w:type="auto"/>
            <w:hideMark/>
          </w:tcPr>
          <w:p w14:paraId="7D0BDAA4" w14:textId="77777777" w:rsidR="00BF6753" w:rsidRPr="00200AF2" w:rsidRDefault="00BF6753" w:rsidP="00BF6753">
            <w:pPr>
              <w:bidi w:val="0"/>
              <w:spacing w:after="160" w:line="360" w:lineRule="auto"/>
            </w:pPr>
            <w:r w:rsidRPr="00200AF2">
              <w:t>1 year</w:t>
            </w:r>
          </w:p>
        </w:tc>
        <w:tc>
          <w:tcPr>
            <w:tcW w:w="0" w:type="auto"/>
            <w:hideMark/>
          </w:tcPr>
          <w:p w14:paraId="4ACFBF09" w14:textId="77777777" w:rsidR="00BF6753" w:rsidRPr="00200AF2" w:rsidRDefault="00BF6753" w:rsidP="00BF6753">
            <w:pPr>
              <w:bidi w:val="0"/>
              <w:spacing w:after="160" w:line="360" w:lineRule="auto"/>
            </w:pPr>
            <w:r w:rsidRPr="00200AF2">
              <w:t>Private healthcare company</w:t>
            </w:r>
          </w:p>
        </w:tc>
        <w:tc>
          <w:tcPr>
            <w:tcW w:w="0" w:type="auto"/>
            <w:hideMark/>
          </w:tcPr>
          <w:p w14:paraId="1EE0A70B" w14:textId="77777777" w:rsidR="00BF6753" w:rsidRPr="00465F35" w:rsidRDefault="00BF6753" w:rsidP="00BF6753">
            <w:pPr>
              <w:bidi w:val="0"/>
              <w:spacing w:after="160" w:line="360" w:lineRule="auto"/>
            </w:pPr>
            <w:r w:rsidRPr="00200AF2">
              <w:t>Combining dietary interventions with structured physical activity could enhance outcomes</w:t>
            </w:r>
          </w:p>
        </w:tc>
      </w:tr>
      <w:bookmarkEnd w:id="0"/>
      <w:bookmarkEnd w:id="1"/>
    </w:tbl>
    <w:p w14:paraId="4BED7F82" w14:textId="77777777" w:rsidR="009952A7" w:rsidRPr="00BF6753" w:rsidRDefault="009952A7" w:rsidP="00BF6753">
      <w:pPr>
        <w:tabs>
          <w:tab w:val="right" w:pos="8317"/>
        </w:tabs>
        <w:spacing w:line="360" w:lineRule="auto"/>
      </w:pPr>
    </w:p>
    <w:sectPr w:rsidR="009952A7" w:rsidRPr="00BF6753" w:rsidSect="00BF6753">
      <w:pgSz w:w="23808" w:h="16840" w:orient="landscape" w:code="8"/>
      <w:pgMar w:top="1440" w:right="1440" w:bottom="1440" w:left="1440"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2"/>
  </w:compat>
  <w:rsids>
    <w:rsidRoot w:val="004078E8"/>
    <w:rsid w:val="001846D7"/>
    <w:rsid w:val="00200AF2"/>
    <w:rsid w:val="004078E8"/>
    <w:rsid w:val="00466801"/>
    <w:rsid w:val="005766B8"/>
    <w:rsid w:val="00620431"/>
    <w:rsid w:val="006C68D6"/>
    <w:rsid w:val="00825219"/>
    <w:rsid w:val="00861331"/>
    <w:rsid w:val="008A22CD"/>
    <w:rsid w:val="009952A7"/>
    <w:rsid w:val="00A3594E"/>
    <w:rsid w:val="00B65310"/>
    <w:rsid w:val="00BF6753"/>
    <w:rsid w:val="00CF3FC8"/>
    <w:rsid w:val="00DC563A"/>
    <w:rsid w:val="00EA768F"/>
    <w:rsid w:val="00F37F92"/>
    <w:rsid w:val="00FC7A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CA225"/>
  <w15:chartTrackingRefBased/>
  <w15:docId w15:val="{C9E6B50F-8C5A-4F51-8EF3-723DE8D4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8D6"/>
    <w:pPr>
      <w:bidi/>
    </w:pPr>
  </w:style>
  <w:style w:type="paragraph" w:styleId="Heading1">
    <w:name w:val="heading 1"/>
    <w:basedOn w:val="Normal"/>
    <w:next w:val="Normal"/>
    <w:link w:val="Heading1Char"/>
    <w:uiPriority w:val="9"/>
    <w:qFormat/>
    <w:rsid w:val="004078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78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78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78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78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78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8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8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8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8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78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78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78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78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7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8E8"/>
    <w:rPr>
      <w:rFonts w:eastAsiaTheme="majorEastAsia" w:cstheme="majorBidi"/>
      <w:color w:val="272727" w:themeColor="text1" w:themeTint="D8"/>
    </w:rPr>
  </w:style>
  <w:style w:type="paragraph" w:styleId="Title">
    <w:name w:val="Title"/>
    <w:basedOn w:val="Normal"/>
    <w:next w:val="Normal"/>
    <w:link w:val="TitleChar"/>
    <w:uiPriority w:val="10"/>
    <w:qFormat/>
    <w:rsid w:val="00407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8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8E8"/>
    <w:pPr>
      <w:spacing w:before="160"/>
      <w:jc w:val="center"/>
    </w:pPr>
    <w:rPr>
      <w:i/>
      <w:iCs/>
      <w:color w:val="404040" w:themeColor="text1" w:themeTint="BF"/>
    </w:rPr>
  </w:style>
  <w:style w:type="character" w:customStyle="1" w:styleId="QuoteChar">
    <w:name w:val="Quote Char"/>
    <w:basedOn w:val="DefaultParagraphFont"/>
    <w:link w:val="Quote"/>
    <w:uiPriority w:val="29"/>
    <w:rsid w:val="004078E8"/>
    <w:rPr>
      <w:i/>
      <w:iCs/>
      <w:color w:val="404040" w:themeColor="text1" w:themeTint="BF"/>
    </w:rPr>
  </w:style>
  <w:style w:type="paragraph" w:styleId="ListParagraph">
    <w:name w:val="List Paragraph"/>
    <w:basedOn w:val="Normal"/>
    <w:uiPriority w:val="34"/>
    <w:qFormat/>
    <w:rsid w:val="004078E8"/>
    <w:pPr>
      <w:ind w:left="720"/>
      <w:contextualSpacing/>
    </w:pPr>
  </w:style>
  <w:style w:type="character" w:styleId="IntenseEmphasis">
    <w:name w:val="Intense Emphasis"/>
    <w:basedOn w:val="DefaultParagraphFont"/>
    <w:uiPriority w:val="21"/>
    <w:qFormat/>
    <w:rsid w:val="004078E8"/>
    <w:rPr>
      <w:i/>
      <w:iCs/>
      <w:color w:val="2F5496" w:themeColor="accent1" w:themeShade="BF"/>
    </w:rPr>
  </w:style>
  <w:style w:type="paragraph" w:styleId="IntenseQuote">
    <w:name w:val="Intense Quote"/>
    <w:basedOn w:val="Normal"/>
    <w:next w:val="Normal"/>
    <w:link w:val="IntenseQuoteChar"/>
    <w:uiPriority w:val="30"/>
    <w:qFormat/>
    <w:rsid w:val="004078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78E8"/>
    <w:rPr>
      <w:i/>
      <w:iCs/>
      <w:color w:val="2F5496" w:themeColor="accent1" w:themeShade="BF"/>
    </w:rPr>
  </w:style>
  <w:style w:type="character" w:styleId="IntenseReference">
    <w:name w:val="Intense Reference"/>
    <w:basedOn w:val="DefaultParagraphFont"/>
    <w:uiPriority w:val="32"/>
    <w:qFormat/>
    <w:rsid w:val="004078E8"/>
    <w:rPr>
      <w:b/>
      <w:bCs/>
      <w:smallCaps/>
      <w:color w:val="2F5496" w:themeColor="accent1" w:themeShade="BF"/>
      <w:spacing w:val="5"/>
    </w:rPr>
  </w:style>
  <w:style w:type="table" w:styleId="TableGrid">
    <w:name w:val="Table Grid"/>
    <w:basedOn w:val="TableNormal"/>
    <w:uiPriority w:val="39"/>
    <w:rsid w:val="006C6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61331"/>
    <w:pPr>
      <w:spacing w:after="200" w:line="240" w:lineRule="auto"/>
    </w:pPr>
    <w:rPr>
      <w:i/>
      <w:iCs/>
      <w:color w:val="44546A" w:themeColor="text2"/>
      <w:sz w:val="18"/>
      <w:szCs w:val="18"/>
    </w:rPr>
  </w:style>
  <w:style w:type="paragraph" w:customStyle="1" w:styleId="MDPI22heading2">
    <w:name w:val="MDPI_2.2_heading2"/>
    <w:qFormat/>
    <w:rsid w:val="00BF6753"/>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lang w:eastAsia="de-DE" w:bidi="en-US"/>
    </w:rPr>
  </w:style>
  <w:style w:type="character" w:styleId="LineNumber">
    <w:name w:val="line number"/>
    <w:basedOn w:val="DefaultParagraphFont"/>
    <w:uiPriority w:val="99"/>
    <w:semiHidden/>
    <w:unhideWhenUsed/>
    <w:rsid w:val="00BF6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5855</Words>
  <Characters>33376</Characters>
  <Application>Microsoft Office Word</Application>
  <DocSecurity>0</DocSecurity>
  <Lines>278</Lines>
  <Paragraphs>78</Paragraphs>
  <ScaleCrop>false</ScaleCrop>
  <Company/>
  <LinksUpToDate>false</LinksUpToDate>
  <CharactersWithSpaces>39153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dc:creator>
  <cp:keywords/>
  <dc:description/>
  <cp:lastModifiedBy>Sangeetha Nanda Gopal</cp:lastModifiedBy>
  <cp:revision>9</cp:revision>
  <dcterms:created xsi:type="dcterms:W3CDTF">2024-08-02T16:35:00Z</dcterms:created>
  <dcterms:modified xsi:type="dcterms:W3CDTF">2025-06-17T09:26:00Z</dcterms:modified>
</cp:coreProperties>
</file>