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69C5D">
      <w:pPr>
        <w:rPr>
          <w:rFonts w:ascii="Times New Roman" w:hAnsi="Times New Roman" w:eastAsia="宋体" w:cs="Times New Roman"/>
          <w:b/>
          <w:bCs/>
          <w:sz w:val="24"/>
          <w:szCs w:val="24"/>
          <w:lang w:eastAsia="zh-CN"/>
        </w:rPr>
      </w:pPr>
    </w:p>
    <w:p w14:paraId="3642FB89">
      <w:pPr>
        <w:rPr>
          <w:rFonts w:ascii="Times New Roman" w:hAnsi="Times New Roman" w:eastAsia="宋体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  <w:lang w:eastAsia="zh-CN"/>
        </w:rPr>
        <w:drawing>
          <wp:inline distT="0" distB="0" distL="114300" distR="114300">
            <wp:extent cx="5266690" cy="5233035"/>
            <wp:effectExtent l="0" t="0" r="0" b="0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6"/>
                    <a:srcRect b="3119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3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0ABF3">
      <w:pPr>
        <w:rPr>
          <w:rFonts w:ascii="Times New Roman" w:hAnsi="Times New Roman" w:eastAsia="宋体" w:cs="Times New Roman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  <w:lang w:eastAsia="zh-CN"/>
        </w:rPr>
        <w:t>Supplementary Figure 1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 xml:space="preserve">Functional analysis of 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TM-related genes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The top 10 most significant BP, CC, and MF terms in GO analysis. BP: biological process; CC: cellular component; MF: molecular function.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>B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The top 10 most significant KEGG pathways.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GSEA analysis revealed significant enrichment in the cell cycle and cellular senescence pathways in the high-risk group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42F3BC">
      <w:pPr>
        <w:rPr>
          <w:rFonts w:ascii="Times New Roman" w:hAnsi="Times New Roman" w:eastAsia="宋体" w:cs="Times New Roman"/>
          <w:sz w:val="24"/>
          <w:szCs w:val="24"/>
          <w:lang w:eastAsia="zh-CN"/>
        </w:rPr>
      </w:pPr>
    </w:p>
    <w:p w14:paraId="3E0D4F2D">
      <w:pPr>
        <w:rPr>
          <w:rFonts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</w:p>
    <w:p w14:paraId="56E71DD7">
      <w:pPr>
        <w:rPr>
          <w:rFonts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5266690" cy="5266690"/>
            <wp:effectExtent l="0" t="0" r="635" b="635"/>
            <wp:docPr id="2" name="图片 2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26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A1A0D">
      <w:pPr>
        <w:rPr>
          <w:rFonts w:ascii="Times New Roman" w:hAnsi="Times New Roman" w:eastAsia="宋体" w:cs="Times New Roman"/>
          <w:sz w:val="24"/>
          <w:szCs w:val="24"/>
          <w:lang w:eastAsia="zh-CN"/>
        </w:rPr>
      </w:pPr>
      <w:bookmarkStart w:id="0" w:name="_Hlk197203302"/>
      <w:r>
        <w:rPr>
          <w:rFonts w:ascii="Times New Roman" w:hAnsi="Times New Roman" w:eastAsia="宋体" w:cs="Times New Roman"/>
          <w:b/>
          <w:bCs/>
          <w:sz w:val="24"/>
          <w:szCs w:val="24"/>
          <w:lang w:eastAsia="zh-CN"/>
        </w:rPr>
        <w:t xml:space="preserve">Supplementary Figure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>2</w:t>
      </w:r>
      <w:bookmarkEnd w:id="0"/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Differential expression and 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correlation</w:t>
      </w:r>
      <w:r>
        <w:rPr>
          <w:rFonts w:ascii="Times New Roman" w:hAnsi="Times New Roman" w:cs="Times New Roman"/>
          <w:sz w:val="24"/>
          <w:szCs w:val="24"/>
        </w:rPr>
        <w:t xml:space="preserve"> analysis of eight hub TM-related genes. </w:t>
      </w:r>
      <w:r>
        <w:rPr>
          <w:rFonts w:ascii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mRNA expression levels of the eight genes 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the TCGA database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</w:rPr>
        <w:t>he relationship between eight genes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 xml:space="preserve"> and telomerase-related</w:t>
      </w:r>
      <w:r>
        <w:rPr>
          <w:rFonts w:ascii="Times New Roman" w:hAnsi="Times New Roman" w:cs="Times New Roman"/>
          <w:sz w:val="24"/>
          <w:szCs w:val="24"/>
        </w:rPr>
        <w:t xml:space="preserve"> signature.</w:t>
      </w:r>
    </w:p>
    <w:p w14:paraId="036A019F">
      <w:pPr>
        <w:rPr>
          <w:rFonts w:ascii="Times New Roman" w:hAnsi="Times New Roman" w:eastAsia="宋体" w:cs="Times New Roman"/>
          <w:sz w:val="24"/>
          <w:szCs w:val="24"/>
          <w:lang w:eastAsia="zh-CN"/>
        </w:rPr>
      </w:pPr>
    </w:p>
    <w:p w14:paraId="609E4B3D">
      <w:pPr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drawing>
          <wp:inline distT="0" distB="0" distL="114300" distR="114300">
            <wp:extent cx="5266690" cy="5874385"/>
            <wp:effectExtent l="0" t="0" r="635" b="2540"/>
            <wp:docPr id="3" name="图片 3" descr="Supplementary Fig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87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CF087">
      <w:pPr>
        <w:rPr>
          <w:rFonts w:ascii="Times New Roman" w:hAnsi="Times New Roman" w:eastAsia="宋体" w:cs="Times New Roman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  <w:lang w:eastAsia="zh-CN"/>
        </w:rPr>
        <w:t xml:space="preserve">Supplementary Figure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Construction and validation of the prognostic TM-related gene signature. </w:t>
      </w:r>
      <w:r>
        <w:rPr>
          <w:rFonts w:ascii="Times New Roman" w:hAnsi="Times New Roman" w:cs="Times New Roman"/>
          <w:b/>
          <w:bCs/>
          <w:sz w:val="24"/>
          <w:szCs w:val="24"/>
        </w:rPr>
        <w:t>(A)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process of screening λ through 10-fold cross-validation in the LASSO model. </w:t>
      </w:r>
      <w:r>
        <w:rPr>
          <w:rFonts w:ascii="Times New Roman" w:hAnsi="Times New Roman" w:cs="Times New Roman"/>
          <w:b/>
          <w:bCs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lang w:val="en-GB" w:eastAsia="zh-CN"/>
        </w:rPr>
        <w:t xml:space="preserve">Univariate </w:t>
      </w:r>
      <w:r>
        <w:rPr>
          <w:rFonts w:hint="eastAsia" w:ascii="Times New Roman" w:hAnsi="Times New Roman" w:eastAsia="宋体" w:cs="Times New Roman"/>
          <w:sz w:val="24"/>
          <w:szCs w:val="24"/>
          <w:lang w:val="en-GB" w:eastAsia="zh-CN"/>
        </w:rPr>
        <w:t>c</w:t>
      </w:r>
      <w:r>
        <w:rPr>
          <w:rFonts w:ascii="Times New Roman" w:hAnsi="Times New Roman" w:eastAsia="宋体" w:cs="Times New Roman"/>
          <w:sz w:val="24"/>
          <w:szCs w:val="24"/>
          <w:lang w:val="en-GB" w:eastAsia="zh-CN"/>
        </w:rPr>
        <w:t>ox regression analyses</w:t>
      </w:r>
      <w:r>
        <w:rPr>
          <w:rFonts w:hint="eastAsia" w:ascii="Times New Roman" w:hAnsi="Times New Roman" w:eastAsia="宋体" w:cs="Times New Roman"/>
          <w:sz w:val="24"/>
          <w:szCs w:val="24"/>
          <w:lang w:val="en-GB" w:eastAsia="zh-CN"/>
        </w:rPr>
        <w:t xml:space="preserve"> of the 7 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prognostic markers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(C)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 xml:space="preserve">The 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 xml:space="preserve">expression patterns of the </w:t>
      </w:r>
      <w:r>
        <w:rPr>
          <w:rFonts w:hint="eastAsia" w:ascii="Times New Roman" w:hAnsi="Times New Roman" w:eastAsia="宋体" w:cs="Times New Roman"/>
          <w:sz w:val="24"/>
          <w:szCs w:val="24"/>
          <w:lang w:val="en-GB" w:eastAsia="zh-CN"/>
        </w:rPr>
        <w:t xml:space="preserve">7 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prognostic markers within the TCGA cohort are illustrated in the heatmap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Survival analysis of patients in the high-risk group and low-risk group in the TCGA cohort.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Time-dependent ROC curve verification of the prognostic signature at 1, 3, 5 years of overall survival (OS) in the TCGA cohort.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>F-H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T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he heatmap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, s</w:t>
      </w:r>
      <w:r>
        <w:rPr>
          <w:rFonts w:ascii="Times New Roman" w:hAnsi="Times New Roman" w:cs="Times New Roman"/>
          <w:sz w:val="24"/>
          <w:szCs w:val="24"/>
        </w:rPr>
        <w:t>urvival analysis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ROC curve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the prognostic signature in the 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ICGC</w:t>
      </w:r>
      <w:r>
        <w:rPr>
          <w:rFonts w:ascii="Times New Roman" w:hAnsi="Times New Roman" w:cs="Times New Roman"/>
          <w:sz w:val="24"/>
          <w:szCs w:val="24"/>
        </w:rPr>
        <w:t xml:space="preserve"> cohort.</w:t>
      </w:r>
    </w:p>
    <w:p w14:paraId="6AE9FBAE">
      <w:pPr>
        <w:rPr>
          <w:rFonts w:eastAsiaTheme="minorEastAsia"/>
          <w:lang w:eastAsia="zh-CN"/>
        </w:rPr>
      </w:pPr>
    </w:p>
    <w:p w14:paraId="08CBF443">
      <w:pPr>
        <w:rPr>
          <w:rFonts w:eastAsiaTheme="minorEastAsia"/>
          <w:lang w:eastAsia="zh-CN"/>
        </w:rPr>
      </w:pPr>
    </w:p>
    <w:p w14:paraId="585EF0A2">
      <w:pPr>
        <w:rPr>
          <w:rFonts w:eastAsiaTheme="minorEastAsia"/>
          <w:lang w:eastAsia="zh-CN"/>
        </w:rPr>
      </w:pPr>
    </w:p>
    <w:p w14:paraId="05E4938B">
      <w:pPr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drawing>
          <wp:inline distT="0" distB="0" distL="114300" distR="114300">
            <wp:extent cx="5266690" cy="6873875"/>
            <wp:effectExtent l="0" t="0" r="635" b="3175"/>
            <wp:docPr id="4" name="图片 4" descr="Supplementary 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upplementary Figure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87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6DA7D82C">
      <w:pPr>
        <w:rPr>
          <w:rFonts w:ascii="Times New Roman" w:hAnsi="Times New Roman" w:eastAsia="宋体" w:cs="Times New Roman"/>
          <w:sz w:val="24"/>
          <w:szCs w:val="24"/>
          <w:lang w:eastAsia="zh-CN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  <w:lang w:eastAsia="zh-CN"/>
        </w:rPr>
        <w:t xml:space="preserve">Supplementary Figure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eastAsia="zh-CN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Evaluating the independent role of the prognostic signature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(A, 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  <w:lang w:val="en-GB" w:eastAsia="zh-CN"/>
        </w:rPr>
        <w:t xml:space="preserve">Univariate and multivariate cox regression analyses </w:t>
      </w:r>
      <w:r>
        <w:rPr>
          <w:rFonts w:ascii="Times New Roman" w:hAnsi="Times New Roman" w:cs="Times New Roman"/>
          <w:sz w:val="24"/>
          <w:szCs w:val="24"/>
        </w:rPr>
        <w:t>of the prognostic signature in the TCGA cohort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(C, D)</w:t>
      </w:r>
      <w:r>
        <w:rPr>
          <w:rFonts w:ascii="Times New Roman" w:hAnsi="Times New Roman" w:eastAsia="宋体" w:cs="Times New Roman"/>
          <w:sz w:val="24"/>
          <w:szCs w:val="24"/>
          <w:lang w:val="en-GB" w:eastAsia="zh-CN"/>
        </w:rPr>
        <w:t xml:space="preserve"> Univariate and multivariate cox regression analyses </w:t>
      </w:r>
      <w:r>
        <w:rPr>
          <w:rFonts w:ascii="Times New Roman" w:hAnsi="Times New Roman" w:cs="Times New Roman"/>
          <w:sz w:val="24"/>
          <w:szCs w:val="24"/>
        </w:rPr>
        <w:t xml:space="preserve">of the prognostic signature in the 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ICGC</w:t>
      </w:r>
      <w:r>
        <w:rPr>
          <w:rFonts w:ascii="Times New Roman" w:hAnsi="Times New Roman" w:cs="Times New Roman"/>
          <w:sz w:val="24"/>
          <w:szCs w:val="24"/>
        </w:rPr>
        <w:t xml:space="preserve"> cohort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eastAsia="宋体" w:cs="Times New Roman"/>
          <w:b/>
          <w:bCs/>
          <w:sz w:val="24"/>
          <w:szCs w:val="24"/>
          <w:lang w:eastAsia="zh-CN"/>
        </w:rPr>
        <w:t>E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 nomogram to predict the survival probability at 1-, 3-, and 5-year</w:t>
      </w:r>
      <w:r>
        <w:rPr>
          <w:rFonts w:ascii="Times New Roman" w:hAnsi="Times New Roman" w:eastAsia="宋体" w:cs="Times New Roman"/>
          <w:sz w:val="24"/>
          <w:szCs w:val="24"/>
          <w:lang w:eastAsia="zh-CN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eastAsia="宋体" w:cs="Times New Roman"/>
          <w:b/>
          <w:bCs/>
          <w:sz w:val="24"/>
          <w:szCs w:val="24"/>
          <w:lang w:eastAsia="zh-CN"/>
        </w:rPr>
        <w:t>F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The calibration plot for the nomogram predicting 1-, 3-, and 5-year overall survival.</w:t>
      </w:r>
    </w:p>
    <w:p w14:paraId="5781FEB0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A30"/>
    <w:rsid w:val="0054578A"/>
    <w:rsid w:val="00683A30"/>
    <w:rsid w:val="00686BCA"/>
    <w:rsid w:val="00716822"/>
    <w:rsid w:val="008F0E5D"/>
    <w:rsid w:val="009C0906"/>
    <w:rsid w:val="00B425F3"/>
    <w:rsid w:val="00C42B9A"/>
    <w:rsid w:val="70B0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  <w:contextualSpacing/>
    </w:pPr>
    <w:rPr>
      <w:rFonts w:ascii="Arial" w:hAnsi="Arial" w:eastAsia="Arial" w:cs="Arial"/>
      <w:kern w:val="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widowControl w:val="0"/>
      <w:spacing w:before="480" w:after="80" w:line="240" w:lineRule="auto"/>
      <w:contextualSpacing w:val="0"/>
      <w:jc w:val="both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8"/>
      <w:szCs w:val="48"/>
      <w:lang w:eastAsia="zh-CN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widowControl w:val="0"/>
      <w:spacing w:before="160" w:after="80" w:line="240" w:lineRule="auto"/>
      <w:contextualSpacing w:val="0"/>
      <w:jc w:val="both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zh-CN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widowControl w:val="0"/>
      <w:spacing w:before="160" w:after="80" w:line="240" w:lineRule="auto"/>
      <w:contextualSpacing w:val="0"/>
      <w:jc w:val="both"/>
      <w:outlineLvl w:val="2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zh-CN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widowControl w:val="0"/>
      <w:spacing w:before="80" w:after="40" w:line="240" w:lineRule="auto"/>
      <w:contextualSpacing w:val="0"/>
      <w:jc w:val="both"/>
      <w:outlineLvl w:val="3"/>
    </w:pPr>
    <w:rPr>
      <w:rFonts w:asciiTheme="minorHAnsi" w:hAnsiTheme="minorHAnsi" w:eastAsiaTheme="minorEastAsia" w:cstheme="majorBidi"/>
      <w:color w:val="2F5597" w:themeColor="accent1" w:themeShade="BF"/>
      <w:kern w:val="2"/>
      <w:sz w:val="28"/>
      <w:szCs w:val="28"/>
      <w:lang w:eastAsia="zh-CN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widowControl w:val="0"/>
      <w:spacing w:before="80" w:after="40" w:line="240" w:lineRule="auto"/>
      <w:contextualSpacing w:val="0"/>
      <w:jc w:val="both"/>
      <w:outlineLvl w:val="4"/>
    </w:pPr>
    <w:rPr>
      <w:rFonts w:asciiTheme="minorHAnsi" w:hAnsiTheme="minorHAnsi" w:eastAsiaTheme="minorEastAsia" w:cstheme="majorBidi"/>
      <w:color w:val="2F5597" w:themeColor="accent1" w:themeShade="BF"/>
      <w:kern w:val="2"/>
      <w:sz w:val="24"/>
      <w:szCs w:val="24"/>
      <w:lang w:eastAsia="zh-CN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widowControl w:val="0"/>
      <w:spacing w:before="40" w:line="240" w:lineRule="auto"/>
      <w:contextualSpacing w:val="0"/>
      <w:jc w:val="both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kern w:val="2"/>
      <w:sz w:val="21"/>
      <w:lang w:eastAsia="zh-CN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widowControl w:val="0"/>
      <w:spacing w:before="40" w:line="240" w:lineRule="auto"/>
      <w:contextualSpacing w:val="0"/>
      <w:jc w:val="both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kern w:val="2"/>
      <w:sz w:val="21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widowControl w:val="0"/>
      <w:spacing w:line="240" w:lineRule="auto"/>
      <w:contextualSpacing w:val="0"/>
      <w:jc w:val="both"/>
      <w:outlineLvl w:val="7"/>
    </w:pPr>
    <w:rPr>
      <w:rFonts w:asciiTheme="minorHAnsi" w:hAnsiTheme="minorHAnsi" w:eastAsiaTheme="minorEastAsia" w:cstheme="majorBidi"/>
      <w:color w:val="595959" w:themeColor="text1" w:themeTint="A6"/>
      <w:kern w:val="2"/>
      <w:sz w:val="21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widowControl w:val="0"/>
      <w:spacing w:line="240" w:lineRule="auto"/>
      <w:contextualSpacing w:val="0"/>
      <w:jc w:val="both"/>
      <w:outlineLvl w:val="8"/>
    </w:pPr>
    <w:rPr>
      <w:rFonts w:asciiTheme="minorHAnsi" w:hAnsiTheme="minorHAnsi" w:eastAsiaTheme="majorEastAsia" w:cstheme="majorBidi"/>
      <w:color w:val="595959" w:themeColor="text1" w:themeTint="A6"/>
      <w:kern w:val="2"/>
      <w:sz w:val="21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widowControl w:val="0"/>
      <w:tabs>
        <w:tab w:val="center" w:pos="4153"/>
        <w:tab w:val="right" w:pos="8306"/>
      </w:tabs>
      <w:snapToGrid w:val="0"/>
      <w:spacing w:line="240" w:lineRule="auto"/>
      <w:contextualSpacing w:val="0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paragraph" w:styleId="12">
    <w:name w:val="header"/>
    <w:basedOn w:val="1"/>
    <w:link w:val="35"/>
    <w:unhideWhenUsed/>
    <w:uiPriority w:val="99"/>
    <w:pPr>
      <w:widowControl w:val="0"/>
      <w:tabs>
        <w:tab w:val="center" w:pos="4153"/>
        <w:tab w:val="right" w:pos="8306"/>
      </w:tabs>
      <w:snapToGrid w:val="0"/>
      <w:spacing w:line="240" w:lineRule="auto"/>
      <w:contextualSpacing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paragraph" w:styleId="13">
    <w:name w:val="Subtitle"/>
    <w:basedOn w:val="1"/>
    <w:next w:val="1"/>
    <w:link w:val="27"/>
    <w:qFormat/>
    <w:uiPriority w:val="11"/>
    <w:pPr>
      <w:widowControl w:val="0"/>
      <w:spacing w:after="160" w:line="240" w:lineRule="auto"/>
      <w:contextualSpacing w:val="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widowControl w:val="0"/>
      <w:spacing w:after="80" w:line="240" w:lineRule="auto"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zh-CN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widowControl w:val="0"/>
      <w:spacing w:before="160" w:after="160" w:line="240" w:lineRule="auto"/>
      <w:contextualSpacing w:val="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kern w:val="2"/>
      <w:sz w:val="21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widowControl w:val="0"/>
      <w:spacing w:line="240" w:lineRule="auto"/>
      <w:ind w:left="720"/>
      <w:jc w:val="both"/>
    </w:pPr>
    <w:rPr>
      <w:rFonts w:asciiTheme="minorHAnsi" w:hAnsiTheme="minorHAnsi" w:eastAsiaTheme="minorEastAsia" w:cstheme="minorBidi"/>
      <w:kern w:val="2"/>
      <w:sz w:val="21"/>
      <w:lang w:eastAsia="zh-CN"/>
    </w:r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widowControl w:val="0"/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40" w:lineRule="auto"/>
      <w:ind w:left="864" w:right="864"/>
      <w:contextualSpacing w:val="0"/>
      <w:jc w:val="center"/>
    </w:pPr>
    <w:rPr>
      <w:rFonts w:asciiTheme="minorHAnsi" w:hAnsiTheme="minorHAnsi" w:eastAsiaTheme="minorEastAsia" w:cstheme="minorBidi"/>
      <w:i/>
      <w:iCs/>
      <w:color w:val="2F5597" w:themeColor="accent1" w:themeShade="BF"/>
      <w:kern w:val="2"/>
      <w:sz w:val="21"/>
      <w:lang w:eastAsia="zh-CN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251</Words>
  <Characters>1403</Characters>
  <Lines>37</Lines>
  <Paragraphs>4</Paragraphs>
  <TotalTime>5</TotalTime>
  <ScaleCrop>false</ScaleCrop>
  <LinksUpToDate>false</LinksUpToDate>
  <CharactersWithSpaces>1651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2025-05-03T14:11:00Z</dcterms:created>
  <dc:creator>ke ding</dc:creator>
  <cp:lastModifiedBy>Doctor.D</cp:lastModifiedBy>
  <dcterms:modified xsi:type="dcterms:W3CDTF">2025-06-16T15:27:59Z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afde8bb5-1ab0-439d-83c0-1e8e39c1a0a6</vt:lpwstr>
  </property>
  <property fmtid="{D5CDD505-2E9C-101B-9397-08002B2CF9AE}" pid="3" name="KSOTemplateDocerSaveRecord">
    <vt:lpwstr>eyJoZGlkIjoiYjI4NjdkMTQyYTlmZTc1ZDUzMDRkMGE1YTk4NjA1MmMiLCJ1c2VySWQiOiIzMzQ4MjMyOTcifQ==</vt:lpwstr>
  </property>
  <property fmtid="{D5CDD505-2E9C-101B-9397-08002B2CF9AE}" pid="4" name="KSOProductBuildVer">
    <vt:lpwstr>2052-12.1.0.20784</vt:lpwstr>
  </property>
  <property fmtid="{D5CDD505-2E9C-101B-9397-08002B2CF9AE}" pid="5" name="ICV">
    <vt:lpwstr>37250E4154DD467B8B0981CD68C5FA62_12</vt:lpwstr>
  </property>
</Properties>
</file>