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F236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0" w:after="0" w:line="240" w:lineRule="auto"/>
        <w:ind w:left="0" w:right="0" w:firstLine="0" w:firstLineChars="0"/>
        <w:jc w:val="left"/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</w:pPr>
      <w:r>
        <w:rPr>
          <w:rFonts w:hint="default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Supplementary Table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2</w:t>
      </w:r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. Cox Proportional Hazards Regression Analysis of 28-Day Mortality Risk in 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TIC</w:t>
      </w:r>
      <w:bookmarkStart w:id="0" w:name="_GoBack"/>
      <w:bookmarkEnd w:id="0"/>
      <w:r>
        <w:rPr>
          <w:rFonts w:hint="eastAsia"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 xml:space="preserve"> Patients</w:t>
      </w: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4"/>
        <w:gridCol w:w="1027"/>
        <w:gridCol w:w="2893"/>
      </w:tblGrid>
      <w:tr w14:paraId="19F991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639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C1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Variables</w:t>
            </w:r>
          </w:p>
        </w:tc>
        <w:tc>
          <w:tcPr>
            <w:tcW w:w="618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23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  <w:t>P</w:t>
            </w:r>
          </w:p>
        </w:tc>
        <w:tc>
          <w:tcPr>
            <w:tcW w:w="1741" w:type="pct"/>
            <w:vMerge w:val="restar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8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HR (95%CI)</w:t>
            </w:r>
          </w:p>
        </w:tc>
      </w:tr>
      <w:tr w14:paraId="61005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639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72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62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59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BA9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288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Race</w:t>
            </w:r>
          </w:p>
        </w:tc>
        <w:tc>
          <w:tcPr>
            <w:tcW w:w="618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6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0C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6D4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9AD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210" w:firstLineChars="10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White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B6A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B0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7B195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9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Black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C2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0.237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27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0.58 (0.23 ~ 1.43)</w:t>
            </w:r>
          </w:p>
        </w:tc>
      </w:tr>
      <w:tr w14:paraId="74059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B94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Others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212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0.005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BA7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1.70 (1.17 ~ 2.45)</w:t>
            </w:r>
          </w:p>
        </w:tc>
      </w:tr>
      <w:tr w14:paraId="14B4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FA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Ventilator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3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C8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3BA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C2C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30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D6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78388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352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right="0"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78F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0.012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0C8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0.52 (0.31 ~ 0.86)</w:t>
            </w:r>
          </w:p>
        </w:tc>
      </w:tr>
      <w:tr w14:paraId="7104F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DB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RRT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FCA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41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3514E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F7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D57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4D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5C16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5E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D1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ADA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2.36 (1.55 ~ 3.58)</w:t>
            </w:r>
          </w:p>
        </w:tc>
      </w:tr>
      <w:tr w14:paraId="668E3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0A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KI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0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9B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3062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E5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No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4AF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DE6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1.00 (Reference)</w:t>
            </w:r>
          </w:p>
        </w:tc>
      </w:tr>
      <w:tr w14:paraId="4D2B2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739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400" w:leftChars="0" w:right="0" w:rightChars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F0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0.020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E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3.26 (1.20 ~ 8.83)</w:t>
            </w:r>
          </w:p>
        </w:tc>
      </w:tr>
      <w:tr w14:paraId="6E2A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BF3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Age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624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0.010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4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1.01 (1.01 ~ 1.02)</w:t>
            </w:r>
          </w:p>
        </w:tc>
      </w:tr>
      <w:tr w14:paraId="1EF59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1A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BP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B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9C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(0.97 ~ 0.99)</w:t>
            </w:r>
          </w:p>
        </w:tc>
      </w:tr>
      <w:tr w14:paraId="5AB71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6EF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BP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A38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F4C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 (0.96 ~ 0.99)</w:t>
            </w:r>
          </w:p>
        </w:tc>
      </w:tr>
      <w:tr w14:paraId="4A643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54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BP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59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0AF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0.97 (0.96 ~ 0.98)</w:t>
            </w:r>
          </w:p>
        </w:tc>
      </w:tr>
      <w:tr w14:paraId="43A04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11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Sp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O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  <w:vertAlign w:val="subscript"/>
              </w:rPr>
              <w:t>2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44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AE0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0.98 (0.97 ~ 0.99)</w:t>
            </w:r>
          </w:p>
        </w:tc>
      </w:tr>
      <w:tr w14:paraId="07CAC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80E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Temperature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69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A29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0.80 (0.72 ~ 0.88)</w:t>
            </w:r>
          </w:p>
        </w:tc>
      </w:tr>
      <w:tr w14:paraId="7B62A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1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I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NR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680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0.006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F27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1.17 (1.05 ~ 1.31)</w:t>
            </w:r>
          </w:p>
        </w:tc>
      </w:tr>
      <w:tr w14:paraId="53D53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5BF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DW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89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0.229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7B3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1.05 (0.97 ~ 1.14)</w:t>
            </w:r>
          </w:p>
        </w:tc>
      </w:tr>
      <w:tr w14:paraId="234A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838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Platelet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CD9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0.039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3F5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0.99 (0.99 ~ 0.99)</w:t>
            </w:r>
          </w:p>
        </w:tc>
      </w:tr>
      <w:tr w14:paraId="6A8BB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85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CV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761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0.007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E86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1.04 (1.01 ~ 1.07)</w:t>
            </w:r>
          </w:p>
        </w:tc>
      </w:tr>
      <w:tr w14:paraId="38CA6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2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Bicarbonate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C0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6E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0.91 (0.87 ~ 0.94)</w:t>
            </w:r>
          </w:p>
        </w:tc>
      </w:tr>
      <w:tr w14:paraId="7CB69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EF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OFA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1A3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0.011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689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1.08 (1.02 ~ 1.14)</w:t>
            </w:r>
          </w:p>
        </w:tc>
      </w:tr>
      <w:tr w14:paraId="1295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D8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APS II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B9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&lt;.001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2F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1.03 (1.02 ~ 1.04)</w:t>
            </w:r>
          </w:p>
        </w:tc>
      </w:tr>
      <w:tr w14:paraId="6183B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63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591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0" w:after="0" w:line="240" w:lineRule="auto"/>
              <w:ind w:left="0" w:right="0" w:firstLine="0" w:firstLineChars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Charlson Comorbidity Index</w:t>
            </w:r>
          </w:p>
        </w:tc>
        <w:tc>
          <w:tcPr>
            <w:tcW w:w="61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78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0.053</w:t>
            </w:r>
          </w:p>
        </w:tc>
        <w:tc>
          <w:tcPr>
            <w:tcW w:w="17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8DA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right="4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1"/>
                <w:szCs w:val="21"/>
                <w:u w:val="none"/>
              </w:rPr>
              <w:t>1.06 (1.00 ~ 1.11)</w:t>
            </w:r>
          </w:p>
        </w:tc>
      </w:tr>
    </w:tbl>
    <w:p w14:paraId="54E3D6F3">
      <w:pPr>
        <w:suppressLineNumbers/>
        <w:ind w:firstLine="420" w:firstLineChars="200"/>
        <w:rPr>
          <w:rFonts w:hint="default" w:eastAsia="宋体"/>
          <w:lang w:val="en-US" w:eastAsia="zh-CN"/>
        </w:rPr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1"/>
          <w:szCs w:val="21"/>
          <w:u w:val="none"/>
        </w:rPr>
        <w:t>HR: Hazard Ratio, CI: Confidence Interval</w:t>
      </w:r>
      <w:r>
        <w:rPr>
          <w:rFonts w:hint="eastAsia" w:ascii="Times New Roman" w:hAnsi="Times New Roman" w:eastAsia="宋体" w:cs="Times New Roman"/>
          <w:b w:val="0"/>
          <w:i w:val="0"/>
          <w:color w:val="000000"/>
          <w:sz w:val="21"/>
          <w:szCs w:val="21"/>
          <w:u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1"/>
          <w:szCs w:val="21"/>
        </w:rPr>
        <w:t>INR, international normalized ratio;RDW,Red blood cell volume distribution width</w:t>
      </w:r>
      <w:r>
        <w:rPr>
          <w:rFonts w:hint="default" w:ascii="Times New Roman" w:hAnsi="Times New Roman" w:eastAsia="宋体" w:cs="Times New Roman"/>
          <w:sz w:val="21"/>
          <w:szCs w:val="21"/>
        </w:rPr>
        <w:t>;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M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CV,Mean Corpuscular Volume;</w:t>
      </w:r>
      <w:r>
        <w:rPr>
          <w:rFonts w:hint="default" w:ascii="Times New Roman" w:hAnsi="Times New Roman" w:cs="Times New Roman"/>
          <w:sz w:val="21"/>
          <w:szCs w:val="21"/>
        </w:rPr>
        <w:t>SBP, systolic blood pressures; DBP, diastolic blood pressures;MBP, mean arterial pressures; SpO</w:t>
      </w:r>
      <w:r>
        <w:rPr>
          <w:rFonts w:hint="default" w:ascii="Times New Roman" w:hAnsi="Times New Roman" w:cs="Times New Roman"/>
          <w:sz w:val="21"/>
          <w:szCs w:val="21"/>
          <w:vertAlign w:val="subscript"/>
        </w:rPr>
        <w:t>2</w:t>
      </w:r>
      <w:r>
        <w:rPr>
          <w:rFonts w:hint="default" w:ascii="Times New Roman" w:hAnsi="Times New Roman" w:cs="Times New Roman"/>
          <w:sz w:val="21"/>
          <w:szCs w:val="21"/>
        </w:rPr>
        <w:t>, oxygen saturation;SOFA, Sequential Organ Failure Assessment score</w:t>
      </w:r>
      <w:r>
        <w:rPr>
          <w:rFonts w:hint="default" w:ascii="Times New Roman" w:hAnsi="Times New Roman" w:eastAsia="宋体" w:cs="Times New Roman"/>
          <w:sz w:val="21"/>
          <w:szCs w:val="21"/>
        </w:rPr>
        <w:t>;</w:t>
      </w:r>
      <w:r>
        <w:rPr>
          <w:rFonts w:hint="default" w:ascii="Times New Roman" w:hAnsi="Times New Roman" w:cs="Times New Roman"/>
          <w:sz w:val="21"/>
          <w:szCs w:val="21"/>
        </w:rPr>
        <w:t>SAPS II,Simplified Acute Physiology Score II;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A</w:t>
      </w:r>
      <w:r>
        <w:rPr>
          <w:rFonts w:hint="default" w:ascii="Times New Roman" w:hAnsi="Times New Roman" w:eastAsia="宋体" w:cs="Times New Roman"/>
          <w:color w:val="000000"/>
          <w:sz w:val="21"/>
          <w:szCs w:val="21"/>
        </w:rPr>
        <w:t>KI,</w:t>
      </w:r>
      <w:r>
        <w:rPr>
          <w:rStyle w:val="4"/>
          <w:rFonts w:hint="default" w:ascii="Times New Roman" w:hAnsi="Times New Roman" w:eastAsia="宋体" w:cs="Times New Roman"/>
          <w:b w:val="0"/>
          <w:sz w:val="21"/>
          <w:szCs w:val="21"/>
        </w:rPr>
        <w:t>Acute Kidney Injury;</w:t>
      </w:r>
      <w:r>
        <w:rPr>
          <w:rFonts w:hint="default" w:ascii="Times New Roman" w:hAnsi="Times New Roman" w:eastAsia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RRT,</w:t>
      </w:r>
      <w:r>
        <w:rPr>
          <w:rStyle w:val="4"/>
          <w:rFonts w:hint="default" w:ascii="Times New Roman" w:hAnsi="Times New Roman" w:eastAsia="宋体" w:cs="Times New Roman"/>
          <w:b w:val="0"/>
          <w:sz w:val="21"/>
          <w:szCs w:val="21"/>
        </w:rPr>
        <w:t>Continuous Renal Replacement Therapy.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4717D"/>
    <w:rsid w:val="12E33AE1"/>
    <w:rsid w:val="78E4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1100</Characters>
  <Lines>0</Lines>
  <Paragraphs>0</Paragraphs>
  <TotalTime>0</TotalTime>
  <ScaleCrop>false</ScaleCrop>
  <LinksUpToDate>false</LinksUpToDate>
  <CharactersWithSpaces>1239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2025-08-08T13:27:00Z</dcterms:created>
  <dc:creator>木语筱</dc:creator>
  <cp:lastModifiedBy>木语筱</cp:lastModifiedBy>
  <dcterms:modified xsi:type="dcterms:W3CDTF">2025-08-12T09:54:35Z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A11A841307E540599A7ADD5C98FC88AD_11</vt:lpwstr>
  </property>
  <property fmtid="{D5CDD505-2E9C-101B-9397-08002B2CF9AE}" pid="4" name="KSOTemplateDocerSaveRecord">
    <vt:lpwstr>eyJoZGlkIjoiNDNlMTU3MWQ2NGJiYTgxZjZhOWM5NmM1YjZjNDE4MWQiLCJ1c2VySWQiOiIyNDIyODk3NjQifQ==</vt:lpwstr>
  </property>
</Properties>
</file>