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39041" w14:textId="54CA01CC" w:rsidR="00AC09EA" w:rsidRDefault="00ED48AD">
      <w:pPr>
        <w:ind w:firstLine="0"/>
        <w:rPr>
          <w:rFonts w:eastAsiaTheme="minorEastAsia"/>
          <w:sz w:val="20"/>
          <w:szCs w:val="20"/>
        </w:rPr>
      </w:pPr>
      <w:r>
        <w:rPr>
          <w:b/>
          <w:bCs/>
          <w:sz w:val="20"/>
          <w:szCs w:val="20"/>
        </w:rPr>
        <w:t>Table S</w:t>
      </w:r>
      <w:r>
        <w:rPr>
          <w:rFonts w:hint="eastAsia"/>
          <w:b/>
          <w:bCs/>
          <w:sz w:val="20"/>
          <w:szCs w:val="20"/>
        </w:rPr>
        <w:t>1</w:t>
      </w:r>
      <w:r>
        <w:rPr>
          <w:rFonts w:eastAsiaTheme="minorEastAsia"/>
          <w:b/>
          <w:bCs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</w:rPr>
        <w:t xml:space="preserve">Comparison of AUCs Between Individual Markers and </w:t>
      </w:r>
      <w:r w:rsidR="00B21613">
        <w:rPr>
          <w:rFonts w:eastAsiaTheme="minorEastAsia" w:hint="eastAsia"/>
          <w:sz w:val="20"/>
          <w:szCs w:val="20"/>
        </w:rPr>
        <w:t>NHR</w:t>
      </w:r>
      <w:r>
        <w:rPr>
          <w:rFonts w:eastAsiaTheme="minorEastAsia"/>
          <w:sz w:val="20"/>
          <w:szCs w:val="20"/>
        </w:rPr>
        <w:t xml:space="preserve"> Using DeLong's Test</w:t>
      </w:r>
    </w:p>
    <w:tbl>
      <w:tblPr>
        <w:tblW w:w="81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814"/>
        <w:gridCol w:w="1191"/>
        <w:gridCol w:w="1191"/>
        <w:gridCol w:w="1871"/>
        <w:gridCol w:w="1020"/>
      </w:tblGrid>
      <w:tr w:rsidR="00AC09EA" w14:paraId="2086FC9E" w14:textId="77777777">
        <w:trPr>
          <w:trHeight w:val="20"/>
        </w:trPr>
        <w:tc>
          <w:tcPr>
            <w:tcW w:w="1020" w:type="dxa"/>
            <w:tcBorders>
              <w:top w:val="single" w:sz="12" w:space="0" w:color="auto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1E7E7" w14:textId="77777777" w:rsidR="00AC09EA" w:rsidRDefault="00ED48AD">
            <w:pPr>
              <w:pStyle w:val="ParagraphStyle1"/>
              <w:widowControl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Disease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14:paraId="3C405904" w14:textId="77777777" w:rsidR="00AC09EA" w:rsidRDefault="00ED48AD">
            <w:pPr>
              <w:pStyle w:val="ParagraphStyle1"/>
              <w:widowControl/>
              <w:rPr>
                <w:rStyle w:val="CharacterStyle1"/>
                <w:color w:val="auto"/>
                <w:sz w:val="16"/>
                <w:szCs w:val="16"/>
              </w:rPr>
            </w:pPr>
            <w:r>
              <w:rPr>
                <w:rStyle w:val="CharacterStyle1"/>
                <w:color w:val="auto"/>
                <w:sz w:val="16"/>
                <w:szCs w:val="16"/>
              </w:rPr>
              <w:t>Comparison</w:t>
            </w:r>
          </w:p>
        </w:tc>
        <w:tc>
          <w:tcPr>
            <w:tcW w:w="1191" w:type="dxa"/>
            <w:tcBorders>
              <w:top w:val="single" w:sz="12" w:space="0" w:color="auto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A5E0A" w14:textId="77777777" w:rsidR="00AC09EA" w:rsidRDefault="00ED48AD">
            <w:pPr>
              <w:pStyle w:val="ParagraphStyle1"/>
              <w:widowControl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AUC of Marker 1</w:t>
            </w:r>
          </w:p>
        </w:tc>
        <w:tc>
          <w:tcPr>
            <w:tcW w:w="1191" w:type="dxa"/>
            <w:tcBorders>
              <w:top w:val="single" w:sz="12" w:space="0" w:color="auto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664C" w14:textId="77777777" w:rsidR="00AC09EA" w:rsidRDefault="00ED48AD">
            <w:pPr>
              <w:pStyle w:val="ParagraphStyle1"/>
              <w:widowControl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AUC of Marker 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4216" w14:textId="77777777" w:rsidR="00AC09EA" w:rsidRDefault="00ED48AD">
            <w:pPr>
              <w:pStyle w:val="ParagraphStyle1"/>
              <w:widowControl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Z Statistic (DeLong Test)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14:paraId="3711DD63" w14:textId="77777777" w:rsidR="00AC09EA" w:rsidRDefault="00ED48AD">
            <w:pPr>
              <w:pStyle w:val="ParagraphStyle1"/>
              <w:widowControl/>
              <w:rPr>
                <w:rStyle w:val="CharacterStyle1"/>
                <w:i/>
                <w:i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</w:p>
        </w:tc>
      </w:tr>
      <w:tr w:rsidR="00B21613" w14:paraId="70226D0F" w14:textId="77777777">
        <w:trPr>
          <w:trHeight w:val="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FCD5" w14:textId="4F89B410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hyperuricemia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60BDF" w14:textId="70CDB508" w:rsidR="00B21613" w:rsidRDefault="00B21613" w:rsidP="00B21613">
            <w:pPr>
              <w:pStyle w:val="ParagraphStyle2"/>
              <w:widowControl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NEU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vs. 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NHR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6381" w14:textId="1EA6F157" w:rsidR="00B21613" w:rsidRDefault="00B21613" w:rsidP="00B21613">
            <w:pPr>
              <w:pStyle w:val="ParagraphStyle2"/>
              <w:widowControl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5432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30389" w14:textId="05854CC8" w:rsidR="00B21613" w:rsidRDefault="00B21613" w:rsidP="00B21613">
            <w:pPr>
              <w:pStyle w:val="ParagraphStyle2"/>
              <w:widowControl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6817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B7709" w14:textId="65DF54A5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0073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EDC1" w14:textId="43BF1C6D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&lt;0.001</w:t>
            </w:r>
          </w:p>
        </w:tc>
      </w:tr>
      <w:tr w:rsidR="00B21613" w14:paraId="61D215FF" w14:textId="77777777">
        <w:trPr>
          <w:trHeight w:val="2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EBBA7" w14:textId="77777777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0FC38" w14:textId="15B25D50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HDL-C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vs. 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NHR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E263" w14:textId="76B28620" w:rsidR="00B21613" w:rsidRDefault="00B21613" w:rsidP="00B21613">
            <w:pPr>
              <w:pStyle w:val="ParagraphStyle2"/>
              <w:widowControl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5976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6DF62" w14:textId="39D05F14" w:rsidR="00B21613" w:rsidRDefault="00B21613" w:rsidP="00B21613">
            <w:pPr>
              <w:pStyle w:val="ParagraphStyle2"/>
              <w:widowControl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6817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9057" w14:textId="09DC5A03" w:rsidR="00B21613" w:rsidRDefault="00B21613" w:rsidP="00B21613">
            <w:pPr>
              <w:pStyle w:val="ParagraphStyle2"/>
              <w:widowControl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4981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0CD3B" w14:textId="6575CD19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&lt;0.001</w:t>
            </w:r>
          </w:p>
        </w:tc>
      </w:tr>
      <w:tr w:rsidR="00B21613" w14:paraId="0BD72171" w14:textId="77777777" w:rsidTr="00B21613">
        <w:trPr>
          <w:trHeight w:val="20"/>
        </w:trPr>
        <w:tc>
          <w:tcPr>
            <w:tcW w:w="1020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8C16" w14:textId="21BC5026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gout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vAlign w:val="center"/>
          </w:tcPr>
          <w:p w14:paraId="79DBE08F" w14:textId="505B97E6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 xml:space="preserve">NEU 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vs. 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NHR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2D37A" w14:textId="64DF2114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7846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796CF" w14:textId="5F04E3E4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8096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15279" w14:textId="59A783AF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-8.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858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vAlign w:val="center"/>
          </w:tcPr>
          <w:p w14:paraId="1C65E38C" w14:textId="0A73B2F5" w:rsidR="00B21613" w:rsidRDefault="00B21613" w:rsidP="00B21613">
            <w:pPr>
              <w:pStyle w:val="ParagraphStyle2"/>
              <w:widowControl/>
              <w:rPr>
                <w:rFonts w:ascii="Times New Roman" w:hAnsi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&lt;0.001</w:t>
            </w:r>
          </w:p>
        </w:tc>
      </w:tr>
      <w:tr w:rsidR="00B21613" w14:paraId="1EBA657E" w14:textId="77777777" w:rsidTr="00B21613">
        <w:trPr>
          <w:trHeight w:val="20"/>
        </w:trPr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E671C" w14:textId="77777777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967272" w14:textId="13A52771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HDL-C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vs. 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NHR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127A6" w14:textId="41E6C3A3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F9E7" w14:textId="4CEC16C9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8096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1CA4B" w14:textId="1832FD4E" w:rsidR="00B21613" w:rsidRDefault="00B21613" w:rsidP="00B21613">
            <w:pPr>
              <w:pStyle w:val="ParagraphStyle2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  <w:r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9A5BA3" w14:textId="772C5C78" w:rsidR="00B21613" w:rsidRDefault="00B21613" w:rsidP="00B21613">
            <w:pPr>
              <w:pStyle w:val="ParagraphStyle2"/>
              <w:widowControl/>
              <w:rPr>
                <w:rFonts w:ascii="Times New Roman" w:hAnsi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&lt;0.001</w:t>
            </w:r>
          </w:p>
        </w:tc>
      </w:tr>
    </w:tbl>
    <w:p w14:paraId="059BEF65" w14:textId="1D29484C" w:rsidR="00AC09EA" w:rsidRPr="00B21613" w:rsidRDefault="00ED48AD" w:rsidP="00B92BBA">
      <w:pPr>
        <w:ind w:firstLine="0"/>
        <w:rPr>
          <w:color w:val="000000" w:themeColor="text1"/>
        </w:rPr>
      </w:pPr>
      <w:r w:rsidRPr="00B21613">
        <w:rPr>
          <w:rFonts w:eastAsia="Microsoft YaHei UI"/>
          <w:color w:val="000000" w:themeColor="text1"/>
          <w:sz w:val="16"/>
          <w:szCs w:val="16"/>
        </w:rPr>
        <w:t xml:space="preserve">Note: </w:t>
      </w:r>
      <w:r w:rsidRPr="00B21613">
        <w:rPr>
          <w:color w:val="000000" w:themeColor="text1"/>
          <w:sz w:val="16"/>
          <w:szCs w:val="16"/>
          <w14:ligatures w14:val="none"/>
        </w:rPr>
        <w:t>This table presents the results of DeLong’s test for comparing AUCs between individual markers (</w:t>
      </w:r>
      <w:r w:rsidRPr="00B21613">
        <w:rPr>
          <w:rFonts w:hint="eastAsia"/>
          <w:color w:val="000000" w:themeColor="text1"/>
          <w:sz w:val="16"/>
          <w:szCs w:val="16"/>
          <w14:ligatures w14:val="none"/>
        </w:rPr>
        <w:t>NEU</w:t>
      </w:r>
      <w:r w:rsidR="00B21613" w:rsidRPr="00B21613">
        <w:rPr>
          <w:rFonts w:hint="eastAsia"/>
          <w:color w:val="000000" w:themeColor="text1"/>
          <w:sz w:val="16"/>
          <w:szCs w:val="16"/>
          <w14:ligatures w14:val="none"/>
        </w:rPr>
        <w:t xml:space="preserve"> a</w:t>
      </w:r>
      <w:r w:rsidRPr="00B21613">
        <w:rPr>
          <w:color w:val="000000" w:themeColor="text1"/>
          <w:sz w:val="16"/>
          <w:szCs w:val="16"/>
          <w14:ligatures w14:val="none"/>
        </w:rPr>
        <w:t>nd HDL-C) and the composite marker (</w:t>
      </w:r>
      <w:r w:rsidR="00B21613" w:rsidRPr="00B21613">
        <w:rPr>
          <w:rFonts w:hint="eastAsia"/>
          <w:color w:val="000000" w:themeColor="text1"/>
          <w:sz w:val="16"/>
          <w:szCs w:val="16"/>
          <w14:ligatures w14:val="none"/>
        </w:rPr>
        <w:t>NHR</w:t>
      </w:r>
      <w:r w:rsidRPr="00B21613">
        <w:rPr>
          <w:color w:val="000000" w:themeColor="text1"/>
          <w:sz w:val="16"/>
          <w:szCs w:val="16"/>
          <w14:ligatures w14:val="none"/>
        </w:rPr>
        <w:t xml:space="preserve">) for identifying </w:t>
      </w:r>
      <w:r w:rsidR="00B21613" w:rsidRPr="00B21613">
        <w:rPr>
          <w:rFonts w:hint="eastAsia"/>
          <w:color w:val="000000" w:themeColor="text1"/>
          <w:sz w:val="16"/>
          <w:szCs w:val="16"/>
          <w14:ligatures w14:val="none"/>
        </w:rPr>
        <w:t>h</w:t>
      </w:r>
      <w:r w:rsidR="00B21613" w:rsidRPr="00B21613">
        <w:rPr>
          <w:color w:val="000000" w:themeColor="text1"/>
          <w:sz w:val="16"/>
          <w:szCs w:val="16"/>
          <w14:ligatures w14:val="none"/>
        </w:rPr>
        <w:t xml:space="preserve">yperuricemia and </w:t>
      </w:r>
      <w:r w:rsidR="00B21613" w:rsidRPr="00B21613">
        <w:rPr>
          <w:rFonts w:hint="eastAsia"/>
          <w:color w:val="000000" w:themeColor="text1"/>
          <w:sz w:val="16"/>
          <w:szCs w:val="16"/>
          <w14:ligatures w14:val="none"/>
        </w:rPr>
        <w:t>g</w:t>
      </w:r>
      <w:r w:rsidR="00B21613" w:rsidRPr="00B21613">
        <w:rPr>
          <w:color w:val="000000" w:themeColor="text1"/>
          <w:sz w:val="16"/>
          <w:szCs w:val="16"/>
          <w14:ligatures w14:val="none"/>
        </w:rPr>
        <w:t>out</w:t>
      </w:r>
      <w:r w:rsidRPr="00B21613">
        <w:rPr>
          <w:color w:val="000000" w:themeColor="text1"/>
          <w:sz w:val="16"/>
          <w:szCs w:val="16"/>
          <w14:ligatures w14:val="none"/>
        </w:rPr>
        <w:t>. Statistically significant differences (</w:t>
      </w:r>
      <w:r w:rsidRPr="00B21613">
        <w:rPr>
          <w:rFonts w:hint="eastAsia"/>
          <w:i/>
          <w:iCs/>
          <w:color w:val="000000" w:themeColor="text1"/>
          <w:sz w:val="16"/>
          <w:szCs w:val="16"/>
          <w14:ligatures w14:val="none"/>
        </w:rPr>
        <w:t>p</w:t>
      </w:r>
      <w:r w:rsidRPr="00B21613">
        <w:rPr>
          <w:i/>
          <w:iCs/>
          <w:color w:val="000000" w:themeColor="text1"/>
          <w:sz w:val="16"/>
          <w:szCs w:val="16"/>
          <w14:ligatures w14:val="none"/>
        </w:rPr>
        <w:t xml:space="preserve"> </w:t>
      </w:r>
      <w:r w:rsidRPr="00B21613">
        <w:rPr>
          <w:color w:val="000000" w:themeColor="text1"/>
          <w:sz w:val="16"/>
          <w:szCs w:val="16"/>
          <w14:ligatures w14:val="none"/>
        </w:rPr>
        <w:t>&lt; 0.001) suggest that the composite ratio provides superior diagnostic performance.</w:t>
      </w:r>
    </w:p>
    <w:p w14:paraId="7EE6AECF" w14:textId="77777777" w:rsidR="00AC09EA" w:rsidRDefault="00AC09EA">
      <w:pPr>
        <w:ind w:firstLine="0"/>
      </w:pPr>
      <w:bookmarkStart w:id="0" w:name="_GoBack"/>
      <w:bookmarkEnd w:id="0"/>
    </w:p>
    <w:sectPr w:rsidR="00AC09EA" w:rsidSect="00ED48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58A9D" w14:textId="77777777" w:rsidR="004D1762" w:rsidRDefault="004D1762">
      <w:r>
        <w:separator/>
      </w:r>
    </w:p>
  </w:endnote>
  <w:endnote w:type="continuationSeparator" w:id="0">
    <w:p w14:paraId="46F51D90" w14:textId="77777777" w:rsidR="004D1762" w:rsidRDefault="004D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95F4EE" w14:textId="77777777" w:rsidR="00AC09EA" w:rsidRDefault="00AC09E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261235" w14:textId="77777777" w:rsidR="00AC09EA" w:rsidRDefault="00AC09EA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BB9F9" w14:textId="77777777" w:rsidR="00AC09EA" w:rsidRDefault="00AC09EA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63586" w14:textId="77777777" w:rsidR="004D1762" w:rsidRDefault="004D1762">
      <w:r>
        <w:separator/>
      </w:r>
    </w:p>
  </w:footnote>
  <w:footnote w:type="continuationSeparator" w:id="0">
    <w:p w14:paraId="2C1C9B13" w14:textId="77777777" w:rsidR="004D1762" w:rsidRDefault="004D1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9E4C95" w14:textId="77777777" w:rsidR="00AC09EA" w:rsidRDefault="00AC09EA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ACEF0" w14:textId="77777777" w:rsidR="00AC09EA" w:rsidRDefault="00AC09EA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3A641C" w14:textId="77777777" w:rsidR="00AC09EA" w:rsidRDefault="00AC09EA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0730"/>
    <w:rsid w:val="0000298B"/>
    <w:rsid w:val="00003A46"/>
    <w:rsid w:val="000321CE"/>
    <w:rsid w:val="000767C6"/>
    <w:rsid w:val="00092518"/>
    <w:rsid w:val="0009471C"/>
    <w:rsid w:val="000D2259"/>
    <w:rsid w:val="000D7CA8"/>
    <w:rsid w:val="00146B5F"/>
    <w:rsid w:val="001A7677"/>
    <w:rsid w:val="00266E04"/>
    <w:rsid w:val="002861B6"/>
    <w:rsid w:val="002F61C2"/>
    <w:rsid w:val="002F6D04"/>
    <w:rsid w:val="00312F86"/>
    <w:rsid w:val="003272CC"/>
    <w:rsid w:val="003544C1"/>
    <w:rsid w:val="003D5FF7"/>
    <w:rsid w:val="003F7C19"/>
    <w:rsid w:val="0041411B"/>
    <w:rsid w:val="00422EBC"/>
    <w:rsid w:val="00493A72"/>
    <w:rsid w:val="00495B97"/>
    <w:rsid w:val="00497B1E"/>
    <w:rsid w:val="004D1762"/>
    <w:rsid w:val="00515AE2"/>
    <w:rsid w:val="00542D24"/>
    <w:rsid w:val="005A21EC"/>
    <w:rsid w:val="005A671B"/>
    <w:rsid w:val="005B4C15"/>
    <w:rsid w:val="005C17B6"/>
    <w:rsid w:val="005C3364"/>
    <w:rsid w:val="005E3204"/>
    <w:rsid w:val="005E4889"/>
    <w:rsid w:val="0061137F"/>
    <w:rsid w:val="00614060"/>
    <w:rsid w:val="0064328F"/>
    <w:rsid w:val="00665C77"/>
    <w:rsid w:val="00683F15"/>
    <w:rsid w:val="00685FF4"/>
    <w:rsid w:val="00705768"/>
    <w:rsid w:val="007210FA"/>
    <w:rsid w:val="00726113"/>
    <w:rsid w:val="00766A50"/>
    <w:rsid w:val="007B3907"/>
    <w:rsid w:val="007B79D4"/>
    <w:rsid w:val="007C3BB3"/>
    <w:rsid w:val="007D0BE6"/>
    <w:rsid w:val="007F4E2F"/>
    <w:rsid w:val="008104FD"/>
    <w:rsid w:val="00811F1D"/>
    <w:rsid w:val="00815312"/>
    <w:rsid w:val="00822053"/>
    <w:rsid w:val="00823BAC"/>
    <w:rsid w:val="00873179"/>
    <w:rsid w:val="00890E1A"/>
    <w:rsid w:val="00891AC1"/>
    <w:rsid w:val="008956F4"/>
    <w:rsid w:val="00896F65"/>
    <w:rsid w:val="008A7A8D"/>
    <w:rsid w:val="008B021D"/>
    <w:rsid w:val="008B2790"/>
    <w:rsid w:val="008D249A"/>
    <w:rsid w:val="008E3880"/>
    <w:rsid w:val="00903FE9"/>
    <w:rsid w:val="00924FBF"/>
    <w:rsid w:val="00972815"/>
    <w:rsid w:val="009773EB"/>
    <w:rsid w:val="00983363"/>
    <w:rsid w:val="00983ABC"/>
    <w:rsid w:val="00994E87"/>
    <w:rsid w:val="009D4EAB"/>
    <w:rsid w:val="009E2ADF"/>
    <w:rsid w:val="009E77C7"/>
    <w:rsid w:val="00A03AC2"/>
    <w:rsid w:val="00A47EC1"/>
    <w:rsid w:val="00A76FDB"/>
    <w:rsid w:val="00A91A46"/>
    <w:rsid w:val="00A97D65"/>
    <w:rsid w:val="00AC09EA"/>
    <w:rsid w:val="00B210BA"/>
    <w:rsid w:val="00B21505"/>
    <w:rsid w:val="00B21613"/>
    <w:rsid w:val="00B23857"/>
    <w:rsid w:val="00B32877"/>
    <w:rsid w:val="00B3649C"/>
    <w:rsid w:val="00B44C97"/>
    <w:rsid w:val="00B544C9"/>
    <w:rsid w:val="00B60877"/>
    <w:rsid w:val="00B632BE"/>
    <w:rsid w:val="00B734AE"/>
    <w:rsid w:val="00B92BBA"/>
    <w:rsid w:val="00BA1546"/>
    <w:rsid w:val="00BB058D"/>
    <w:rsid w:val="00BB086F"/>
    <w:rsid w:val="00BC25C1"/>
    <w:rsid w:val="00BC3C78"/>
    <w:rsid w:val="00BC5F38"/>
    <w:rsid w:val="00BF5B2C"/>
    <w:rsid w:val="00C00D31"/>
    <w:rsid w:val="00C26CA3"/>
    <w:rsid w:val="00C34A1B"/>
    <w:rsid w:val="00C75408"/>
    <w:rsid w:val="00C810C8"/>
    <w:rsid w:val="00CD7765"/>
    <w:rsid w:val="00CE4413"/>
    <w:rsid w:val="00D15121"/>
    <w:rsid w:val="00D55CF9"/>
    <w:rsid w:val="00E34B43"/>
    <w:rsid w:val="00E4367B"/>
    <w:rsid w:val="00E56CC7"/>
    <w:rsid w:val="00E577FA"/>
    <w:rsid w:val="00E63785"/>
    <w:rsid w:val="00E7770D"/>
    <w:rsid w:val="00EC30E6"/>
    <w:rsid w:val="00ED48AD"/>
    <w:rsid w:val="00ED5BCC"/>
    <w:rsid w:val="00EF37E5"/>
    <w:rsid w:val="00EF6B84"/>
    <w:rsid w:val="00F14564"/>
    <w:rsid w:val="00F20CFD"/>
    <w:rsid w:val="00F46608"/>
    <w:rsid w:val="00F92D0D"/>
    <w:rsid w:val="00FA0424"/>
    <w:rsid w:val="00FC37EA"/>
    <w:rsid w:val="00FC48C3"/>
    <w:rsid w:val="00FF0730"/>
    <w:rsid w:val="00FF42AB"/>
    <w:rsid w:val="00FF7345"/>
    <w:rsid w:val="20D46836"/>
    <w:rsid w:val="30037709"/>
    <w:rsid w:val="3D6B71E9"/>
    <w:rsid w:val="44E177B9"/>
    <w:rsid w:val="5BDA230A"/>
    <w:rsid w:val="5FBF1D36"/>
    <w:rsid w:val="74C06305"/>
    <w:rsid w:val="75012E36"/>
    <w:rsid w:val="75703482"/>
    <w:rsid w:val="76E7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C3422"/>
  <w15:docId w15:val="{1D61F92C-31F6-4E8E-9063-A829E693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198"/>
      <w:jc w:val="both"/>
    </w:pPr>
    <w:rPr>
      <w:rFonts w:ascii="Times New Roman" w:eastAsia="SimSun" w:hAnsi="Times New Roman" w:cs="Times New Roman"/>
      <w:kern w:val="2"/>
      <w:sz w:val="24"/>
      <w:szCs w:val="24"/>
      <w14:ligatures w14:val="standardContextual"/>
    </w:rPr>
  </w:style>
  <w:style w:type="paragraph" w:styleId="Heading1">
    <w:name w:val="heading 1"/>
    <w:basedOn w:val="Heading2"/>
    <w:next w:val="Normal"/>
    <w:link w:val="Heading1Char"/>
    <w:autoRedefine/>
    <w:uiPriority w:val="1"/>
    <w:qFormat/>
    <w:pPr>
      <w:ind w:firstLineChars="200" w:firstLine="200"/>
      <w:outlineLvl w:val="0"/>
    </w:p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pPr>
      <w:keepNext/>
      <w:keepLines/>
      <w:spacing w:before="260" w:after="260"/>
      <w:ind w:firstLine="0"/>
      <w:outlineLvl w:val="1"/>
    </w:pPr>
    <w:rPr>
      <w:rFonts w:asciiTheme="majorHAnsi" w:hAnsiTheme="majorHAnsi" w:cstheme="majorBidi"/>
      <w:b/>
      <w:bCs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pPr>
      <w:keepNext/>
      <w:keepLines/>
      <w:spacing w:before="260" w:after="260"/>
      <w:outlineLvl w:val="2"/>
    </w:pPr>
    <w:rPr>
      <w:b/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itle">
    <w:name w:val="Title"/>
    <w:basedOn w:val="Normal"/>
    <w:next w:val="Normal"/>
    <w:link w:val="TitleChar"/>
    <w:autoRedefine/>
    <w:qFormat/>
    <w:pPr>
      <w:spacing w:before="240" w:after="60"/>
      <w:jc w:val="center"/>
      <w:outlineLvl w:val="0"/>
    </w:pPr>
    <w:rPr>
      <w:rFonts w:ascii="DengXian Light" w:hAnsi="DengXian Light"/>
      <w:b/>
      <w:bCs/>
      <w:color w:val="000000"/>
      <w:sz w:val="44"/>
      <w:szCs w:val="32"/>
      <w14:ligatures w14:val="non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="SimSun" w:hAnsiTheme="majorHAnsi" w:cstheme="majorBidi"/>
      <w:b/>
      <w:bCs/>
      <w:color w:val="000000" w:themeColor="text1"/>
      <w:sz w:val="32"/>
      <w:szCs w:val="32"/>
    </w:rPr>
  </w:style>
  <w:style w:type="character" w:customStyle="1" w:styleId="TitleChar">
    <w:name w:val="Title Char"/>
    <w:basedOn w:val="DefaultParagraphFont"/>
    <w:link w:val="Title"/>
    <w:qFormat/>
    <w:rPr>
      <w:rFonts w:ascii="DengXian Light" w:eastAsia="SimSun" w:hAnsi="DengXian Light" w:cs="Times New Roman"/>
      <w:b/>
      <w:bCs/>
      <w:color w:val="000000"/>
      <w:sz w:val="44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="SimSun" w:hAnsiTheme="majorHAnsi" w:cstheme="majorBidi"/>
      <w:b/>
      <w:bCs/>
      <w:color w:val="000000" w:themeColor="tex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SimSun" w:hAnsi="Times New Roman"/>
      <w:b/>
      <w:bCs/>
      <w:color w:val="000000" w:themeColor="text1"/>
      <w:sz w:val="24"/>
      <w:szCs w:val="32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SimSun" w:hAnsi="Times New Roman"/>
      <w:color w:val="000000" w:themeColor="text1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SimSun" w:hAnsi="Times New Roman"/>
      <w:color w:val="000000" w:themeColor="text1"/>
      <w:sz w:val="18"/>
      <w:szCs w:val="18"/>
    </w:rPr>
  </w:style>
  <w:style w:type="paragraph" w:customStyle="1" w:styleId="a">
    <w:name w:val="段落"/>
    <w:basedOn w:val="Normal"/>
    <w:link w:val="Char"/>
    <w:qFormat/>
    <w:pPr>
      <w:widowControl w:val="0"/>
      <w:spacing w:before="156" w:after="156"/>
      <w:ind w:firstLine="420"/>
    </w:pPr>
    <w:rPr>
      <w:rFonts w:eastAsiaTheme="minorEastAsia" w:cstheme="minorBidi"/>
      <w:sz w:val="21"/>
      <w:szCs w:val="22"/>
    </w:rPr>
  </w:style>
  <w:style w:type="paragraph" w:customStyle="1" w:styleId="ParagraphStyle0">
    <w:name w:val="ParagraphStyle0"/>
    <w:basedOn w:val="Normal"/>
    <w:qFormat/>
    <w:pPr>
      <w:widowControl w:val="0"/>
      <w:ind w:firstLine="0"/>
      <w:jc w:val="center"/>
    </w:pPr>
    <w:rPr>
      <w:rFonts w:ascii="Calibri" w:eastAsia="Times New Roman" w:hAnsi="Calibri" w:cs="Calibri"/>
      <w:sz w:val="22"/>
      <w:szCs w:val="22"/>
    </w:rPr>
  </w:style>
  <w:style w:type="paragraph" w:customStyle="1" w:styleId="ParagraphStyle1">
    <w:name w:val="ParagraphStyle1"/>
    <w:basedOn w:val="Normal"/>
    <w:qFormat/>
    <w:pPr>
      <w:widowControl w:val="0"/>
      <w:ind w:firstLine="0"/>
      <w:jc w:val="center"/>
    </w:pPr>
    <w:rPr>
      <w:rFonts w:ascii="Calibri" w:eastAsia="Times New Roman" w:hAnsi="Calibri" w:cs="Calibri"/>
      <w:sz w:val="22"/>
      <w:szCs w:val="22"/>
    </w:rPr>
  </w:style>
  <w:style w:type="paragraph" w:customStyle="1" w:styleId="ParagraphStyle2">
    <w:name w:val="ParagraphStyle2"/>
    <w:basedOn w:val="Normal"/>
    <w:pPr>
      <w:widowControl w:val="0"/>
      <w:ind w:firstLine="0"/>
      <w:jc w:val="center"/>
    </w:pPr>
    <w:rPr>
      <w:rFonts w:ascii="Calibri" w:eastAsia="Times New Roman" w:hAnsi="Calibri" w:cs="Calibri"/>
      <w:sz w:val="22"/>
      <w:szCs w:val="22"/>
    </w:rPr>
  </w:style>
  <w:style w:type="paragraph" w:customStyle="1" w:styleId="ParagraphStyle3">
    <w:name w:val="ParagraphStyle3"/>
    <w:basedOn w:val="Normal"/>
    <w:pPr>
      <w:widowControl w:val="0"/>
      <w:ind w:firstLine="0"/>
      <w:jc w:val="left"/>
    </w:pPr>
    <w:rPr>
      <w:rFonts w:ascii="Calibri" w:eastAsia="Times New Roman" w:hAnsi="Calibri" w:cs="Calibri"/>
      <w:sz w:val="22"/>
      <w:szCs w:val="22"/>
    </w:rPr>
  </w:style>
  <w:style w:type="character" w:customStyle="1" w:styleId="Char">
    <w:name w:val="段落 Char"/>
    <w:basedOn w:val="DefaultParagraphFont"/>
    <w:link w:val="a"/>
    <w:rPr>
      <w:rFonts w:ascii="Times New Roman" w:hAnsi="Times New Roman"/>
      <w:szCs w:val="22"/>
    </w:rPr>
  </w:style>
  <w:style w:type="character" w:customStyle="1" w:styleId="CharacterStyle1">
    <w:name w:val="CharacterStyle1"/>
    <w:qFormat/>
    <w:rPr>
      <w:rFonts w:ascii="Times New Roman" w:eastAsia="Times New Roman" w:hAnsi="Times New Roman" w:cs="Times New Roman"/>
      <w:color w:val="000000"/>
      <w:sz w:val="19"/>
      <w:szCs w:val="19"/>
    </w:rPr>
  </w:style>
  <w:style w:type="character" w:customStyle="1" w:styleId="CharacterStyle2">
    <w:name w:val="CharacterStyle2"/>
    <w:qFormat/>
    <w:rPr>
      <w:rFonts w:ascii="Times New Roman" w:eastAsia="Times New Roman" w:hAnsi="Times New Roman" w:cs="Times New Roman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传杰 郑</dc:creator>
  <cp:lastModifiedBy>Rajalakshmi Thangaraj</cp:lastModifiedBy>
  <cp:revision>59</cp:revision>
  <dcterms:created xsi:type="dcterms:W3CDTF">2024-11-09T15:22:00Z</dcterms:created>
  <dcterms:modified xsi:type="dcterms:W3CDTF">2025-08-28T02:38:00Z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eyJoZGlkIjoiMTdkMzNjZTViMWZlNzFiZjI1YTUyMDQ2YTI5ZDVjYTYiLCJ1c2VySWQiOiIzMTc1OTI0NTQifQ==</vt:lpwstr>
  </property>
  <property fmtid="{D5CDD505-2E9C-101B-9397-08002B2CF9AE}" pid="3" name="KSOProductBuildVer">
    <vt:lpwstr>2052-12.1.0.22215</vt:lpwstr>
  </property>
  <property fmtid="{D5CDD505-2E9C-101B-9397-08002B2CF9AE}" pid="4" name="ICV">
    <vt:lpwstr>AA12FA8D531F4FFD9516202E1363F647_12</vt:lpwstr>
  </property>
</Properties>
</file>