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>Supplementary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b w:val="1"/>
          <w:bCs w:val="1"/>
          <w:rtl w:val="0"/>
        </w:rPr>
        <w:t>File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b w:val="1"/>
          <w:bCs w:val="1"/>
          <w:rtl w:val="0"/>
          <w:lang w:val="en-US"/>
        </w:rPr>
        <w:t xml:space="preserve">1. Quantitative positional anatomy of the lumbar spine </w:t>
      </w:r>
      <w:r>
        <w:rPr>
          <w:rFonts w:ascii="Times Roman" w:hAnsi="Times Roman" w:hint="default"/>
          <w:b w:val="1"/>
          <w:bCs w:val="1"/>
          <w:rtl w:val="0"/>
        </w:rPr>
        <w:t xml:space="preserve">– </w:t>
      </w:r>
      <w:r>
        <w:rPr>
          <w:rFonts w:ascii="Times Roman" w:hAnsi="Times Roman"/>
          <w:b w:val="1"/>
          <w:bCs w:val="1"/>
          <w:rtl w:val="0"/>
          <w:lang w:val="it-IT"/>
        </w:rPr>
        <w:t>individual</w:t>
      </w:r>
      <w:r>
        <w:rPr>
          <w:rFonts w:ascii="Times Roman" w:hAnsi="Times Roman" w:hint="default"/>
          <w:b w:val="1"/>
          <w:bCs w:val="1"/>
          <w:rtl w:val="0"/>
        </w:rPr>
        <w:t>‐</w:t>
      </w:r>
      <w:r>
        <w:rPr>
          <w:rFonts w:ascii="Times Roman" w:hAnsi="Times Roman"/>
          <w:b w:val="1"/>
          <w:bCs w:val="1"/>
          <w:rtl w:val="0"/>
          <w:lang w:val="en-US"/>
        </w:rPr>
        <w:t>study dataset supporting the meta</w:t>
      </w:r>
      <w:r>
        <w:rPr>
          <w:rFonts w:ascii="Times Roman" w:hAnsi="Times Roman" w:hint="default"/>
          <w:b w:val="1"/>
          <w:bCs w:val="1"/>
          <w:rtl w:val="0"/>
        </w:rPr>
        <w:t>‑</w:t>
      </w:r>
      <w:r>
        <w:rPr>
          <w:rFonts w:ascii="Times Roman" w:hAnsi="Times Roman"/>
          <w:b w:val="1"/>
          <w:bCs w:val="1"/>
          <w:rtl w:val="0"/>
          <w:lang w:val="en-US"/>
        </w:rPr>
        <w:t>analysis.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>Contents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Rationale and compilation methods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Complete comparison</w:t>
      </w:r>
      <w:r>
        <w:rPr>
          <w:rFonts w:ascii="Times Roman" w:hAnsi="Times Roman" w:hint="default"/>
          <w:rtl w:val="0"/>
        </w:rPr>
        <w:t>‑</w:t>
      </w:r>
      <w:r>
        <w:rPr>
          <w:rFonts w:ascii="Times Roman" w:hAnsi="Times Roman"/>
          <w:rtl w:val="0"/>
          <w:lang w:val="en-US"/>
        </w:rPr>
        <w:t>level table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  <w:lang w:val="en-US"/>
        </w:rPr>
      </w:pPr>
      <w:r>
        <w:rPr>
          <w:rFonts w:ascii="Times Roman" w:hAnsi="Times Roman"/>
          <w:rtl w:val="0"/>
          <w:lang w:val="en-US"/>
        </w:rPr>
        <w:t>Notes on data harmonisation and units</w:t>
      </w:r>
    </w:p>
    <w:p>
      <w:pPr>
        <w:pStyle w:val="Default"/>
        <w:numPr>
          <w:ilvl w:val="0"/>
          <w:numId w:val="2"/>
        </w:numPr>
        <w:bidi w:val="0"/>
        <w:spacing w:before="0" w:after="240" w:line="240" w:lineRule="auto"/>
        <w:ind w:right="0"/>
        <w:jc w:val="left"/>
        <w:rPr>
          <w:rFonts w:ascii="Times Roman" w:hAnsi="Times Roman"/>
          <w:rtl w:val="0"/>
          <w:lang w:val="it-IT"/>
        </w:rPr>
      </w:pPr>
      <w:r>
        <w:rPr>
          <w:rFonts w:ascii="Times Roman" w:hAnsi="Times Roman"/>
          <w:rtl w:val="0"/>
          <w:lang w:val="it-IT"/>
        </w:rPr>
        <w:t>Abbreviation list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</w:rPr>
        <w:t>1</w:t>
      </w:r>
      <w:r>
        <w:rPr>
          <w:rFonts w:ascii="Times Roman" w:hAnsi="Times Roman"/>
          <w:b w:val="1"/>
          <w:bCs w:val="1"/>
          <w:rtl w:val="0"/>
          <w:lang w:val="de-DE"/>
        </w:rPr>
        <w:t xml:space="preserve">. </w:t>
      </w:r>
      <w:r>
        <w:rPr>
          <w:rFonts w:ascii="Times Roman" w:hAnsi="Times Roman"/>
          <w:b w:val="1"/>
          <w:bCs w:val="1"/>
          <w:rtl w:val="0"/>
          <w:lang w:val="en-US"/>
        </w:rPr>
        <w:t>Rationale and compilation methods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W</w:t>
      </w:r>
      <w:r>
        <w:rPr>
          <w:rFonts w:ascii="Times Roman" w:hAnsi="Times Roman"/>
          <w:rtl w:val="0"/>
          <w:lang w:val="en-US"/>
        </w:rPr>
        <w:t>e extracted the raw means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 w:hint="default"/>
          <w:rtl w:val="1"/>
        </w:rPr>
        <w:t>±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rtl w:val="0"/>
          <w:lang w:val="en-US"/>
        </w:rPr>
        <w:t>standard deviations (SD) reported in all nine eligible studies (41 independent comparisons, 1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rtl w:val="0"/>
          <w:lang w:val="en-US"/>
        </w:rPr>
        <w:t>248 participants). Extraction was performed in duplicate (A.D.,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rtl w:val="0"/>
          <w:lang w:val="en-US"/>
        </w:rPr>
        <w:t>S.S.) using a piloted spreadsheet (Microsoft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rtl w:val="0"/>
          <w:lang w:val="en-US"/>
        </w:rPr>
        <w:t>Excel 365). When results were plotted graphically, values were digitised with WebPlotDigitizer</w:t>
      </w:r>
      <w:r>
        <w:rPr>
          <w:rFonts w:ascii="Times Roman" w:hAnsi="Times Roman" w:hint="default"/>
          <w:rtl w:val="0"/>
        </w:rPr>
        <w:t> </w:t>
      </w:r>
      <w:r>
        <w:rPr>
          <w:rFonts w:ascii="Times Roman" w:hAnsi="Times Roman"/>
          <w:rtl w:val="0"/>
          <w:lang w:val="en-US"/>
        </w:rPr>
        <w:t>v4.6. Disagreements &gt;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rtl w:val="0"/>
        </w:rPr>
        <w:t>0.5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rtl w:val="0"/>
          <w:lang w:val="de-DE"/>
        </w:rPr>
        <w:t>mm or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fr-FR"/>
        </w:rPr>
        <w:t> </w:t>
      </w:r>
      <w:r>
        <w:rPr>
          <w:rFonts w:ascii="Times Roman" w:hAnsi="Times Roman"/>
          <w:rtl w:val="0"/>
        </w:rPr>
        <w:t>0.5</w:t>
      </w:r>
      <w:r>
        <w:rPr>
          <w:rFonts w:ascii="Times Roman" w:hAnsi="Times Roman" w:hint="default"/>
          <w:rtl w:val="0"/>
          <w:lang w:val="it-IT"/>
        </w:rPr>
        <w:t xml:space="preserve">° </w:t>
      </w:r>
      <w:r>
        <w:rPr>
          <w:rFonts w:ascii="Times Roman" w:hAnsi="Times Roman"/>
          <w:rtl w:val="0"/>
          <w:lang w:val="en-US"/>
        </w:rPr>
        <w:t>were resolved by consensus.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de-DE"/>
        </w:rPr>
        <w:t>2.</w:t>
      </w:r>
      <w:r>
        <w:rPr>
          <w:rFonts w:ascii="Times Roman" w:hAnsi="Times Roman" w:hint="default"/>
          <w:b w:val="1"/>
          <w:bCs w:val="1"/>
          <w:rtl w:val="0"/>
        </w:rPr>
        <w:t> </w:t>
      </w:r>
      <w:r>
        <w:rPr>
          <w:rFonts w:ascii="Times Roman" w:hAnsi="Times Roman"/>
          <w:b w:val="1"/>
          <w:bCs w:val="1"/>
          <w:rtl w:val="0"/>
          <w:lang w:val="en-US"/>
        </w:rPr>
        <w:t>Comparison</w:t>
      </w:r>
      <w:r>
        <w:rPr>
          <w:rFonts w:ascii="Times Roman" w:hAnsi="Times Roman" w:hint="default"/>
          <w:b w:val="1"/>
          <w:bCs w:val="1"/>
          <w:rtl w:val="0"/>
        </w:rPr>
        <w:t>‑</w:t>
      </w:r>
      <w:r>
        <w:rPr>
          <w:rFonts w:ascii="Times Roman" w:hAnsi="Times Roman"/>
          <w:b w:val="1"/>
          <w:bCs w:val="1"/>
          <w:rtl w:val="0"/>
          <w:lang w:val="en-US"/>
        </w:rPr>
        <w:t>level table</w:t>
      </w:r>
      <w:r>
        <w:rPr>
          <w:rFonts w:ascii="Times Roman" w:hAnsi="Times Roman"/>
          <w:b w:val="1"/>
          <w:bCs w:val="1"/>
          <w:rtl w:val="0"/>
          <w:lang w:val="de-DE"/>
        </w:rPr>
        <w:t xml:space="preserve"> has been provided on the next page.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-184800</wp:posOffset>
            </wp:positionH>
            <wp:positionV relativeFrom="page">
              <wp:posOffset>817981</wp:posOffset>
            </wp:positionV>
            <wp:extent cx="9960722" cy="95911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22"/>
                <wp:lineTo x="0" y="21622"/>
                <wp:lineTo x="0" y="0"/>
              </wp:wrapPolygon>
            </wp:wrapThrough>
            <wp:docPr id="1073741825" name="officeArt object" descr="Supp_Table_S2_Anatom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upp_Table_S2_Anatomy.png" descr="Supp_Table_S2_Anatomy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60722" cy="95911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Roman" w:hAnsi="Times Roman"/>
          <w:b w:val="1"/>
          <w:bCs w:val="1"/>
          <w:rtl w:val="0"/>
        </w:rPr>
        <w:t>4</w:t>
      </w:r>
      <w:r>
        <w:rPr>
          <w:rFonts w:ascii="Times Roman" w:hAnsi="Times Roman" w:hint="default"/>
          <w:b w:val="1"/>
          <w:bCs w:val="1"/>
          <w:rtl w:val="0"/>
        </w:rPr>
        <w:t>  </w:t>
      </w:r>
      <w:r>
        <w:rPr>
          <w:rFonts w:ascii="Times Roman" w:hAnsi="Times Roman"/>
          <w:b w:val="1"/>
          <w:bCs w:val="1"/>
          <w:rtl w:val="0"/>
          <w:lang w:val="fr-FR"/>
        </w:rPr>
        <w:t>Data harmonisation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 xml:space="preserve">Units </w:t>
      </w: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rtl w:val="0"/>
          <w:lang w:val="en-US"/>
        </w:rPr>
        <w:t>All studies reported millimetres or degrees; no conversions were necessary.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it-IT"/>
        </w:rPr>
        <w:t xml:space="preserve">Segmental lordosis </w:t>
      </w: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rtl w:val="0"/>
          <w:lang w:val="en-US"/>
        </w:rPr>
        <w:t>When only Cobb angles at adjacent endplates were given, the authors</w:t>
      </w:r>
      <w:r>
        <w:rPr>
          <w:rFonts w:ascii="Times Roman" w:hAnsi="Times Roman" w:hint="default"/>
          <w:rtl w:val="1"/>
        </w:rPr>
        <w:t xml:space="preserve">’ </w:t>
      </w:r>
      <w:r>
        <w:rPr>
          <w:rFonts w:ascii="Times Roman" w:hAnsi="Times Roman"/>
          <w:rtl w:val="0"/>
          <w:lang w:val="en-US"/>
        </w:rPr>
        <w:t>means and SDs were used directly; no back</w:t>
      </w:r>
      <w:r>
        <w:rPr>
          <w:rFonts w:ascii="Times Roman" w:hAnsi="Times Roman" w:hint="default"/>
          <w:rtl w:val="0"/>
        </w:rPr>
        <w:t>‑</w:t>
      </w:r>
      <w:r>
        <w:rPr>
          <w:rFonts w:ascii="Times Roman" w:hAnsi="Times Roman"/>
          <w:rtl w:val="0"/>
          <w:lang w:val="en-US"/>
        </w:rPr>
        <w:t>calculation was required.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 xml:space="preserve">Multiple levels within a study </w:t>
      </w: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rtl w:val="0"/>
          <w:lang w:val="en-US"/>
        </w:rPr>
        <w:t>Treated as separate comparisons but clustered under the same study identifier; variance</w:t>
      </w:r>
      <w:r>
        <w:rPr>
          <w:rFonts w:ascii="Times Roman" w:hAnsi="Times Roman" w:hint="default"/>
          <w:rtl w:val="0"/>
        </w:rPr>
        <w:t>–</w:t>
      </w:r>
      <w:r>
        <w:rPr>
          <w:rFonts w:ascii="Times Roman" w:hAnsi="Times Roman"/>
          <w:rtl w:val="0"/>
          <w:lang w:val="en-US"/>
        </w:rPr>
        <w:t>covariance was modelled using the robust (cluster) option in metafor.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 xml:space="preserve">Missing SDs </w:t>
      </w:r>
      <w:r>
        <w:rPr>
          <w:rFonts w:ascii="Times Roman" w:hAnsi="Times Roman" w:hint="default"/>
          <w:rtl w:val="0"/>
        </w:rPr>
        <w:t xml:space="preserve">– </w:t>
      </w:r>
      <w:r>
        <w:rPr>
          <w:rFonts w:ascii="Times Roman" w:hAnsi="Times Roman"/>
          <w:rtl w:val="0"/>
          <w:lang w:val="en-US"/>
        </w:rPr>
        <w:t>None; all nine studies provided measures of spread.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