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  <w:bookmarkStart w:id="0" w:name="_GoBack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0"/>
        <w:gridCol w:w="6"/>
      </w:tblGrid>
      <w:tr w:rsidR="00DE4A15" w:rsidRPr="00DE4A15" w:rsidTr="003B3F28">
        <w:trPr>
          <w:gridAfter w:val="1"/>
          <w:tblCellSpacing w:w="0" w:type="dxa"/>
        </w:trPr>
        <w:tc>
          <w:tcPr>
            <w:tcW w:w="6" w:type="dxa"/>
            <w:vAlign w:val="center"/>
          </w:tcPr>
          <w:p w:rsidR="006D6E04" w:rsidRPr="00DE4A15" w:rsidRDefault="006D6E04" w:rsidP="003B3F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4A15" w:rsidRPr="00DE4A15" w:rsidTr="003B3F28">
        <w:trPr>
          <w:tblCellSpacing w:w="0" w:type="dxa"/>
        </w:trPr>
        <w:tc>
          <w:tcPr>
            <w:tcW w:w="0" w:type="auto"/>
            <w:vAlign w:val="center"/>
          </w:tcPr>
          <w:p w:rsidR="006D6E04" w:rsidRPr="00DE4A15" w:rsidRDefault="006D6E04" w:rsidP="003B3F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D6E04" w:rsidRPr="00DE4A15" w:rsidRDefault="006D6E04" w:rsidP="003B3F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4A15" w:rsidRPr="00DE4A15" w:rsidTr="003B3F28">
        <w:trPr>
          <w:tblCellSpacing w:w="0" w:type="dxa"/>
        </w:trPr>
        <w:tc>
          <w:tcPr>
            <w:tcW w:w="0" w:type="auto"/>
            <w:vAlign w:val="center"/>
          </w:tcPr>
          <w:p w:rsidR="006D6E04" w:rsidRPr="00DE4A15" w:rsidRDefault="006D6E04" w:rsidP="003B3F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4A1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 wp14:anchorId="1C7DBEF8" wp14:editId="1F13FDA6">
                  <wp:extent cx="5274310" cy="2200275"/>
                  <wp:effectExtent l="0" t="0" r="2540" b="9525"/>
                  <wp:docPr id="18941723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1723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6D6E04" w:rsidRPr="00DE4A15" w:rsidRDefault="006D6E04" w:rsidP="003B3F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  <w:r w:rsidRPr="00DE4A15">
        <w:rPr>
          <w:rFonts w:ascii="Times New Roman" w:hAnsi="Times New Roman" w:cs="Times New Roman"/>
          <w:sz w:val="18"/>
          <w:szCs w:val="18"/>
        </w:rPr>
        <w:t xml:space="preserve">Supplementary Figure 1. Distribution of day </w:t>
      </w:r>
      <w:proofErr w:type="gramStart"/>
      <w:r w:rsidRPr="00DE4A15">
        <w:rPr>
          <w:rFonts w:ascii="Times New Roman" w:hAnsi="Times New Roman" w:cs="Times New Roman"/>
          <w:sz w:val="18"/>
          <w:szCs w:val="18"/>
        </w:rPr>
        <w:t>3 cell</w:t>
      </w:r>
      <w:proofErr w:type="gramEnd"/>
      <w:r w:rsidRPr="00DE4A15">
        <w:rPr>
          <w:rFonts w:ascii="Times New Roman" w:hAnsi="Times New Roman" w:cs="Times New Roman"/>
          <w:sz w:val="18"/>
          <w:szCs w:val="18"/>
        </w:rPr>
        <w:t xml:space="preserve"> number and pregnancy outcomes by cell number after blastocyst transfer</w:t>
      </w: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  <w:r w:rsidRPr="00DE4A15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5CF67CB4" wp14:editId="771AF674">
            <wp:extent cx="5274310" cy="2200275"/>
            <wp:effectExtent l="0" t="0" r="2540" b="9525"/>
            <wp:docPr id="432750322" name="图片 6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750322" name="图片 6" descr="图表, 折线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  <w:r w:rsidRPr="00DE4A15">
        <w:rPr>
          <w:rFonts w:ascii="Times New Roman" w:hAnsi="Times New Roman" w:cs="Times New Roman"/>
          <w:sz w:val="18"/>
          <w:szCs w:val="18"/>
        </w:rPr>
        <w:t xml:space="preserve">Supplementary Figure 2. Proportion of male infants by day 3 cell number after blastocyst transfer </w:t>
      </w:r>
    </w:p>
    <w:p w:rsidR="00FD61CC" w:rsidRPr="00DE4A15" w:rsidRDefault="00FD61CC"/>
    <w:p w:rsidR="006D6E04" w:rsidRPr="00DE4A15" w:rsidRDefault="006D6E04"/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  <w:bookmarkStart w:id="1" w:name="_Hlk208564689"/>
      <w:r w:rsidRPr="00DE4A15">
        <w:rPr>
          <w:rFonts w:ascii="Times New Roman" w:hAnsi="Times New Roman" w:cs="Times New Roman"/>
          <w:sz w:val="18"/>
          <w:szCs w:val="18"/>
        </w:rPr>
        <w:t xml:space="preserve">Supplementary Table I </w:t>
      </w:r>
      <w:bookmarkEnd w:id="1"/>
      <w:r w:rsidRPr="00DE4A15">
        <w:rPr>
          <w:rFonts w:ascii="Times New Roman" w:hAnsi="Times New Roman" w:cs="Times New Roman"/>
          <w:sz w:val="18"/>
          <w:szCs w:val="18"/>
        </w:rPr>
        <w:t>Clinical and neonatal outcomes in subgroup analyses by age, blastocyst grade and embryonic development days</w:t>
      </w:r>
    </w:p>
    <w:tbl>
      <w:tblPr>
        <w:tblStyle w:val="TableGrid"/>
        <w:tblW w:w="9962" w:type="dxa"/>
        <w:tblInd w:w="-7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2216"/>
        <w:gridCol w:w="1270"/>
        <w:gridCol w:w="1474"/>
        <w:gridCol w:w="1473"/>
        <w:gridCol w:w="1348"/>
        <w:gridCol w:w="348"/>
        <w:gridCol w:w="715"/>
      </w:tblGrid>
      <w:tr w:rsidR="00DE4A15" w:rsidRPr="00DE4A15" w:rsidTr="003B3F28">
        <w:trPr>
          <w:trHeight w:val="427"/>
        </w:trPr>
        <w:tc>
          <w:tcPr>
            <w:tcW w:w="3334" w:type="dxa"/>
            <w:gridSpan w:val="2"/>
            <w:tcBorders>
              <w:bottom w:val="single" w:sz="4" w:space="0" w:color="auto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&lt; 7-cell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7-9-</w:t>
            </w:r>
            <w:r w:rsidRPr="00DE4A15">
              <w:rPr>
                <w:rStyle w:val="font21"/>
                <w:rFonts w:ascii="Times New Roman" w:hAnsi="Times New Roman" w:cs="Times New Roman" w:hint="default"/>
                <w:color w:val="auto"/>
                <w:sz w:val="18"/>
                <w:szCs w:val="18"/>
              </w:rPr>
              <w:t>cell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10-13</w:t>
            </w:r>
            <w:r w:rsidRPr="00DE4A15">
              <w:rPr>
                <w:rStyle w:val="font21"/>
                <w:rFonts w:ascii="Times New Roman" w:hAnsi="Times New Roman" w:cs="Times New Roman" w:hint="default"/>
                <w:color w:val="auto"/>
                <w:sz w:val="18"/>
                <w:szCs w:val="18"/>
              </w:rPr>
              <w:t>-cell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szCs w:val="21"/>
              </w:rPr>
              <w:t xml:space="preserve">&gt; </w:t>
            </w:r>
            <w:r w:rsidRPr="00DE4A15">
              <w:rPr>
                <w:rStyle w:val="font12"/>
                <w:rFonts w:ascii="Times New Roman" w:hAnsi="Times New Roman" w:cs="Times New Roman"/>
                <w:color w:val="auto"/>
                <w:sz w:val="18"/>
                <w:szCs w:val="18"/>
              </w:rPr>
              <w:t>13-cell</w:t>
            </w:r>
          </w:p>
        </w:tc>
        <w:tc>
          <w:tcPr>
            <w:tcW w:w="1063" w:type="dxa"/>
            <w:gridSpan w:val="2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i/>
                <w:iCs/>
                <w:sz w:val="18"/>
                <w:szCs w:val="18"/>
              </w:rPr>
              <w:t>P</w:t>
            </w:r>
            <w:r w:rsidRPr="00DE4A15">
              <w:rPr>
                <w:sz w:val="18"/>
                <w:szCs w:val="18"/>
              </w:rPr>
              <w:t>-value</w:t>
            </w:r>
          </w:p>
        </w:tc>
      </w:tr>
      <w:tr w:rsidR="00DE4A15" w:rsidRPr="00DE4A15" w:rsidTr="003B3F28">
        <w:trPr>
          <w:trHeight w:val="345"/>
        </w:trPr>
        <w:tc>
          <w:tcPr>
            <w:tcW w:w="8899" w:type="dxa"/>
            <w:gridSpan w:val="6"/>
            <w:tcBorders>
              <w:top w:val="single" w:sz="4" w:space="0" w:color="auto"/>
              <w:bottom w:val="nil"/>
              <w:right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Ages(years)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</w:p>
        </w:tc>
      </w:tr>
      <w:tr w:rsidR="00DE4A15" w:rsidRPr="00DE4A15" w:rsidTr="003B3F28">
        <w:trPr>
          <w:trHeight w:val="198"/>
        </w:trPr>
        <w:tc>
          <w:tcPr>
            <w:tcW w:w="1118" w:type="dxa"/>
            <w:vMerge w:val="restart"/>
            <w:tcBorders>
              <w:top w:val="nil"/>
              <w:bottom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&lt; 35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Number of cycles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610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247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</w:tr>
      <w:tr w:rsidR="00DE4A15" w:rsidRPr="00DE4A15" w:rsidTr="003B3F28">
        <w:trPr>
          <w:trHeight w:val="339"/>
        </w:trPr>
        <w:tc>
          <w:tcPr>
            <w:tcW w:w="1118" w:type="dxa"/>
            <w:vMerge/>
            <w:tcBorders>
              <w:top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nil"/>
              <w:left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Clinical Pregnancy rate (%)</w:t>
            </w:r>
          </w:p>
        </w:tc>
        <w:tc>
          <w:tcPr>
            <w:tcW w:w="1270" w:type="dxa"/>
            <w:tcBorders>
              <w:top w:val="nil"/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45.88(39/85)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62.95(384/610)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3" w:type="dxa"/>
            <w:tcBorders>
              <w:top w:val="nil"/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64.37(159/247)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67.11(51/76)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0.011</w:t>
            </w:r>
          </w:p>
        </w:tc>
      </w:tr>
      <w:tr w:rsidR="00DE4A15" w:rsidRPr="00DE4A15" w:rsidTr="003B3F28">
        <w:tc>
          <w:tcPr>
            <w:tcW w:w="1118" w:type="dxa"/>
            <w:vMerge/>
            <w:tcBorders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left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Live birth rate (%)</w:t>
            </w:r>
          </w:p>
        </w:tc>
        <w:tc>
          <w:tcPr>
            <w:tcW w:w="1270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35.29(30/85)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50.33(307/610)</w:t>
            </w:r>
          </w:p>
        </w:tc>
        <w:tc>
          <w:tcPr>
            <w:tcW w:w="1473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47.77(118/247)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50.00(38/76)</w:t>
            </w:r>
          </w:p>
        </w:tc>
        <w:tc>
          <w:tcPr>
            <w:tcW w:w="1063" w:type="dxa"/>
            <w:gridSpan w:val="2"/>
            <w:tcBorders>
              <w:lef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0.076</w:t>
            </w:r>
          </w:p>
        </w:tc>
      </w:tr>
      <w:tr w:rsidR="00DE4A15" w:rsidRPr="00DE4A15" w:rsidTr="003B3F28">
        <w:tc>
          <w:tcPr>
            <w:tcW w:w="1118" w:type="dxa"/>
            <w:vMerge/>
            <w:tcBorders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left w:val="nil"/>
              <w:right w:val="nil"/>
            </w:tcBorders>
          </w:tcPr>
          <w:p w:rsidR="006D6E04" w:rsidRPr="00DE4A15" w:rsidRDefault="006D6E04" w:rsidP="003B3F28">
            <w:pPr>
              <w:rPr>
                <w:b/>
                <w:bCs/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Proportion of males (%)</w:t>
            </w:r>
          </w:p>
        </w:tc>
        <w:tc>
          <w:tcPr>
            <w:tcW w:w="1270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43.33(13/30)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62.62(196/313)</w:t>
            </w:r>
          </w:p>
        </w:tc>
        <w:tc>
          <w:tcPr>
            <w:tcW w:w="1473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54.62(65/119)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74.36(29/39)</w:t>
            </w:r>
          </w:p>
        </w:tc>
        <w:tc>
          <w:tcPr>
            <w:tcW w:w="1063" w:type="dxa"/>
            <w:gridSpan w:val="2"/>
            <w:tcBorders>
              <w:lef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0.027</w:t>
            </w:r>
          </w:p>
        </w:tc>
      </w:tr>
      <w:tr w:rsidR="00DE4A15" w:rsidRPr="00DE4A15" w:rsidTr="003B3F28">
        <w:tc>
          <w:tcPr>
            <w:tcW w:w="1118" w:type="dxa"/>
            <w:vMerge w:val="restart"/>
            <w:tcBorders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≥ 35</w:t>
            </w:r>
          </w:p>
        </w:tc>
        <w:tc>
          <w:tcPr>
            <w:tcW w:w="2216" w:type="dxa"/>
            <w:tcBorders>
              <w:left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Number of cycles</w:t>
            </w:r>
          </w:p>
        </w:tc>
        <w:tc>
          <w:tcPr>
            <w:tcW w:w="1270" w:type="dxa"/>
            <w:tcBorders>
              <w:left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25</w:t>
            </w:r>
          </w:p>
        </w:tc>
        <w:tc>
          <w:tcPr>
            <w:tcW w:w="1474" w:type="dxa"/>
            <w:tcBorders>
              <w:left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133</w:t>
            </w:r>
          </w:p>
        </w:tc>
        <w:tc>
          <w:tcPr>
            <w:tcW w:w="1473" w:type="dxa"/>
            <w:tcBorders>
              <w:left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35</w:t>
            </w:r>
          </w:p>
        </w:tc>
        <w:tc>
          <w:tcPr>
            <w:tcW w:w="1348" w:type="dxa"/>
            <w:tcBorders>
              <w:left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8</w:t>
            </w:r>
          </w:p>
        </w:tc>
        <w:tc>
          <w:tcPr>
            <w:tcW w:w="1063" w:type="dxa"/>
            <w:gridSpan w:val="2"/>
            <w:tcBorders>
              <w:lef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</w:tr>
      <w:tr w:rsidR="00DE4A15" w:rsidRPr="00DE4A15" w:rsidTr="003B3F28">
        <w:trPr>
          <w:trHeight w:val="297"/>
        </w:trPr>
        <w:tc>
          <w:tcPr>
            <w:tcW w:w="1118" w:type="dxa"/>
            <w:vMerge/>
            <w:tcBorders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left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Clinical Pregnancy rate (%)</w:t>
            </w:r>
          </w:p>
        </w:tc>
        <w:tc>
          <w:tcPr>
            <w:tcW w:w="1270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48.00(12/25)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56.39(75/133)</w:t>
            </w:r>
          </w:p>
        </w:tc>
        <w:tc>
          <w:tcPr>
            <w:tcW w:w="1473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48.57(17/35)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62.5(5/8)</w:t>
            </w:r>
          </w:p>
        </w:tc>
        <w:tc>
          <w:tcPr>
            <w:tcW w:w="1063" w:type="dxa"/>
            <w:gridSpan w:val="2"/>
            <w:tcBorders>
              <w:lef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0.726</w:t>
            </w:r>
          </w:p>
        </w:tc>
      </w:tr>
      <w:tr w:rsidR="00DE4A15" w:rsidRPr="00DE4A15" w:rsidTr="003B3F28">
        <w:tc>
          <w:tcPr>
            <w:tcW w:w="1118" w:type="dxa"/>
            <w:vMerge/>
            <w:tcBorders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left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Live birth rate (%)</w:t>
            </w:r>
          </w:p>
        </w:tc>
        <w:tc>
          <w:tcPr>
            <w:tcW w:w="1270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28.00(7/25)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42.11(56/133)</w:t>
            </w:r>
          </w:p>
        </w:tc>
        <w:tc>
          <w:tcPr>
            <w:tcW w:w="1473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37.14(13/35)</w:t>
            </w:r>
          </w:p>
        </w:tc>
        <w:tc>
          <w:tcPr>
            <w:tcW w:w="1348" w:type="dxa"/>
            <w:tcBorders>
              <w:left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50.00(4/8)</w:t>
            </w:r>
          </w:p>
        </w:tc>
        <w:tc>
          <w:tcPr>
            <w:tcW w:w="1063" w:type="dxa"/>
            <w:gridSpan w:val="2"/>
            <w:tcBorders>
              <w:lef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0.532</w:t>
            </w:r>
          </w:p>
        </w:tc>
      </w:tr>
      <w:tr w:rsidR="00DE4A15" w:rsidRPr="00DE4A15" w:rsidTr="003B3F28">
        <w:tc>
          <w:tcPr>
            <w:tcW w:w="1118" w:type="dxa"/>
            <w:vMerge/>
            <w:tcBorders>
              <w:bottom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left w:val="nil"/>
              <w:bottom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Proportion of males (%)</w:t>
            </w: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37.5(3/8)</w:t>
            </w: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49.12(28/57)</w:t>
            </w:r>
          </w:p>
        </w:tc>
        <w:tc>
          <w:tcPr>
            <w:tcW w:w="1473" w:type="dxa"/>
            <w:tcBorders>
              <w:left w:val="nil"/>
              <w:bottom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76.92(10/13)</w:t>
            </w:r>
          </w:p>
        </w:tc>
        <w:tc>
          <w:tcPr>
            <w:tcW w:w="1348" w:type="dxa"/>
            <w:tcBorders>
              <w:left w:val="nil"/>
              <w:bottom w:val="nil"/>
              <w:right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50.00(2/4)</w:t>
            </w:r>
          </w:p>
        </w:tc>
        <w:tc>
          <w:tcPr>
            <w:tcW w:w="1063" w:type="dxa"/>
            <w:gridSpan w:val="2"/>
            <w:tcBorders>
              <w:left w:val="nil"/>
              <w:bottom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0.251</w:t>
            </w:r>
          </w:p>
        </w:tc>
      </w:tr>
      <w:tr w:rsidR="00DE4A15" w:rsidRPr="00DE4A15" w:rsidTr="003B3F28">
        <w:tc>
          <w:tcPr>
            <w:tcW w:w="8899" w:type="dxa"/>
            <w:gridSpan w:val="6"/>
            <w:tcBorders>
              <w:bottom w:val="nil"/>
              <w:righ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Blastocyst grade</w:t>
            </w:r>
          </w:p>
        </w:tc>
        <w:tc>
          <w:tcPr>
            <w:tcW w:w="1063" w:type="dxa"/>
            <w:gridSpan w:val="2"/>
            <w:tcBorders>
              <w:left w:val="nil"/>
              <w:bottom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</w:tr>
      <w:tr w:rsidR="00DE4A15" w:rsidRPr="00DE4A15" w:rsidTr="003B3F28">
        <w:tc>
          <w:tcPr>
            <w:tcW w:w="1118" w:type="dxa"/>
            <w:tcBorders>
              <w:top w:val="nil"/>
              <w:right w:val="nil"/>
              <w:tl2br w:val="nil"/>
              <w:tr2bl w:val="nil"/>
            </w:tcBorders>
            <w:vAlign w:val="bottom"/>
          </w:tcPr>
          <w:p w:rsidR="006D6E04" w:rsidRPr="00DE4A15" w:rsidRDefault="006D6E04" w:rsidP="003B3F28">
            <w:pPr>
              <w:widowControl/>
              <w:textAlignment w:val="bottom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High-quality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Number of cycles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641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265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82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</w:tr>
      <w:tr w:rsidR="00DE4A15" w:rsidRPr="00DE4A15" w:rsidTr="003B3F28">
        <w:tc>
          <w:tcPr>
            <w:tcW w:w="1118" w:type="dxa"/>
            <w:tcBorders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Clinical Pregnancy rate (%)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43.84(32/73)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  <w:vertAlign w:val="superscript"/>
              </w:rPr>
            </w:pPr>
            <w:r w:rsidRPr="00DE4A15">
              <w:rPr>
                <w:sz w:val="18"/>
                <w:szCs w:val="18"/>
              </w:rPr>
              <w:t>64.74(415/641)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63.77(169/265)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  <w:vertAlign w:val="superscript"/>
              </w:rPr>
            </w:pPr>
            <w:r w:rsidRPr="00DE4A15">
              <w:rPr>
                <w:sz w:val="18"/>
                <w:szCs w:val="18"/>
              </w:rPr>
              <w:t>67.07(55/82)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0.005</w:t>
            </w:r>
          </w:p>
        </w:tc>
      </w:tr>
      <w:tr w:rsidR="00DE4A15" w:rsidRPr="00DE4A15" w:rsidTr="003B3F28">
        <w:tc>
          <w:tcPr>
            <w:tcW w:w="1118" w:type="dxa"/>
            <w:tcBorders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Live birth rate (%)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30.14(22/73)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51.33(329/641)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47.17(125/265)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51.22(42/82)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0.006</w:t>
            </w:r>
          </w:p>
        </w:tc>
      </w:tr>
      <w:tr w:rsidR="00DE4A15" w:rsidRPr="00DE4A15" w:rsidTr="003B3F28">
        <w:tc>
          <w:tcPr>
            <w:tcW w:w="1118" w:type="dxa"/>
            <w:tcBorders>
              <w:bottom w:val="nil"/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Proportion of males (%)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45.45(10/22)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61.61(207/336)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58.73(74/126)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72.09(31/43)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0.188</w:t>
            </w:r>
          </w:p>
        </w:tc>
      </w:tr>
      <w:tr w:rsidR="00DE4A15" w:rsidRPr="00DE4A15" w:rsidTr="003B3F28">
        <w:tc>
          <w:tcPr>
            <w:tcW w:w="1118" w:type="dxa"/>
            <w:tcBorders>
              <w:top w:val="nil"/>
              <w:tl2br w:val="nil"/>
              <w:tr2bl w:val="nil"/>
            </w:tcBorders>
            <w:vAlign w:val="bottom"/>
          </w:tcPr>
          <w:p w:rsidR="006D6E04" w:rsidRPr="00DE4A15" w:rsidRDefault="006D6E04" w:rsidP="003B3F28">
            <w:pPr>
              <w:widowControl/>
              <w:textAlignment w:val="bottom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Low-quality</w:t>
            </w:r>
          </w:p>
        </w:tc>
        <w:tc>
          <w:tcPr>
            <w:tcW w:w="2216" w:type="dxa"/>
            <w:tcBorders>
              <w:top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Number of cycles</w:t>
            </w:r>
          </w:p>
        </w:tc>
        <w:tc>
          <w:tcPr>
            <w:tcW w:w="1270" w:type="dxa"/>
            <w:tcBorders>
              <w:top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37</w:t>
            </w:r>
          </w:p>
        </w:tc>
        <w:tc>
          <w:tcPr>
            <w:tcW w:w="1474" w:type="dxa"/>
            <w:tcBorders>
              <w:top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102</w:t>
            </w:r>
          </w:p>
        </w:tc>
        <w:tc>
          <w:tcPr>
            <w:tcW w:w="1473" w:type="dxa"/>
            <w:tcBorders>
              <w:top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11</w:t>
            </w:r>
          </w:p>
        </w:tc>
        <w:tc>
          <w:tcPr>
            <w:tcW w:w="1348" w:type="dxa"/>
            <w:tcBorders>
              <w:top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</w:tr>
      <w:tr w:rsidR="00DE4A15" w:rsidRPr="00DE4A15" w:rsidTr="003B3F28">
        <w:tc>
          <w:tcPr>
            <w:tcW w:w="111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Clinical Pregnancy rate (%)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51.35(19/37)</w:t>
            </w:r>
          </w:p>
        </w:tc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43.14(44/102)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63.64(7/11)</w:t>
            </w:r>
          </w:p>
        </w:tc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50.00(1/2)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0.833</w:t>
            </w:r>
          </w:p>
        </w:tc>
      </w:tr>
      <w:tr w:rsidR="00DE4A15" w:rsidRPr="00DE4A15" w:rsidTr="003B3F28">
        <w:trPr>
          <w:trHeight w:val="399"/>
        </w:trPr>
        <w:tc>
          <w:tcPr>
            <w:tcW w:w="111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Live birth rate (%)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39.47(15/38)</w:t>
            </w:r>
          </w:p>
        </w:tc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33.33(34/102)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54.55(6/11)</w:t>
            </w:r>
          </w:p>
        </w:tc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0.00(0/2)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0.636</w:t>
            </w:r>
          </w:p>
        </w:tc>
      </w:tr>
      <w:tr w:rsidR="00DE4A15" w:rsidRPr="00DE4A15" w:rsidTr="003B3F28">
        <w:tc>
          <w:tcPr>
            <w:tcW w:w="111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Proportion of males (%)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40.00(6/15)</w:t>
            </w:r>
          </w:p>
        </w:tc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50.00(17/34)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16.67(1/6)</w:t>
            </w:r>
          </w:p>
        </w:tc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/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/</w:t>
            </w:r>
          </w:p>
        </w:tc>
      </w:tr>
      <w:tr w:rsidR="00DE4A15" w:rsidRPr="00DE4A15" w:rsidTr="003B3F28">
        <w:tc>
          <w:tcPr>
            <w:tcW w:w="8899" w:type="dxa"/>
            <w:gridSpan w:val="6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embryonic development days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</w:tr>
      <w:tr w:rsidR="00DE4A15" w:rsidRPr="00DE4A15" w:rsidTr="003B3F28">
        <w:tc>
          <w:tcPr>
            <w:tcW w:w="1118" w:type="dxa"/>
            <w:vMerge w:val="restart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Day 5</w:t>
            </w: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Number of cycles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47</w:t>
            </w:r>
          </w:p>
        </w:tc>
        <w:tc>
          <w:tcPr>
            <w:tcW w:w="147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582</w:t>
            </w:r>
          </w:p>
        </w:tc>
        <w:tc>
          <w:tcPr>
            <w:tcW w:w="147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258</w:t>
            </w:r>
          </w:p>
        </w:tc>
        <w:tc>
          <w:tcPr>
            <w:tcW w:w="134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83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</w:tr>
      <w:tr w:rsidR="00DE4A15" w:rsidRPr="00DE4A15" w:rsidTr="003B3F28">
        <w:tc>
          <w:tcPr>
            <w:tcW w:w="1118" w:type="dxa"/>
            <w:vMerge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Clinical Pregnancy rate (%)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57.45(27/47)</w:t>
            </w:r>
          </w:p>
        </w:tc>
        <w:tc>
          <w:tcPr>
            <w:tcW w:w="147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64.78(377/582)</w:t>
            </w:r>
          </w:p>
        </w:tc>
        <w:tc>
          <w:tcPr>
            <w:tcW w:w="147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63.95(165/258)</w:t>
            </w:r>
          </w:p>
        </w:tc>
        <w:tc>
          <w:tcPr>
            <w:tcW w:w="134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67.47(56/83)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1.708</w:t>
            </w:r>
          </w:p>
        </w:tc>
      </w:tr>
      <w:tr w:rsidR="00DE4A15" w:rsidRPr="00DE4A15" w:rsidTr="003B3F28">
        <w:tc>
          <w:tcPr>
            <w:tcW w:w="1118" w:type="dxa"/>
            <w:vMerge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Live birth rate (%)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42.55(20/47)</w:t>
            </w:r>
          </w:p>
        </w:tc>
        <w:tc>
          <w:tcPr>
            <w:tcW w:w="147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52.06(303/582)</w:t>
            </w:r>
          </w:p>
        </w:tc>
        <w:tc>
          <w:tcPr>
            <w:tcW w:w="147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48.45(125/258)</w:t>
            </w:r>
          </w:p>
        </w:tc>
        <w:tc>
          <w:tcPr>
            <w:tcW w:w="134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50.60(42/83)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0.437</w:t>
            </w:r>
          </w:p>
        </w:tc>
      </w:tr>
      <w:tr w:rsidR="00DE4A15" w:rsidRPr="00DE4A15" w:rsidTr="003B3F28">
        <w:tc>
          <w:tcPr>
            <w:tcW w:w="1118" w:type="dxa"/>
            <w:vMerge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Proportion of males (%)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55.00(11/20)</w:t>
            </w:r>
          </w:p>
        </w:tc>
        <w:tc>
          <w:tcPr>
            <w:tcW w:w="147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60.19(186/309)</w:t>
            </w:r>
          </w:p>
        </w:tc>
        <w:tc>
          <w:tcPr>
            <w:tcW w:w="147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55.56(70/126)</w:t>
            </w:r>
          </w:p>
        </w:tc>
        <w:tc>
          <w:tcPr>
            <w:tcW w:w="134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72.09(31/43)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0.277</w:t>
            </w:r>
          </w:p>
        </w:tc>
      </w:tr>
      <w:tr w:rsidR="00DE4A15" w:rsidRPr="00DE4A15" w:rsidTr="003B3F28">
        <w:tc>
          <w:tcPr>
            <w:tcW w:w="1118" w:type="dxa"/>
            <w:vMerge w:val="restart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Day 6</w:t>
            </w: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Number of cycles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163</w:t>
            </w:r>
          </w:p>
        </w:tc>
        <w:tc>
          <w:tcPr>
            <w:tcW w:w="147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161</w:t>
            </w:r>
          </w:p>
        </w:tc>
        <w:tc>
          <w:tcPr>
            <w:tcW w:w="147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24</w:t>
            </w:r>
          </w:p>
        </w:tc>
        <w:tc>
          <w:tcPr>
            <w:tcW w:w="134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</w:tr>
      <w:tr w:rsidR="00DE4A15" w:rsidRPr="00DE4A15" w:rsidTr="003B3F28">
        <w:tc>
          <w:tcPr>
            <w:tcW w:w="1118" w:type="dxa"/>
            <w:vMerge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Clinical Pregnancy rate (%)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38.10(24/63)</w:t>
            </w:r>
          </w:p>
        </w:tc>
        <w:tc>
          <w:tcPr>
            <w:tcW w:w="147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50.93(82/161)</w:t>
            </w:r>
          </w:p>
        </w:tc>
        <w:tc>
          <w:tcPr>
            <w:tcW w:w="147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45.83(11/24)</w:t>
            </w:r>
          </w:p>
        </w:tc>
        <w:tc>
          <w:tcPr>
            <w:tcW w:w="134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0.00(0/1)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0.534</w:t>
            </w:r>
          </w:p>
        </w:tc>
      </w:tr>
      <w:tr w:rsidR="00DE4A15" w:rsidRPr="00DE4A15" w:rsidTr="003B3F28">
        <w:tc>
          <w:tcPr>
            <w:tcW w:w="1118" w:type="dxa"/>
            <w:vMerge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Live birth rate (%)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26.98(17/63)</w:t>
            </w:r>
          </w:p>
        </w:tc>
        <w:tc>
          <w:tcPr>
            <w:tcW w:w="147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37.27(60/161)</w:t>
            </w:r>
          </w:p>
        </w:tc>
        <w:tc>
          <w:tcPr>
            <w:tcW w:w="147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25.00(6/24)</w:t>
            </w:r>
          </w:p>
        </w:tc>
        <w:tc>
          <w:tcPr>
            <w:tcW w:w="134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0.00(0/1)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0.319</w:t>
            </w:r>
          </w:p>
        </w:tc>
      </w:tr>
      <w:tr w:rsidR="00DE4A15" w:rsidRPr="00DE4A15" w:rsidTr="003B3F28">
        <w:tc>
          <w:tcPr>
            <w:tcW w:w="1118" w:type="dxa"/>
            <w:vMerge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Proportion of males (%)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29.41(5/18)</w:t>
            </w:r>
          </w:p>
        </w:tc>
        <w:tc>
          <w:tcPr>
            <w:tcW w:w="147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61.67(38/61)</w:t>
            </w:r>
          </w:p>
        </w:tc>
        <w:tc>
          <w:tcPr>
            <w:tcW w:w="147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83.33(5/6)</w:t>
            </w:r>
          </w:p>
        </w:tc>
        <w:tc>
          <w:tcPr>
            <w:tcW w:w="1348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/</w:t>
            </w: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/</w:t>
            </w:r>
          </w:p>
        </w:tc>
      </w:tr>
    </w:tbl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  <w:r w:rsidRPr="00DE4A15">
        <w:rPr>
          <w:rFonts w:ascii="Times New Roman" w:hAnsi="Times New Roman" w:cs="Times New Roman"/>
          <w:sz w:val="18"/>
          <w:szCs w:val="18"/>
        </w:rPr>
        <w:t xml:space="preserve">Note: 1. </w:t>
      </w:r>
      <w:r w:rsidRPr="00DE4A15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DE4A15">
        <w:rPr>
          <w:rFonts w:ascii="Times New Roman" w:hAnsi="Times New Roman" w:cs="Times New Roman"/>
          <w:sz w:val="18"/>
          <w:szCs w:val="18"/>
        </w:rPr>
        <w:t xml:space="preserve"> value indicates differences among the four groups. </w:t>
      </w:r>
      <w:r w:rsidRPr="00DE4A15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DE4A15">
        <w:rPr>
          <w:rFonts w:ascii="Times New Roman" w:hAnsi="Times New Roman" w:cs="Times New Roman"/>
          <w:sz w:val="18"/>
          <w:szCs w:val="18"/>
        </w:rPr>
        <w:t xml:space="preserve">&lt; 0.05 indicates statistically significant difference in results </w:t>
      </w: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  <w:r w:rsidRPr="00DE4A15">
        <w:rPr>
          <w:rFonts w:ascii="Times New Roman" w:hAnsi="Times New Roman" w:cs="Times New Roman"/>
          <w:sz w:val="18"/>
          <w:szCs w:val="18"/>
        </w:rPr>
        <w:t>2. “</w:t>
      </w:r>
      <w:proofErr w:type="gramStart"/>
      <w:r w:rsidRPr="00DE4A15">
        <w:rPr>
          <w:rFonts w:ascii="Times New Roman" w:hAnsi="Times New Roman" w:cs="Times New Roman"/>
          <w:sz w:val="18"/>
          <w:szCs w:val="18"/>
        </w:rPr>
        <w:t>a</w:t>
      </w:r>
      <w:proofErr w:type="gramEnd"/>
      <w:r w:rsidRPr="00DE4A15">
        <w:rPr>
          <w:rFonts w:ascii="Times New Roman" w:hAnsi="Times New Roman" w:cs="Times New Roman"/>
          <w:sz w:val="18"/>
          <w:szCs w:val="18"/>
        </w:rPr>
        <w:t xml:space="preserve">” indicates a significant difference compared to &lt; 7-cell group. According to </w:t>
      </w:r>
      <w:proofErr w:type="spellStart"/>
      <w:r w:rsidRPr="00DE4A15">
        <w:rPr>
          <w:rFonts w:ascii="Times New Roman" w:hAnsi="Times New Roman" w:cs="Times New Roman"/>
          <w:sz w:val="18"/>
          <w:szCs w:val="18"/>
        </w:rPr>
        <w:t>Bonferroni</w:t>
      </w:r>
      <w:proofErr w:type="spellEnd"/>
      <w:r w:rsidRPr="00DE4A15">
        <w:rPr>
          <w:rFonts w:ascii="Times New Roman" w:hAnsi="Times New Roman" w:cs="Times New Roman"/>
          <w:sz w:val="18"/>
          <w:szCs w:val="18"/>
        </w:rPr>
        <w:t xml:space="preserve"> correction for multiple comparisons, the difference was statistically significant at </w:t>
      </w:r>
      <w:r w:rsidRPr="00DE4A15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DE4A15">
        <w:rPr>
          <w:rFonts w:ascii="Times New Roman" w:hAnsi="Times New Roman" w:cs="Times New Roman"/>
          <w:sz w:val="18"/>
          <w:szCs w:val="18"/>
        </w:rPr>
        <w:t>&lt; 0.008 (0.05/6)</w:t>
      </w: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  <w:r w:rsidRPr="00DE4A15">
        <w:rPr>
          <w:rFonts w:ascii="Times New Roman" w:hAnsi="Times New Roman" w:cs="Times New Roman"/>
          <w:sz w:val="18"/>
          <w:szCs w:val="18"/>
        </w:rPr>
        <w:t xml:space="preserve">Supplementary Table 2 Comparison of pregnancy outcomes after high-quality blastocyst transfer in patients &lt; 35 years </w:t>
      </w:r>
    </w:p>
    <w:tbl>
      <w:tblPr>
        <w:tblStyle w:val="TableGrid"/>
        <w:tblW w:w="95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1319"/>
        <w:gridCol w:w="1463"/>
        <w:gridCol w:w="1462"/>
        <w:gridCol w:w="1287"/>
        <w:gridCol w:w="840"/>
        <w:gridCol w:w="894"/>
      </w:tblGrid>
      <w:tr w:rsidR="00DE4A15" w:rsidRPr="00DE4A15" w:rsidTr="003B3F28">
        <w:trPr>
          <w:trHeight w:val="427"/>
        </w:trPr>
        <w:tc>
          <w:tcPr>
            <w:tcW w:w="2253" w:type="dxa"/>
            <w:tcBorders>
              <w:left w:val="nil"/>
              <w:bottom w:val="single" w:sz="4" w:space="0" w:color="auto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&lt; 7-cell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7-9-</w:t>
            </w:r>
            <w:r w:rsidRPr="00DE4A15">
              <w:rPr>
                <w:rStyle w:val="font21"/>
                <w:rFonts w:ascii="Times New Roman" w:hAnsi="Times New Roman" w:cs="Times New Roman" w:hint="default"/>
                <w:color w:val="auto"/>
                <w:sz w:val="18"/>
                <w:szCs w:val="18"/>
              </w:rPr>
              <w:t>cell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10-13</w:t>
            </w:r>
            <w:r w:rsidRPr="00DE4A15">
              <w:rPr>
                <w:rStyle w:val="font21"/>
                <w:rFonts w:ascii="Times New Roman" w:hAnsi="Times New Roman" w:cs="Times New Roman" w:hint="default"/>
                <w:color w:val="auto"/>
                <w:sz w:val="18"/>
                <w:szCs w:val="18"/>
              </w:rPr>
              <w:t>-cell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szCs w:val="21"/>
              </w:rPr>
              <w:t>&gt;</w:t>
            </w:r>
            <w:r w:rsidRPr="00DE4A15">
              <w:rPr>
                <w:sz w:val="18"/>
                <w:szCs w:val="18"/>
              </w:rPr>
              <w:t xml:space="preserve"> </w:t>
            </w:r>
            <w:r w:rsidRPr="00DE4A15">
              <w:rPr>
                <w:rStyle w:val="font12"/>
                <w:rFonts w:ascii="Times New Roman" w:hAnsi="Times New Roman" w:cs="Times New Roman"/>
                <w:color w:val="auto"/>
                <w:sz w:val="18"/>
                <w:szCs w:val="18"/>
              </w:rPr>
              <w:t>13-cell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χ²</w:t>
            </w:r>
          </w:p>
        </w:tc>
        <w:tc>
          <w:tcPr>
            <w:tcW w:w="894" w:type="dxa"/>
            <w:tcBorders>
              <w:bottom w:val="single" w:sz="4" w:space="0" w:color="auto"/>
            </w:tcBorders>
            <w:vAlign w:val="bottom"/>
          </w:tcPr>
          <w:p w:rsidR="006D6E04" w:rsidRPr="00DE4A15" w:rsidRDefault="006D6E04" w:rsidP="003B3F28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 w:rsidRPr="00DE4A15">
              <w:rPr>
                <w:i/>
                <w:iCs/>
                <w:sz w:val="18"/>
                <w:szCs w:val="18"/>
              </w:rPr>
              <w:t>P</w:t>
            </w:r>
            <w:r w:rsidRPr="00DE4A15">
              <w:rPr>
                <w:sz w:val="18"/>
                <w:szCs w:val="18"/>
              </w:rPr>
              <w:t>-value</w:t>
            </w:r>
          </w:p>
        </w:tc>
      </w:tr>
      <w:tr w:rsidR="00DE4A15" w:rsidRPr="00DE4A15" w:rsidTr="003B3F28">
        <w:trPr>
          <w:trHeight w:val="90"/>
        </w:trPr>
        <w:tc>
          <w:tcPr>
            <w:tcW w:w="2253" w:type="dxa"/>
            <w:tcBorders>
              <w:top w:val="single" w:sz="4" w:space="0" w:color="auto"/>
              <w:left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Number of cycles</w:t>
            </w:r>
          </w:p>
        </w:tc>
        <w:tc>
          <w:tcPr>
            <w:tcW w:w="1319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61</w:t>
            </w:r>
          </w:p>
        </w:tc>
        <w:tc>
          <w:tcPr>
            <w:tcW w:w="146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540</w:t>
            </w:r>
          </w:p>
        </w:tc>
        <w:tc>
          <w:tcPr>
            <w:tcW w:w="1462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232</w:t>
            </w:r>
          </w:p>
        </w:tc>
        <w:tc>
          <w:tcPr>
            <w:tcW w:w="1287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74</w:t>
            </w:r>
          </w:p>
        </w:tc>
        <w:tc>
          <w:tcPr>
            <w:tcW w:w="84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  <w:tc>
          <w:tcPr>
            <w:tcW w:w="89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</w:p>
        </w:tc>
      </w:tr>
      <w:tr w:rsidR="00DE4A15" w:rsidRPr="00DE4A15" w:rsidTr="003B3F28">
        <w:trPr>
          <w:trHeight w:val="339"/>
        </w:trPr>
        <w:tc>
          <w:tcPr>
            <w:tcW w:w="225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Clinical Pregnancy rate (%)</w:t>
            </w:r>
          </w:p>
        </w:tc>
        <w:tc>
          <w:tcPr>
            <w:tcW w:w="1319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42.62(26/61)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  <w:vertAlign w:val="superscript"/>
              </w:rPr>
            </w:pPr>
            <w:r w:rsidRPr="00DE4A15">
              <w:rPr>
                <w:sz w:val="18"/>
                <w:szCs w:val="18"/>
              </w:rPr>
              <w:t>65.19(352/540)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  <w:vertAlign w:val="superscript"/>
              </w:rPr>
            </w:pPr>
            <w:r w:rsidRPr="00DE4A15">
              <w:rPr>
                <w:sz w:val="18"/>
                <w:szCs w:val="18"/>
              </w:rPr>
              <w:t>65.52(152/232)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  <w:vertAlign w:val="superscript"/>
              </w:rPr>
            </w:pPr>
            <w:r w:rsidRPr="00DE4A15">
              <w:rPr>
                <w:sz w:val="18"/>
                <w:szCs w:val="18"/>
              </w:rPr>
              <w:t>67.57(50/74)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4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13.06</w:t>
            </w:r>
          </w:p>
        </w:tc>
        <w:tc>
          <w:tcPr>
            <w:tcW w:w="89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0.005</w:t>
            </w:r>
          </w:p>
        </w:tc>
      </w:tr>
      <w:tr w:rsidR="00DE4A15" w:rsidRPr="00DE4A15" w:rsidTr="003B3F28">
        <w:tc>
          <w:tcPr>
            <w:tcW w:w="225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Live birth rate (%)</w:t>
            </w:r>
          </w:p>
        </w:tc>
        <w:tc>
          <w:tcPr>
            <w:tcW w:w="1319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32.79(20/61)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  <w:vertAlign w:val="superscript"/>
              </w:rPr>
            </w:pPr>
            <w:r w:rsidRPr="00DE4A15">
              <w:rPr>
                <w:sz w:val="18"/>
                <w:szCs w:val="18"/>
              </w:rPr>
              <w:t>52.78(285/540)</w:t>
            </w:r>
            <w:r w:rsidRPr="00DE4A1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48.28(112/232)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51.35(38/74)</w:t>
            </w:r>
          </w:p>
        </w:tc>
        <w:tc>
          <w:tcPr>
            <w:tcW w:w="84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9.22</w:t>
            </w:r>
          </w:p>
        </w:tc>
        <w:tc>
          <w:tcPr>
            <w:tcW w:w="89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0.027</w:t>
            </w:r>
          </w:p>
        </w:tc>
      </w:tr>
      <w:tr w:rsidR="00DE4A15" w:rsidRPr="00DE4A15" w:rsidTr="003B3F28">
        <w:tc>
          <w:tcPr>
            <w:tcW w:w="2253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b/>
                <w:bCs/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Proportion of males</w:t>
            </w:r>
          </w:p>
        </w:tc>
        <w:tc>
          <w:tcPr>
            <w:tcW w:w="1319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45.00(9/20)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62.72(180/287)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56.25(63/112)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vAlign w:val="center"/>
          </w:tcPr>
          <w:p w:rsidR="006D6E04" w:rsidRPr="00DE4A15" w:rsidRDefault="006D6E04" w:rsidP="003B3F28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76.32(29/38)</w:t>
            </w:r>
          </w:p>
        </w:tc>
        <w:tc>
          <w:tcPr>
            <w:tcW w:w="840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7.31</w:t>
            </w:r>
          </w:p>
        </w:tc>
        <w:tc>
          <w:tcPr>
            <w:tcW w:w="894" w:type="dxa"/>
            <w:tcBorders>
              <w:tl2br w:val="nil"/>
              <w:tr2bl w:val="nil"/>
            </w:tcBorders>
          </w:tcPr>
          <w:p w:rsidR="006D6E04" w:rsidRPr="00DE4A15" w:rsidRDefault="006D6E04" w:rsidP="003B3F28">
            <w:pPr>
              <w:rPr>
                <w:sz w:val="18"/>
                <w:szCs w:val="18"/>
              </w:rPr>
            </w:pPr>
            <w:r w:rsidRPr="00DE4A15">
              <w:rPr>
                <w:sz w:val="18"/>
                <w:szCs w:val="18"/>
              </w:rPr>
              <w:t>0.063</w:t>
            </w:r>
          </w:p>
        </w:tc>
      </w:tr>
    </w:tbl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  <w:r w:rsidRPr="00DE4A15">
        <w:rPr>
          <w:rFonts w:ascii="Times New Roman" w:hAnsi="Times New Roman" w:cs="Times New Roman"/>
          <w:sz w:val="18"/>
          <w:szCs w:val="18"/>
        </w:rPr>
        <w:t xml:space="preserve">Note: 1. </w:t>
      </w:r>
      <w:r w:rsidRPr="00DE4A15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DE4A15">
        <w:rPr>
          <w:rFonts w:ascii="Times New Roman" w:hAnsi="Times New Roman" w:cs="Times New Roman"/>
          <w:sz w:val="18"/>
          <w:szCs w:val="18"/>
        </w:rPr>
        <w:t xml:space="preserve"> value indicates differences among the four groups. </w:t>
      </w:r>
      <w:r w:rsidRPr="00DE4A15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DE4A15">
        <w:rPr>
          <w:rFonts w:ascii="Times New Roman" w:hAnsi="Times New Roman" w:cs="Times New Roman"/>
          <w:sz w:val="18"/>
          <w:szCs w:val="18"/>
        </w:rPr>
        <w:t xml:space="preserve">&lt; 0.05 indicates statistically significant difference in results </w:t>
      </w:r>
    </w:p>
    <w:p w:rsidR="006D6E04" w:rsidRPr="00DE4A15" w:rsidRDefault="006D6E04" w:rsidP="006D6E0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E4A15">
        <w:rPr>
          <w:rFonts w:ascii="Times New Roman" w:hAnsi="Times New Roman" w:cs="Times New Roman"/>
          <w:sz w:val="18"/>
          <w:szCs w:val="18"/>
        </w:rPr>
        <w:t>“</w:t>
      </w:r>
      <w:proofErr w:type="gramStart"/>
      <w:r w:rsidRPr="00DE4A15">
        <w:rPr>
          <w:rFonts w:ascii="Times New Roman" w:hAnsi="Times New Roman" w:cs="Times New Roman"/>
          <w:sz w:val="18"/>
          <w:szCs w:val="18"/>
        </w:rPr>
        <w:t>a</w:t>
      </w:r>
      <w:proofErr w:type="gramEnd"/>
      <w:r w:rsidRPr="00DE4A15">
        <w:rPr>
          <w:rFonts w:ascii="Times New Roman" w:hAnsi="Times New Roman" w:cs="Times New Roman"/>
          <w:sz w:val="18"/>
          <w:szCs w:val="18"/>
        </w:rPr>
        <w:t xml:space="preserve">” indicates a significant difference compared to &lt; 7-cell group. According to </w:t>
      </w:r>
      <w:proofErr w:type="spellStart"/>
      <w:r w:rsidRPr="00DE4A15">
        <w:rPr>
          <w:rFonts w:ascii="Times New Roman" w:hAnsi="Times New Roman" w:cs="Times New Roman"/>
          <w:sz w:val="18"/>
          <w:szCs w:val="18"/>
        </w:rPr>
        <w:t>Bonferroni</w:t>
      </w:r>
      <w:proofErr w:type="spellEnd"/>
      <w:r w:rsidRPr="00DE4A15">
        <w:rPr>
          <w:rFonts w:ascii="Times New Roman" w:hAnsi="Times New Roman" w:cs="Times New Roman"/>
          <w:sz w:val="18"/>
          <w:szCs w:val="18"/>
        </w:rPr>
        <w:t xml:space="preserve"> correction for multiple comparisons, the difference was statistically significant at </w:t>
      </w:r>
      <w:r w:rsidRPr="00DE4A15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DE4A15">
        <w:rPr>
          <w:rFonts w:ascii="Times New Roman" w:hAnsi="Times New Roman" w:cs="Times New Roman"/>
          <w:sz w:val="18"/>
          <w:szCs w:val="18"/>
        </w:rPr>
        <w:t>&lt; 0.008 (0.05/6)</w:t>
      </w: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</w:p>
    <w:p w:rsidR="006D6E04" w:rsidRPr="00DE4A15" w:rsidRDefault="006D6E04" w:rsidP="006D6E04">
      <w:pPr>
        <w:rPr>
          <w:rFonts w:ascii="Times New Roman" w:hAnsi="Times New Roman" w:cs="Times New Roman"/>
          <w:sz w:val="18"/>
          <w:szCs w:val="18"/>
        </w:rPr>
      </w:pPr>
    </w:p>
    <w:p w:rsidR="006D6E04" w:rsidRPr="00DE4A15" w:rsidRDefault="006D6E04" w:rsidP="006D6E04">
      <w:pPr>
        <w:rPr>
          <w:rFonts w:ascii="Times New Roman" w:hAnsi="Times New Roman" w:cs="Times New Roman"/>
          <w:sz w:val="24"/>
        </w:rPr>
      </w:pPr>
    </w:p>
    <w:p w:rsidR="006D6E04" w:rsidRPr="00DE4A15" w:rsidRDefault="006D6E04" w:rsidP="006D6E04">
      <w:pPr>
        <w:rPr>
          <w:rFonts w:ascii="Times New Roman" w:hAnsi="Times New Roman" w:cs="Times New Roman"/>
          <w:sz w:val="24"/>
        </w:rPr>
      </w:pPr>
    </w:p>
    <w:bookmarkEnd w:id="0"/>
    <w:p w:rsidR="006D6E04" w:rsidRPr="00DE4A15" w:rsidRDefault="006D6E04"/>
    <w:sectPr w:rsidR="006D6E04" w:rsidRPr="00DE4A15" w:rsidSect="00DE4A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40335"/>
    <w:multiLevelType w:val="singleLevel"/>
    <w:tmpl w:val="5BE40335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E04"/>
    <w:rsid w:val="00002365"/>
    <w:rsid w:val="00004CCB"/>
    <w:rsid w:val="000061BF"/>
    <w:rsid w:val="00011796"/>
    <w:rsid w:val="000120BB"/>
    <w:rsid w:val="0001646A"/>
    <w:rsid w:val="0002286B"/>
    <w:rsid w:val="00026A36"/>
    <w:rsid w:val="00026E1D"/>
    <w:rsid w:val="00027060"/>
    <w:rsid w:val="00027D81"/>
    <w:rsid w:val="0003197C"/>
    <w:rsid w:val="00031AA2"/>
    <w:rsid w:val="000364E8"/>
    <w:rsid w:val="00051B4C"/>
    <w:rsid w:val="000539CC"/>
    <w:rsid w:val="000566A4"/>
    <w:rsid w:val="00057F62"/>
    <w:rsid w:val="00060A9E"/>
    <w:rsid w:val="00063829"/>
    <w:rsid w:val="00066756"/>
    <w:rsid w:val="0007374F"/>
    <w:rsid w:val="00073F31"/>
    <w:rsid w:val="00074E2D"/>
    <w:rsid w:val="0007755A"/>
    <w:rsid w:val="00081121"/>
    <w:rsid w:val="0008230B"/>
    <w:rsid w:val="00086D17"/>
    <w:rsid w:val="00093048"/>
    <w:rsid w:val="00095C92"/>
    <w:rsid w:val="000A0045"/>
    <w:rsid w:val="000A112E"/>
    <w:rsid w:val="000A1F37"/>
    <w:rsid w:val="000A2A23"/>
    <w:rsid w:val="000A7489"/>
    <w:rsid w:val="000D4559"/>
    <w:rsid w:val="000D5366"/>
    <w:rsid w:val="000E1830"/>
    <w:rsid w:val="000E2D3D"/>
    <w:rsid w:val="000E7220"/>
    <w:rsid w:val="000F03C9"/>
    <w:rsid w:val="000F7A79"/>
    <w:rsid w:val="0010012A"/>
    <w:rsid w:val="00100FE8"/>
    <w:rsid w:val="001031A9"/>
    <w:rsid w:val="00103A66"/>
    <w:rsid w:val="001043B4"/>
    <w:rsid w:val="001045E7"/>
    <w:rsid w:val="0010598B"/>
    <w:rsid w:val="00106105"/>
    <w:rsid w:val="00106528"/>
    <w:rsid w:val="001133B6"/>
    <w:rsid w:val="00120A4E"/>
    <w:rsid w:val="00122231"/>
    <w:rsid w:val="001267DE"/>
    <w:rsid w:val="00127044"/>
    <w:rsid w:val="00131BBE"/>
    <w:rsid w:val="0013485C"/>
    <w:rsid w:val="00135FBC"/>
    <w:rsid w:val="00142429"/>
    <w:rsid w:val="00143F27"/>
    <w:rsid w:val="00144D4F"/>
    <w:rsid w:val="001506EC"/>
    <w:rsid w:val="00162CB3"/>
    <w:rsid w:val="0017029C"/>
    <w:rsid w:val="001717B7"/>
    <w:rsid w:val="00171C0B"/>
    <w:rsid w:val="0017357B"/>
    <w:rsid w:val="00173A2A"/>
    <w:rsid w:val="00173AF2"/>
    <w:rsid w:val="00173F49"/>
    <w:rsid w:val="00175A99"/>
    <w:rsid w:val="001768DE"/>
    <w:rsid w:val="00180506"/>
    <w:rsid w:val="00180C60"/>
    <w:rsid w:val="00184C4B"/>
    <w:rsid w:val="001920BB"/>
    <w:rsid w:val="001B3C2A"/>
    <w:rsid w:val="001B43BA"/>
    <w:rsid w:val="001B4A5C"/>
    <w:rsid w:val="001B67CD"/>
    <w:rsid w:val="001C4985"/>
    <w:rsid w:val="001D0A2B"/>
    <w:rsid w:val="001D27E7"/>
    <w:rsid w:val="001D494C"/>
    <w:rsid w:val="001D7EA5"/>
    <w:rsid w:val="001E144D"/>
    <w:rsid w:val="001E2F72"/>
    <w:rsid w:val="001E4DC8"/>
    <w:rsid w:val="00200E6A"/>
    <w:rsid w:val="002127CD"/>
    <w:rsid w:val="00214055"/>
    <w:rsid w:val="002204A5"/>
    <w:rsid w:val="00221D8E"/>
    <w:rsid w:val="002307BB"/>
    <w:rsid w:val="00231CF4"/>
    <w:rsid w:val="002360F2"/>
    <w:rsid w:val="002444A0"/>
    <w:rsid w:val="00250BF1"/>
    <w:rsid w:val="0025176F"/>
    <w:rsid w:val="002547A7"/>
    <w:rsid w:val="002556D4"/>
    <w:rsid w:val="00257FEC"/>
    <w:rsid w:val="00273CF8"/>
    <w:rsid w:val="00274D6D"/>
    <w:rsid w:val="002761BA"/>
    <w:rsid w:val="002859BA"/>
    <w:rsid w:val="00286E55"/>
    <w:rsid w:val="002A0360"/>
    <w:rsid w:val="002A1053"/>
    <w:rsid w:val="002A216B"/>
    <w:rsid w:val="002A78B4"/>
    <w:rsid w:val="002B08E1"/>
    <w:rsid w:val="002B45E1"/>
    <w:rsid w:val="002B74D9"/>
    <w:rsid w:val="002C41A0"/>
    <w:rsid w:val="002D0B8E"/>
    <w:rsid w:val="002D3BD4"/>
    <w:rsid w:val="002D3C6D"/>
    <w:rsid w:val="002D548E"/>
    <w:rsid w:val="002E086E"/>
    <w:rsid w:val="002E0F6F"/>
    <w:rsid w:val="002E518E"/>
    <w:rsid w:val="002E552E"/>
    <w:rsid w:val="002E5CF4"/>
    <w:rsid w:val="002F13A3"/>
    <w:rsid w:val="002F441C"/>
    <w:rsid w:val="002F4B78"/>
    <w:rsid w:val="003063CF"/>
    <w:rsid w:val="00315A9B"/>
    <w:rsid w:val="003165FF"/>
    <w:rsid w:val="00323285"/>
    <w:rsid w:val="00323E2C"/>
    <w:rsid w:val="00324FF1"/>
    <w:rsid w:val="00325AFA"/>
    <w:rsid w:val="00325DC6"/>
    <w:rsid w:val="003404B5"/>
    <w:rsid w:val="0034263D"/>
    <w:rsid w:val="00345DB6"/>
    <w:rsid w:val="003523FD"/>
    <w:rsid w:val="00353F86"/>
    <w:rsid w:val="003563DB"/>
    <w:rsid w:val="003578B7"/>
    <w:rsid w:val="00367E65"/>
    <w:rsid w:val="00374288"/>
    <w:rsid w:val="003807E4"/>
    <w:rsid w:val="00380DA6"/>
    <w:rsid w:val="00380FE4"/>
    <w:rsid w:val="003820D3"/>
    <w:rsid w:val="00385C55"/>
    <w:rsid w:val="00387459"/>
    <w:rsid w:val="0039027F"/>
    <w:rsid w:val="00393EF8"/>
    <w:rsid w:val="003A0682"/>
    <w:rsid w:val="003A26B6"/>
    <w:rsid w:val="003B1620"/>
    <w:rsid w:val="003C04F7"/>
    <w:rsid w:val="003C171E"/>
    <w:rsid w:val="003C456F"/>
    <w:rsid w:val="003D1484"/>
    <w:rsid w:val="003E30F6"/>
    <w:rsid w:val="003F0F24"/>
    <w:rsid w:val="0040011A"/>
    <w:rsid w:val="00405ED3"/>
    <w:rsid w:val="00412EAC"/>
    <w:rsid w:val="00430387"/>
    <w:rsid w:val="00434DE0"/>
    <w:rsid w:val="00437C80"/>
    <w:rsid w:val="00440D04"/>
    <w:rsid w:val="004416DD"/>
    <w:rsid w:val="00442CA5"/>
    <w:rsid w:val="004510CB"/>
    <w:rsid w:val="004514AB"/>
    <w:rsid w:val="00457E85"/>
    <w:rsid w:val="00460516"/>
    <w:rsid w:val="0048004C"/>
    <w:rsid w:val="00480AD0"/>
    <w:rsid w:val="004842F8"/>
    <w:rsid w:val="00485F40"/>
    <w:rsid w:val="004914F2"/>
    <w:rsid w:val="004917B7"/>
    <w:rsid w:val="00493EB1"/>
    <w:rsid w:val="00493FE1"/>
    <w:rsid w:val="004953BB"/>
    <w:rsid w:val="00497F9C"/>
    <w:rsid w:val="004A44D8"/>
    <w:rsid w:val="004B2968"/>
    <w:rsid w:val="004B33EF"/>
    <w:rsid w:val="004B3D85"/>
    <w:rsid w:val="004B48B8"/>
    <w:rsid w:val="004B50EB"/>
    <w:rsid w:val="004C09C1"/>
    <w:rsid w:val="004C4F3D"/>
    <w:rsid w:val="004C6355"/>
    <w:rsid w:val="004C6C64"/>
    <w:rsid w:val="004C78F7"/>
    <w:rsid w:val="004D1433"/>
    <w:rsid w:val="004D28E5"/>
    <w:rsid w:val="004D35C6"/>
    <w:rsid w:val="004D645A"/>
    <w:rsid w:val="004D6674"/>
    <w:rsid w:val="004D68E9"/>
    <w:rsid w:val="004D721C"/>
    <w:rsid w:val="004E3C00"/>
    <w:rsid w:val="004E6FE0"/>
    <w:rsid w:val="004F0111"/>
    <w:rsid w:val="004F145E"/>
    <w:rsid w:val="004F33AA"/>
    <w:rsid w:val="004F3747"/>
    <w:rsid w:val="00506A3B"/>
    <w:rsid w:val="005138C1"/>
    <w:rsid w:val="0051791F"/>
    <w:rsid w:val="00520E9F"/>
    <w:rsid w:val="005216C8"/>
    <w:rsid w:val="00534890"/>
    <w:rsid w:val="00534C1E"/>
    <w:rsid w:val="00537FC4"/>
    <w:rsid w:val="0055268E"/>
    <w:rsid w:val="005549C8"/>
    <w:rsid w:val="005552CC"/>
    <w:rsid w:val="0055666E"/>
    <w:rsid w:val="00557AC2"/>
    <w:rsid w:val="0056275E"/>
    <w:rsid w:val="00573118"/>
    <w:rsid w:val="005758FA"/>
    <w:rsid w:val="00577D1C"/>
    <w:rsid w:val="00581457"/>
    <w:rsid w:val="0059112F"/>
    <w:rsid w:val="00592145"/>
    <w:rsid w:val="005B1E75"/>
    <w:rsid w:val="005B2B5D"/>
    <w:rsid w:val="005B30E4"/>
    <w:rsid w:val="005B65DA"/>
    <w:rsid w:val="005B691F"/>
    <w:rsid w:val="005B78AF"/>
    <w:rsid w:val="005C0624"/>
    <w:rsid w:val="005D16AA"/>
    <w:rsid w:val="005D3B09"/>
    <w:rsid w:val="005E5D13"/>
    <w:rsid w:val="005E7C17"/>
    <w:rsid w:val="005F0AE7"/>
    <w:rsid w:val="005F4517"/>
    <w:rsid w:val="005F5678"/>
    <w:rsid w:val="005F6BA6"/>
    <w:rsid w:val="00600E0B"/>
    <w:rsid w:val="00600F75"/>
    <w:rsid w:val="00615A07"/>
    <w:rsid w:val="00627427"/>
    <w:rsid w:val="006501E6"/>
    <w:rsid w:val="00657DE3"/>
    <w:rsid w:val="00662B04"/>
    <w:rsid w:val="00667052"/>
    <w:rsid w:val="00671394"/>
    <w:rsid w:val="006741FC"/>
    <w:rsid w:val="0067513C"/>
    <w:rsid w:val="00680F5D"/>
    <w:rsid w:val="00684DDD"/>
    <w:rsid w:val="00685E54"/>
    <w:rsid w:val="00691EDD"/>
    <w:rsid w:val="006953F4"/>
    <w:rsid w:val="00695517"/>
    <w:rsid w:val="00696D00"/>
    <w:rsid w:val="00697437"/>
    <w:rsid w:val="00697BA0"/>
    <w:rsid w:val="006A0282"/>
    <w:rsid w:val="006A145C"/>
    <w:rsid w:val="006B082F"/>
    <w:rsid w:val="006B11D5"/>
    <w:rsid w:val="006B6F3B"/>
    <w:rsid w:val="006C5E9B"/>
    <w:rsid w:val="006D12D7"/>
    <w:rsid w:val="006D6474"/>
    <w:rsid w:val="006D6E04"/>
    <w:rsid w:val="006E3F3D"/>
    <w:rsid w:val="006F090A"/>
    <w:rsid w:val="006F1AB1"/>
    <w:rsid w:val="006F1D98"/>
    <w:rsid w:val="00703583"/>
    <w:rsid w:val="0071032D"/>
    <w:rsid w:val="00711ECA"/>
    <w:rsid w:val="0071211E"/>
    <w:rsid w:val="007145BF"/>
    <w:rsid w:val="007146F1"/>
    <w:rsid w:val="00722E6A"/>
    <w:rsid w:val="007259E2"/>
    <w:rsid w:val="00731A76"/>
    <w:rsid w:val="00732A38"/>
    <w:rsid w:val="00732F2B"/>
    <w:rsid w:val="00733574"/>
    <w:rsid w:val="00737553"/>
    <w:rsid w:val="007508A5"/>
    <w:rsid w:val="00750CE8"/>
    <w:rsid w:val="007539C4"/>
    <w:rsid w:val="00754D36"/>
    <w:rsid w:val="007572F5"/>
    <w:rsid w:val="0076205E"/>
    <w:rsid w:val="00766267"/>
    <w:rsid w:val="00767897"/>
    <w:rsid w:val="007723B2"/>
    <w:rsid w:val="00773423"/>
    <w:rsid w:val="007757B8"/>
    <w:rsid w:val="007809E9"/>
    <w:rsid w:val="00781464"/>
    <w:rsid w:val="00781E63"/>
    <w:rsid w:val="00791A6C"/>
    <w:rsid w:val="007959EC"/>
    <w:rsid w:val="00797EAA"/>
    <w:rsid w:val="007A18C0"/>
    <w:rsid w:val="007A32D7"/>
    <w:rsid w:val="007A3793"/>
    <w:rsid w:val="007A4428"/>
    <w:rsid w:val="007B13C8"/>
    <w:rsid w:val="007B243D"/>
    <w:rsid w:val="007B4F51"/>
    <w:rsid w:val="007B6B28"/>
    <w:rsid w:val="007C1BBC"/>
    <w:rsid w:val="007C30F7"/>
    <w:rsid w:val="007D45A1"/>
    <w:rsid w:val="007D523B"/>
    <w:rsid w:val="007D78B4"/>
    <w:rsid w:val="007E21B2"/>
    <w:rsid w:val="007E6433"/>
    <w:rsid w:val="007E73DD"/>
    <w:rsid w:val="007F2D87"/>
    <w:rsid w:val="00800B6C"/>
    <w:rsid w:val="00800D11"/>
    <w:rsid w:val="008011C8"/>
    <w:rsid w:val="00812E16"/>
    <w:rsid w:val="00814859"/>
    <w:rsid w:val="0082759D"/>
    <w:rsid w:val="00830E66"/>
    <w:rsid w:val="00831C0C"/>
    <w:rsid w:val="00837D48"/>
    <w:rsid w:val="00841069"/>
    <w:rsid w:val="008421F0"/>
    <w:rsid w:val="008452AE"/>
    <w:rsid w:val="00862ACD"/>
    <w:rsid w:val="00872661"/>
    <w:rsid w:val="00875A11"/>
    <w:rsid w:val="00887483"/>
    <w:rsid w:val="00890053"/>
    <w:rsid w:val="008926F1"/>
    <w:rsid w:val="00895067"/>
    <w:rsid w:val="0089779C"/>
    <w:rsid w:val="008B133C"/>
    <w:rsid w:val="008B3243"/>
    <w:rsid w:val="008C1EB8"/>
    <w:rsid w:val="008C281C"/>
    <w:rsid w:val="008C29E0"/>
    <w:rsid w:val="008C57BA"/>
    <w:rsid w:val="008C5C5C"/>
    <w:rsid w:val="008D0CE5"/>
    <w:rsid w:val="008D57B7"/>
    <w:rsid w:val="008E5A83"/>
    <w:rsid w:val="008E5E07"/>
    <w:rsid w:val="008E6B03"/>
    <w:rsid w:val="008E78D2"/>
    <w:rsid w:val="008F1BE3"/>
    <w:rsid w:val="008F1DB3"/>
    <w:rsid w:val="00910A8E"/>
    <w:rsid w:val="00921EAF"/>
    <w:rsid w:val="00931771"/>
    <w:rsid w:val="00933ACB"/>
    <w:rsid w:val="00933B77"/>
    <w:rsid w:val="009351E7"/>
    <w:rsid w:val="009456F2"/>
    <w:rsid w:val="00945832"/>
    <w:rsid w:val="00945ADA"/>
    <w:rsid w:val="00946777"/>
    <w:rsid w:val="00946AF5"/>
    <w:rsid w:val="009544C6"/>
    <w:rsid w:val="009619B0"/>
    <w:rsid w:val="0096728F"/>
    <w:rsid w:val="00970555"/>
    <w:rsid w:val="00974815"/>
    <w:rsid w:val="009800A7"/>
    <w:rsid w:val="00983EBB"/>
    <w:rsid w:val="00984B01"/>
    <w:rsid w:val="00990E72"/>
    <w:rsid w:val="009961C2"/>
    <w:rsid w:val="009967E3"/>
    <w:rsid w:val="009A2314"/>
    <w:rsid w:val="009A5781"/>
    <w:rsid w:val="009B1A12"/>
    <w:rsid w:val="009B49D0"/>
    <w:rsid w:val="009B7DAB"/>
    <w:rsid w:val="009C0DAB"/>
    <w:rsid w:val="009C19A0"/>
    <w:rsid w:val="009D10B2"/>
    <w:rsid w:val="009D6862"/>
    <w:rsid w:val="009D6F66"/>
    <w:rsid w:val="009D735D"/>
    <w:rsid w:val="009D7C1E"/>
    <w:rsid w:val="009E2595"/>
    <w:rsid w:val="009E2FB5"/>
    <w:rsid w:val="009E3A00"/>
    <w:rsid w:val="009E5A33"/>
    <w:rsid w:val="009E5B00"/>
    <w:rsid w:val="009F04B4"/>
    <w:rsid w:val="009F0E2B"/>
    <w:rsid w:val="009F14E9"/>
    <w:rsid w:val="009F31C9"/>
    <w:rsid w:val="009F795F"/>
    <w:rsid w:val="00A0240D"/>
    <w:rsid w:val="00A0441C"/>
    <w:rsid w:val="00A05364"/>
    <w:rsid w:val="00A108CE"/>
    <w:rsid w:val="00A20069"/>
    <w:rsid w:val="00A20C9A"/>
    <w:rsid w:val="00A249C0"/>
    <w:rsid w:val="00A255B3"/>
    <w:rsid w:val="00A25BD7"/>
    <w:rsid w:val="00A25D56"/>
    <w:rsid w:val="00A265A1"/>
    <w:rsid w:val="00A267EC"/>
    <w:rsid w:val="00A319F8"/>
    <w:rsid w:val="00A32F5C"/>
    <w:rsid w:val="00A35006"/>
    <w:rsid w:val="00A41FC1"/>
    <w:rsid w:val="00A454C6"/>
    <w:rsid w:val="00A45642"/>
    <w:rsid w:val="00A46371"/>
    <w:rsid w:val="00A46AAA"/>
    <w:rsid w:val="00A55142"/>
    <w:rsid w:val="00A564C2"/>
    <w:rsid w:val="00A612DE"/>
    <w:rsid w:val="00A67300"/>
    <w:rsid w:val="00A71163"/>
    <w:rsid w:val="00A736BF"/>
    <w:rsid w:val="00A743EA"/>
    <w:rsid w:val="00A74A15"/>
    <w:rsid w:val="00A74E7E"/>
    <w:rsid w:val="00A81203"/>
    <w:rsid w:val="00A90F76"/>
    <w:rsid w:val="00A948A4"/>
    <w:rsid w:val="00AA7654"/>
    <w:rsid w:val="00AB2013"/>
    <w:rsid w:val="00AB28DD"/>
    <w:rsid w:val="00AB3F42"/>
    <w:rsid w:val="00AC66D3"/>
    <w:rsid w:val="00AD2FEB"/>
    <w:rsid w:val="00AD7BB2"/>
    <w:rsid w:val="00AE62BB"/>
    <w:rsid w:val="00AF18D7"/>
    <w:rsid w:val="00AF6ACA"/>
    <w:rsid w:val="00AF6BBD"/>
    <w:rsid w:val="00AF7A4B"/>
    <w:rsid w:val="00B04408"/>
    <w:rsid w:val="00B058DC"/>
    <w:rsid w:val="00B07319"/>
    <w:rsid w:val="00B1235C"/>
    <w:rsid w:val="00B208C6"/>
    <w:rsid w:val="00B20C05"/>
    <w:rsid w:val="00B25714"/>
    <w:rsid w:val="00B3438E"/>
    <w:rsid w:val="00B361EE"/>
    <w:rsid w:val="00B37ADF"/>
    <w:rsid w:val="00B40613"/>
    <w:rsid w:val="00B4456E"/>
    <w:rsid w:val="00B44771"/>
    <w:rsid w:val="00B45565"/>
    <w:rsid w:val="00B46F48"/>
    <w:rsid w:val="00B5406B"/>
    <w:rsid w:val="00B55ABF"/>
    <w:rsid w:val="00B60818"/>
    <w:rsid w:val="00B63804"/>
    <w:rsid w:val="00B771FF"/>
    <w:rsid w:val="00B86A0B"/>
    <w:rsid w:val="00B9191E"/>
    <w:rsid w:val="00B92923"/>
    <w:rsid w:val="00B97845"/>
    <w:rsid w:val="00BA1FEA"/>
    <w:rsid w:val="00BA3AC2"/>
    <w:rsid w:val="00BA3F02"/>
    <w:rsid w:val="00BA5258"/>
    <w:rsid w:val="00BA5429"/>
    <w:rsid w:val="00BA5D68"/>
    <w:rsid w:val="00BB3565"/>
    <w:rsid w:val="00BB641D"/>
    <w:rsid w:val="00BC167E"/>
    <w:rsid w:val="00BC45A8"/>
    <w:rsid w:val="00BC51D4"/>
    <w:rsid w:val="00BE374B"/>
    <w:rsid w:val="00C075B6"/>
    <w:rsid w:val="00C112B9"/>
    <w:rsid w:val="00C170B4"/>
    <w:rsid w:val="00C17D65"/>
    <w:rsid w:val="00C20E7D"/>
    <w:rsid w:val="00C22268"/>
    <w:rsid w:val="00C2606A"/>
    <w:rsid w:val="00C2626E"/>
    <w:rsid w:val="00C37CD2"/>
    <w:rsid w:val="00C43CF0"/>
    <w:rsid w:val="00C45648"/>
    <w:rsid w:val="00C45CED"/>
    <w:rsid w:val="00C55A3B"/>
    <w:rsid w:val="00C604DF"/>
    <w:rsid w:val="00C70A8E"/>
    <w:rsid w:val="00C74C89"/>
    <w:rsid w:val="00C76BF3"/>
    <w:rsid w:val="00C83655"/>
    <w:rsid w:val="00C902CD"/>
    <w:rsid w:val="00C918E1"/>
    <w:rsid w:val="00CA48B6"/>
    <w:rsid w:val="00CA5AC4"/>
    <w:rsid w:val="00CB38F6"/>
    <w:rsid w:val="00CC60D5"/>
    <w:rsid w:val="00CE5B4C"/>
    <w:rsid w:val="00CE74E4"/>
    <w:rsid w:val="00CF119F"/>
    <w:rsid w:val="00CF29D9"/>
    <w:rsid w:val="00CF7098"/>
    <w:rsid w:val="00D02545"/>
    <w:rsid w:val="00D07FD0"/>
    <w:rsid w:val="00D11CC7"/>
    <w:rsid w:val="00D1530C"/>
    <w:rsid w:val="00D1601A"/>
    <w:rsid w:val="00D217B3"/>
    <w:rsid w:val="00D23C76"/>
    <w:rsid w:val="00D2680F"/>
    <w:rsid w:val="00D26B41"/>
    <w:rsid w:val="00D2761A"/>
    <w:rsid w:val="00D2798A"/>
    <w:rsid w:val="00D308EE"/>
    <w:rsid w:val="00D42964"/>
    <w:rsid w:val="00D42E33"/>
    <w:rsid w:val="00D4617E"/>
    <w:rsid w:val="00D4625F"/>
    <w:rsid w:val="00D47342"/>
    <w:rsid w:val="00D53D25"/>
    <w:rsid w:val="00D54F02"/>
    <w:rsid w:val="00D606C6"/>
    <w:rsid w:val="00D62876"/>
    <w:rsid w:val="00D66BB3"/>
    <w:rsid w:val="00D70476"/>
    <w:rsid w:val="00D73D7D"/>
    <w:rsid w:val="00D8307A"/>
    <w:rsid w:val="00D96548"/>
    <w:rsid w:val="00DA0FB2"/>
    <w:rsid w:val="00DA25E3"/>
    <w:rsid w:val="00DA6AA6"/>
    <w:rsid w:val="00DA79A7"/>
    <w:rsid w:val="00DB60B5"/>
    <w:rsid w:val="00DB66DB"/>
    <w:rsid w:val="00DC0041"/>
    <w:rsid w:val="00DC3D27"/>
    <w:rsid w:val="00DD47D2"/>
    <w:rsid w:val="00DE1027"/>
    <w:rsid w:val="00DE4A15"/>
    <w:rsid w:val="00DF1B7C"/>
    <w:rsid w:val="00DF32BB"/>
    <w:rsid w:val="00DF4C72"/>
    <w:rsid w:val="00DF7E45"/>
    <w:rsid w:val="00E01AE7"/>
    <w:rsid w:val="00E124D0"/>
    <w:rsid w:val="00E2138A"/>
    <w:rsid w:val="00E32A83"/>
    <w:rsid w:val="00E333FE"/>
    <w:rsid w:val="00E35870"/>
    <w:rsid w:val="00E35884"/>
    <w:rsid w:val="00E4075C"/>
    <w:rsid w:val="00E42E06"/>
    <w:rsid w:val="00E447AE"/>
    <w:rsid w:val="00E46F83"/>
    <w:rsid w:val="00E55603"/>
    <w:rsid w:val="00E731AC"/>
    <w:rsid w:val="00E770B3"/>
    <w:rsid w:val="00E77A6E"/>
    <w:rsid w:val="00E8050A"/>
    <w:rsid w:val="00E83E81"/>
    <w:rsid w:val="00E85110"/>
    <w:rsid w:val="00E85E70"/>
    <w:rsid w:val="00E87B6C"/>
    <w:rsid w:val="00E924BC"/>
    <w:rsid w:val="00E925DB"/>
    <w:rsid w:val="00EA5183"/>
    <w:rsid w:val="00EA75E4"/>
    <w:rsid w:val="00EB7151"/>
    <w:rsid w:val="00EC407B"/>
    <w:rsid w:val="00EC4F09"/>
    <w:rsid w:val="00ED5C6F"/>
    <w:rsid w:val="00EE1ABA"/>
    <w:rsid w:val="00EE2BDB"/>
    <w:rsid w:val="00EE32DD"/>
    <w:rsid w:val="00EF0001"/>
    <w:rsid w:val="00EF61DD"/>
    <w:rsid w:val="00EF65AE"/>
    <w:rsid w:val="00F0456C"/>
    <w:rsid w:val="00F04BE4"/>
    <w:rsid w:val="00F07B13"/>
    <w:rsid w:val="00F23C67"/>
    <w:rsid w:val="00F272D4"/>
    <w:rsid w:val="00F2759B"/>
    <w:rsid w:val="00F2759D"/>
    <w:rsid w:val="00F30AF5"/>
    <w:rsid w:val="00F30BF0"/>
    <w:rsid w:val="00F33011"/>
    <w:rsid w:val="00F34564"/>
    <w:rsid w:val="00F40A22"/>
    <w:rsid w:val="00F428CC"/>
    <w:rsid w:val="00F47B96"/>
    <w:rsid w:val="00F50058"/>
    <w:rsid w:val="00F51F71"/>
    <w:rsid w:val="00F53C84"/>
    <w:rsid w:val="00F54EBA"/>
    <w:rsid w:val="00F5608E"/>
    <w:rsid w:val="00F560D7"/>
    <w:rsid w:val="00F57505"/>
    <w:rsid w:val="00F57FBA"/>
    <w:rsid w:val="00F60AB7"/>
    <w:rsid w:val="00F614DA"/>
    <w:rsid w:val="00F626AF"/>
    <w:rsid w:val="00F62728"/>
    <w:rsid w:val="00F64CF5"/>
    <w:rsid w:val="00F65D25"/>
    <w:rsid w:val="00F66DE1"/>
    <w:rsid w:val="00F67D69"/>
    <w:rsid w:val="00F75873"/>
    <w:rsid w:val="00F76166"/>
    <w:rsid w:val="00F81EFE"/>
    <w:rsid w:val="00F832A2"/>
    <w:rsid w:val="00F859C5"/>
    <w:rsid w:val="00F86516"/>
    <w:rsid w:val="00F86DAA"/>
    <w:rsid w:val="00F903B0"/>
    <w:rsid w:val="00F90C00"/>
    <w:rsid w:val="00F96615"/>
    <w:rsid w:val="00F96B16"/>
    <w:rsid w:val="00FA017C"/>
    <w:rsid w:val="00FA2A03"/>
    <w:rsid w:val="00FA30C2"/>
    <w:rsid w:val="00FB1F0B"/>
    <w:rsid w:val="00FC1F67"/>
    <w:rsid w:val="00FC65E7"/>
    <w:rsid w:val="00FC72B4"/>
    <w:rsid w:val="00FC7A3D"/>
    <w:rsid w:val="00FD3F22"/>
    <w:rsid w:val="00FD499A"/>
    <w:rsid w:val="00FD61CC"/>
    <w:rsid w:val="00FE17B6"/>
    <w:rsid w:val="00FE4E24"/>
    <w:rsid w:val="00FF65A0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3CE9C"/>
  <w15:chartTrackingRefBased/>
  <w15:docId w15:val="{DE39EBA3-59D3-4BAE-8E11-A3B3ECFE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6D6E0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basedOn w:val="DefaultParagraphFont"/>
    <w:qFormat/>
    <w:rsid w:val="006D6E04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12">
    <w:name w:val="font12"/>
    <w:basedOn w:val="DefaultParagraphFont"/>
    <w:qFormat/>
    <w:rsid w:val="006D6E04"/>
    <w:rPr>
      <w:rFonts w:ascii="Arial" w:hAnsi="Arial" w:cs="Arial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 Priya Krishnamoorthi</dc:creator>
  <cp:keywords/>
  <dc:description/>
  <cp:lastModifiedBy>Mohana Priya Krishnamoorthi</cp:lastModifiedBy>
  <cp:revision>2</cp:revision>
  <dcterms:created xsi:type="dcterms:W3CDTF">2025-10-16T06:58:00Z</dcterms:created>
  <dcterms:modified xsi:type="dcterms:W3CDTF">2025-10-16T06:59:00Z</dcterms:modified>
</cp:coreProperties>
</file>