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47005">
      <w:pPr>
        <w:pStyle w:val="3"/>
        <w:spacing w:beforeAutospacing="0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Statin </w:t>
      </w:r>
      <w:r>
        <w:rPr>
          <w:rFonts w:hint="eastAsia" w:ascii="Times New Roman" w:hAnsi="Times New Roman"/>
          <w:b/>
          <w:bCs/>
          <w:sz w:val="32"/>
          <w:szCs w:val="32"/>
        </w:rPr>
        <w:t>Use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hint="eastAsia" w:ascii="Times New Roman" w:hAnsi="Times New Roman"/>
          <w:b/>
          <w:bCs/>
          <w:sz w:val="32"/>
          <w:szCs w:val="32"/>
        </w:rPr>
        <w:t>i</w:t>
      </w:r>
      <w:r>
        <w:rPr>
          <w:rFonts w:ascii="Times New Roman" w:hAnsi="Times New Roman"/>
          <w:b/>
          <w:bCs/>
          <w:sz w:val="32"/>
          <w:szCs w:val="32"/>
        </w:rPr>
        <w:t xml:space="preserve">s Associated </w:t>
      </w:r>
      <w:r>
        <w:rPr>
          <w:rFonts w:hint="eastAsia" w:ascii="Times New Roman" w:hAnsi="Times New Roman"/>
          <w:b/>
          <w:bCs/>
          <w:sz w:val="32"/>
          <w:szCs w:val="32"/>
        </w:rPr>
        <w:t>w</w:t>
      </w:r>
      <w:r>
        <w:rPr>
          <w:rFonts w:ascii="Times New Roman" w:hAnsi="Times New Roman"/>
          <w:b/>
          <w:bCs/>
          <w:sz w:val="32"/>
          <w:szCs w:val="32"/>
        </w:rPr>
        <w:t xml:space="preserve">ith Reduced Delirium and Improved Short-Term Outcomes in Critically Ill Patients </w:t>
      </w:r>
      <w:r>
        <w:rPr>
          <w:rFonts w:hint="eastAsia" w:ascii="Times New Roman" w:hAnsi="Times New Roman"/>
          <w:b/>
          <w:bCs/>
          <w:sz w:val="32"/>
          <w:szCs w:val="32"/>
        </w:rPr>
        <w:t>w</w:t>
      </w:r>
      <w:r>
        <w:rPr>
          <w:rFonts w:ascii="Times New Roman" w:hAnsi="Times New Roman"/>
          <w:b/>
          <w:bCs/>
          <w:sz w:val="32"/>
          <w:szCs w:val="32"/>
        </w:rPr>
        <w:t>ith Chronic Kidney Disease</w:t>
      </w:r>
    </w:p>
    <w:p w14:paraId="1DCD9B8D">
      <w:pPr>
        <w:spacing w:line="48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Yuanhao Chen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hint="eastAsia" w:ascii="Times New Roman" w:hAnsi="Times New Roman" w:cs="Times New Roman"/>
          <w:vertAlign w:val="superscript"/>
        </w:rPr>
        <w:t>#</w:t>
      </w:r>
      <w:r>
        <w:rPr>
          <w:rFonts w:ascii="Times New Roman" w:hAnsi="Times New Roman" w:cs="Times New Roman"/>
        </w:rPr>
        <w:t>,</w:t>
      </w:r>
      <w:r>
        <w:rPr>
          <w:rFonts w:hint="eastAsia" w:ascii="Times New Roman" w:hAnsi="Times New Roman" w:cs="Times New Roman"/>
        </w:rPr>
        <w:t xml:space="preserve"> Tongtong Li</w:t>
      </w:r>
      <w:r>
        <w:rPr>
          <w:rFonts w:hint="eastAsia" w:ascii="Times New Roman" w:hAnsi="Times New Roman" w:cs="Times New Roman"/>
          <w:vertAlign w:val="superscript"/>
        </w:rPr>
        <w:t>1#</w:t>
      </w:r>
      <w:r>
        <w:rPr>
          <w:rFonts w:hint="eastAsia" w:ascii="Times New Roman" w:hAnsi="Times New Roman" w:cs="Times New Roman"/>
        </w:rPr>
        <w:t>, Zhikui Huo</w:t>
      </w:r>
      <w:r>
        <w:rPr>
          <w:rFonts w:hint="eastAsia" w:ascii="Times New Roman" w:hAnsi="Times New Roman" w:cs="Times New Roman"/>
          <w:vertAlign w:val="superscript"/>
        </w:rPr>
        <w:t>2</w:t>
      </w:r>
      <w:r>
        <w:rPr>
          <w:rFonts w:hint="eastAsia"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Yuzhen Zhong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hint="eastAsia"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Xiu Wen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Liangmei</w:t>
      </w:r>
      <w:r>
        <w:rPr>
          <w:rFonts w:hint="eastAsia" w:ascii="Times New Roman" w:hAnsi="Times New Roman" w:cs="Times New Roman"/>
        </w:rPr>
        <w:t xml:space="preserve"> Chen</w:t>
      </w:r>
      <w:r>
        <w:rPr>
          <w:rFonts w:ascii="Times New Roman" w:hAnsi="Times New Roman" w:cs="Times New Roman"/>
          <w:vertAlign w:val="superscript"/>
        </w:rPr>
        <w:t>1*</w:t>
      </w:r>
      <w:r>
        <w:rPr>
          <w:rFonts w:hint="eastAsia"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Fanna Liu</w:t>
      </w:r>
      <w:r>
        <w:rPr>
          <w:rFonts w:ascii="Times New Roman" w:hAnsi="Times New Roman" w:cs="Times New Roman"/>
          <w:vertAlign w:val="superscript"/>
        </w:rPr>
        <w:t>1*</w:t>
      </w:r>
    </w:p>
    <w:p w14:paraId="73D53800">
      <w:pPr>
        <w:pStyle w:val="8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Nephrology, The First Affiliated Hospital of Jinan University, Jinan University, Guangzhou, Guangdong, China</w:t>
      </w:r>
    </w:p>
    <w:p w14:paraId="57EF74A8">
      <w:pPr>
        <w:pStyle w:val="8"/>
        <w:numPr>
          <w:ilvl w:val="0"/>
          <w:numId w:val="1"/>
        </w:numPr>
        <w:spacing w:line="480" w:lineRule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</w:rPr>
        <w:t>Department of General Surgery, The second hospital of Jilin University, Changchun, Jilin, China</w:t>
      </w:r>
    </w:p>
    <w:p w14:paraId="34DB48C5">
      <w:pPr>
        <w:pStyle w:val="8"/>
        <w:numPr>
          <w:numId w:val="0"/>
        </w:numPr>
        <w:spacing w:line="480" w:lineRule="auto"/>
        <w:ind w:leftChars="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 w14:paraId="5B37758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drawing>
          <wp:inline distT="0" distB="0" distL="114300" distR="114300">
            <wp:extent cx="2711450" cy="2298700"/>
            <wp:effectExtent l="0" t="0" r="6350" b="0"/>
            <wp:docPr id="2" name="图片 2" descr="flow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lowchar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55370"/>
    <w:p w14:paraId="1F4439CB">
      <w:pP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>Fig. 1.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Flowchart of cohort selection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.</w:t>
      </w:r>
    </w:p>
    <w:p w14:paraId="68DB0441">
      <w:pPr>
        <w:rPr>
          <w:rFonts w:hint="default" w:ascii="Times New Roman" w:hAnsi="Times New Roman" w:cs="Times New Roman"/>
          <w:sz w:val="21"/>
          <w:szCs w:val="21"/>
        </w:rPr>
      </w:pPr>
      <w:r>
        <w:drawing>
          <wp:inline distT="0" distB="0" distL="114300" distR="114300">
            <wp:extent cx="5273675" cy="3635375"/>
            <wp:effectExtent l="0" t="0" r="9525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1087F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Fig. 2. KM survival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curves of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30-day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mortality within the ICU for patients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in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statin-exposure and Non-statin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after PSM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.</w:t>
      </w:r>
    </w:p>
    <w:p w14:paraId="63B9CA11">
      <w:pPr>
        <w:ind w:left="210" w:hanging="210" w:hangingChars="10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</w:p>
    <w:p w14:paraId="7246B3C6">
      <w:pPr>
        <w:ind w:left="210" w:hanging="240" w:hangingChars="10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5267960" cy="3646170"/>
            <wp:effectExtent l="0" t="0" r="2540" b="1143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Fig.3. KM survival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curves of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90-day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mortality within the ICU for patients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in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statin-exposure and Non-statin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after PSM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. </w:t>
      </w:r>
    </w:p>
    <w:p w14:paraId="6127381F">
      <w:pPr>
        <w:rPr>
          <w:rFonts w:hint="default" w:ascii="Times New Roman" w:hAnsi="Times New Roman" w:cs="Times New Roman"/>
          <w:sz w:val="21"/>
          <w:szCs w:val="21"/>
        </w:rPr>
      </w:pPr>
    </w:p>
    <w:p w14:paraId="40473A67">
      <w:pPr>
        <w:rPr>
          <w:rFonts w:hint="default" w:ascii="Times New Roman" w:hAnsi="Times New Roman" w:cs="Times New Roman"/>
          <w:sz w:val="21"/>
          <w:szCs w:val="21"/>
        </w:rPr>
      </w:pPr>
    </w:p>
    <w:p w14:paraId="55E64678">
      <w:pPr>
        <w:rPr>
          <w:rFonts w:hint="default" w:ascii="Times New Roman" w:hAnsi="Times New Roman" w:cs="Times New Roman"/>
          <w:sz w:val="21"/>
          <w:szCs w:val="21"/>
        </w:rPr>
      </w:pPr>
    </w:p>
    <w:p w14:paraId="35404254">
      <w:pP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</w:p>
    <w:p w14:paraId="1E5AFB17">
      <w:pP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</w:p>
    <w:p w14:paraId="5EE0064B">
      <w:pP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</w:p>
    <w:p w14:paraId="4E4BEAD3">
      <w:pP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</w:p>
    <w:p w14:paraId="741BDB59">
      <w:pPr>
        <w:rPr>
          <w:rFonts w:hint="default" w:ascii="Times New Roman" w:hAnsi="Times New Roman" w:cs="Times New Roman"/>
          <w:sz w:val="21"/>
          <w:szCs w:val="21"/>
        </w:rPr>
      </w:pPr>
      <w:r>
        <w:drawing>
          <wp:inline distT="0" distB="0" distL="114300" distR="114300">
            <wp:extent cx="4775200" cy="70421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7E631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Fig. 4.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Forest plot of the subgroup analysis of the association between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statin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and the incidence of delirium. </w:t>
      </w:r>
    </w:p>
    <w:p w14:paraId="0FA4E442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CHF, congestive heart failure;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CAD: coronary artery disease</w:t>
      </w:r>
      <w:r>
        <w:rPr>
          <w:rFonts w:hint="default" w:ascii="Times New Roman" w:hAnsi="Times New Roman" w:cs="Times New Roman"/>
          <w:sz w:val="21"/>
          <w:szCs w:val="21"/>
        </w:rPr>
        <w:t xml:space="preserve">; CVD, cerebrovascular disease; COPD: chronic obstructive pulmonary disease;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BZs, benzodiazepines;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CCI, Charlson Comorbidity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index</w:t>
      </w:r>
      <w:r>
        <w:rPr>
          <w:rFonts w:hint="default" w:ascii="Times New Roman" w:hAnsi="Times New Roman" w:cs="Times New Roman"/>
          <w:sz w:val="21"/>
          <w:szCs w:val="21"/>
        </w:rPr>
        <w:t>; SAPS II, Simplified Acute Physiology Score Index; OASIS,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Oxford acute severity of illness score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, SOFA, Sequential Organ Failure Assessment.</w:t>
      </w:r>
    </w:p>
    <w:p w14:paraId="2465C2C8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6B531299"/>
    <w:p w14:paraId="1C9CBBD0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>Table1.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Baseline clinical characteristics before and after PSM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711"/>
        <w:gridCol w:w="927"/>
        <w:gridCol w:w="711"/>
        <w:gridCol w:w="671"/>
        <w:gridCol w:w="553"/>
        <w:gridCol w:w="6"/>
        <w:gridCol w:w="711"/>
        <w:gridCol w:w="927"/>
        <w:gridCol w:w="711"/>
        <w:gridCol w:w="671"/>
        <w:gridCol w:w="553"/>
      </w:tblGrid>
      <w:tr w14:paraId="3249E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F4A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43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Before PSM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1D1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CE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After PSM</w:t>
            </w:r>
          </w:p>
        </w:tc>
      </w:tr>
      <w:tr w14:paraId="5E723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AFA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CB4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Total (n = 3218)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001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Nonstatin (n = 1440)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4C1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Statin (n = 1778)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0EE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871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SMD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173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32B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Total (n = 2132)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3E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Nonstatin (n = 1066)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1B2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Statin (n = 1066)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7FC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E5A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SMD</w:t>
            </w:r>
          </w:p>
        </w:tc>
      </w:tr>
      <w:tr w14:paraId="6DC00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70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(year)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6E3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74.8 (65.5, 82.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B69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73.0 (61.8, 82.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E8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(68.2, 83.2)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907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051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0.369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F7F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F1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(66.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83.1)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EED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(66.5, 83.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771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75.8 (67.4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82.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F8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0.813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C36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0.010</w:t>
            </w:r>
          </w:p>
        </w:tc>
      </w:tr>
      <w:tr w14:paraId="750EC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BD5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Gender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(male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6A3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2040 (63.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C85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856 (59.4)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07F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1184 (66.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DBD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429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E36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F4B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1333 (62.5)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A6B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659 (61.8)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C43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674 (63.2)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129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6C5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0.029</w:t>
            </w:r>
          </w:p>
        </w:tc>
      </w:tr>
      <w:tr w14:paraId="06EC2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D16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Vital sign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EEF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AA8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16E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71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472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7B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D2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57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305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81B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56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DCB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C1D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HR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(beats/min)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6B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0CB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86.0 ± 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CC8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14.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EA7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5FF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EC4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A0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83.5 ± 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8F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16.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28C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83.3 ± 15.3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99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AE2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0.028</w:t>
            </w:r>
          </w:p>
        </w:tc>
      </w:tr>
      <w:tr w14:paraId="425E1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41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RR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(beats/min)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1FC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19.6 ± 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8C8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20.0 ± 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98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E37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33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8FC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9CD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19.6 ± 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D06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19.6 ± 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F04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58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7DC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0.005</w:t>
            </w:r>
          </w:p>
        </w:tc>
      </w:tr>
      <w:tr w14:paraId="27952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A03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MBP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9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75.1 (69.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82.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68D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(69.8, 83.2)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E7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74.8 (69.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82.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50B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D6E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82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8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75.5 (69.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83.3)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91C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(69.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83.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523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(69.6, 82.8)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BD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49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0.013</w:t>
            </w:r>
          </w:p>
        </w:tc>
      </w:tr>
      <w:tr w14:paraId="63B64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48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righ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Comorbidity,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5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5C0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161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649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7C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850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EEB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F36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0D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CD6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3C6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</w:tr>
      <w:tr w14:paraId="20D84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1B9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AC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1769 (5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D8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690 (47.9)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2A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1079 (60.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3CC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18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24C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ECF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1171 (54.9)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113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579 (54.3)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F9B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592 (55.5)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BE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DD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0.025</w:t>
            </w:r>
          </w:p>
        </w:tc>
      </w:tr>
      <w:tr w14:paraId="4AFDA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AE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9B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1364 (42.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EAA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367 (25.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8E4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997 (56.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1F5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AF6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EC8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73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765 (35.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E3D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364 (34.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38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401 (37.6)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5FE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EB1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0.072</w:t>
            </w:r>
          </w:p>
        </w:tc>
      </w:tr>
      <w:tr w14:paraId="7550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996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COPD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BC5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90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DB3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37 (2.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F94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 (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3EE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88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24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E7A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68 (3.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E7B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33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620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 (3.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5AE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404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0.011</w:t>
            </w:r>
          </w:p>
        </w:tc>
      </w:tr>
      <w:tr w14:paraId="1750C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325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ECA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673 (20.9)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D4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279 (19.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51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394 (22.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980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455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569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A9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476 (22.3)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A5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223 (20.9)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ECB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253 (23.7)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CD8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070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0.066</w:t>
            </w:r>
          </w:p>
        </w:tc>
      </w:tr>
      <w:tr w14:paraId="0BF0F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2A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CAB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1636 (50.8)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CE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620 (43.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7E2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1016 (57.1)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A3F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44F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665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D3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1055 (49.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FCC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519 (48.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5D4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536 (50.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CB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A0B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0.032</w:t>
            </w:r>
          </w:p>
        </w:tc>
      </w:tr>
      <w:tr w14:paraId="70C5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FE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3E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415 (1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64F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247 (17.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76D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168 (9.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D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72B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49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A0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285 (13.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B79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152 (14.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5E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133 (12.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E2E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F2A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0.054</w:t>
            </w:r>
          </w:p>
        </w:tc>
      </w:tr>
      <w:tr w14:paraId="3EB0E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9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CKD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98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596 (18.5)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C1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291 (20.2)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94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305 (17.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6A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630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200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D3B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379 (17.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0DF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191 (17.9)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C9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188 (17.6)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F8B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7EF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0.007</w:t>
            </w:r>
          </w:p>
        </w:tc>
      </w:tr>
      <w:tr w14:paraId="57963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87D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Lab events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CD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35F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414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444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848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F0E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2B4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2E3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0CB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72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C7C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B6E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99F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(10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39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31.1 ± 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C8D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81D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31.2 ± 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031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33C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8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C65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FE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130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57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E36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0.006</w:t>
            </w:r>
          </w:p>
        </w:tc>
      </w:tr>
      <w:tr w14:paraId="47C54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00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HGB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(g/dL)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E71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9C2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50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B91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A31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618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FF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10.1 ± 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3DD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10.1 ± 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B18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43E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2EA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0.007</w:t>
            </w:r>
          </w:p>
        </w:tc>
      </w:tr>
      <w:tr w14:paraId="00E1E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BEE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(10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706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175.0 (128.0, 234.5)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DB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170.0 (118.0, 235.6)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5E2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178.0 (135.0, 233.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C3B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09C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83A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7B8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179.5 (133.5, 238.0)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16C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176.5 (128.5, 236.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FCC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182.0 (137.6, 240.0)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BD4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EC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0.097</w:t>
            </w:r>
          </w:p>
        </w:tc>
      </w:tr>
      <w:tr w14:paraId="4ADBB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E7B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WBC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(10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B09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11.6 (8.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15.3)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8A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11.8 (8.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15.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FB8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11.5 (8.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B0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B01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B96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E2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11.5 (8.3, 15.2)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6C2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(8.1, 15.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102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11.5 (8.5, 15.1)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74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617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0.020</w:t>
            </w:r>
          </w:p>
        </w:tc>
      </w:tr>
      <w:tr w14:paraId="29229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0F6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Aniongap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41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15.5 (13.0, 18.5)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5F8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16.0 (13.5, 19.0)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F2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15.0 (12.5, 18.0)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E8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CE9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5D9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0DC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15.5 (13.0, 18.5)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64D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15.5 (13.0, 18.5)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DB6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15.0 (13.0, 18.5)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F5A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9DC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0.022</w:t>
            </w:r>
          </w:p>
        </w:tc>
      </w:tr>
      <w:tr w14:paraId="7E328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B6F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Bicarbonate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FF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21.7 ± 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6E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21.3 ± 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91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22.0 ± 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F3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E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25D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7DD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797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D1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21.9 ± 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A9C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61A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0.015</w:t>
            </w:r>
          </w:p>
        </w:tc>
      </w:tr>
      <w:tr w14:paraId="1F918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F94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Chloride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007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91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102.0 ± 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DAC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E1E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F42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FF2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011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CC9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7.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9CE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A47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10F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0.002</w:t>
            </w:r>
          </w:p>
        </w:tc>
      </w:tr>
      <w:tr w14:paraId="3FBBE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AF0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Potassium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4A8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4.5 ± 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A0E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6F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4.5 ±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6E4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BA6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3A4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14F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028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± 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8C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4.5 ± 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DD2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5D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0.041</w:t>
            </w:r>
          </w:p>
        </w:tc>
      </w:tr>
      <w:tr w14:paraId="650AD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B31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Sodium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5C3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138.0 (135.0, 141.0)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EAE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138.0 (134.5, 141.0)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52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138.0 (135.5, 140.5)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7B5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9DD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7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5E1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138.0 (135.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141.0)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F83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138.0 (135.0, 141.5)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15D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138.0 (135.5, 140.5)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C31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736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0.063</w:t>
            </w:r>
          </w:p>
        </w:tc>
      </w:tr>
      <w:tr w14:paraId="2BF4C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996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BUN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0F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36.0 (24.1, 56.5)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7F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38.5 (26.0, 62.0)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FE9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34.0 (23.0, 52.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86A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90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70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39B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36.5 (24.0, 57.0)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212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37.5 (24.0, 58.0)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0F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35.5 (23.0, 56.0)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6E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7D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0.024</w:t>
            </w:r>
          </w:p>
        </w:tc>
      </w:tr>
      <w:tr w14:paraId="76808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570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Calcium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E6F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(8.0, 8.9)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DB8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8.4 (7.94, 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A9A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8.5 (8.1, 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4F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8A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4A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886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8.5 (8.0,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988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(8.0,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174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8.5 (8.1, 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F7A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75D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0.036</w:t>
            </w:r>
          </w:p>
        </w:tc>
      </w:tr>
      <w:tr w14:paraId="54AAB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698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Creatinine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76A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 (1.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09D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(1.4, 3.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1C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494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DDC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9F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A92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 (1.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457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 (1.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336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602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43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0.032</w:t>
            </w:r>
          </w:p>
        </w:tc>
      </w:tr>
      <w:tr w14:paraId="4F550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8BF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Glucose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957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136.5 (112.0, 178.5)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7FA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136.5 (112.0, 179.0)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F75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(112.0, 177.5)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798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E0E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BAC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589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137.0 (112.0, 179.5)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D5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138.0 (112.5, 178.0)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F9F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136.0 (112.0, 181.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9B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A88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0.017</w:t>
            </w:r>
          </w:p>
        </w:tc>
      </w:tr>
      <w:tr w14:paraId="3A41A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0CC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Treatment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4ED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9B2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5AC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C9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BF6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D7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509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62E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32E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0C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36B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</w:tr>
      <w:tr w14:paraId="6FF73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05B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BZs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2C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1782 (55.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AFB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889 (61.7)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1D9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893 (50.2)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2A0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684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635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F8A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1186 (55.6)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E97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596 (55.9)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083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590 (55.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EAB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803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0.011</w:t>
            </w:r>
          </w:p>
        </w:tc>
      </w:tr>
      <w:tr w14:paraId="784F3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E8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Propofol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1D0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1876 (58.3)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CB7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810 (56.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AA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1066 (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60.0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F8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7A8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6E8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929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1188 (55.7)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68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577 (54.1)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5F0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611 (57.3)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682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A7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0.064</w:t>
            </w:r>
          </w:p>
        </w:tc>
      </w:tr>
      <w:tr w14:paraId="26BAF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3F7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Vasopressor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86E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775 (24.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328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383 (26.6)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577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392 (22.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ADE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402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D27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F9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509 (23.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B32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248 (23.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703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261 (24.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A15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54F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0.028</w:t>
            </w:r>
          </w:p>
        </w:tc>
      </w:tr>
      <w:tr w14:paraId="2C19F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1C5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Cortisone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F75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191 (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CBA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101 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FEB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90 (5.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A22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8BE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D2C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196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137 (6.4)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386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 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8E1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62 (5.8)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2D8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AD2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0.052</w:t>
            </w:r>
          </w:p>
        </w:tc>
      </w:tr>
      <w:tr w14:paraId="7EAB8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FA5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491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804 (2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88F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407 (28.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C4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397 (22.3)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1F4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199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2C3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7B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500 (23.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198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252 (23.6)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9E0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248 (23.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7B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D5C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0.009</w:t>
            </w:r>
          </w:p>
        </w:tc>
      </w:tr>
      <w:tr w14:paraId="4E7F2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A6B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02D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2012 (62.5)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57F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894 (62.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FE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1118 (62.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2B2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474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D8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3AB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1303 (61.1)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46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642 (60.2)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382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661 (62.0)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E76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187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0.037</w:t>
            </w:r>
          </w:p>
        </w:tc>
      </w:tr>
      <w:tr w14:paraId="6D48C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02A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isease severity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s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cores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CD9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250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48E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C9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47E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4D4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06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2FD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A9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BED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DDF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922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43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C07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 (7.0, 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11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 (6.0, 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6B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 (7.0, 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833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28D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03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E76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 (7.0, 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60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 (7.0, 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EDE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 (7.0, 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764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275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0.031</w:t>
            </w:r>
          </w:p>
        </w:tc>
      </w:tr>
      <w:tr w14:paraId="67AE9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0DB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SAPSII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906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44.0 (36.0, 53.0)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2F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45.0 (37.0, 56.0)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FD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42.0 (36.0, 52.0)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3EE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6E9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18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56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43.5 (36.0, 53.0)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6A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44.0 (36.0, 54.0)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21A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43.0 (36.0, 53.0)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F8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48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</w:tr>
      <w:tr w14:paraId="3EB0A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D6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FBD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34.0 (29.0, 40.0)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3CD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35.0 (29.0, 42.0)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5A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34.0 (28.0, 39.0)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1CE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597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B0B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D71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34.0 (29.0, 40.0)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C7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34.5 (29.0, 41.0)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44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34.0 (29.0, 40.0)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6F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02C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0.027</w:t>
            </w:r>
          </w:p>
        </w:tc>
      </w:tr>
      <w:tr w14:paraId="3C39A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B5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SOFA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EB6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6.0 (4.0, 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3FD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7.0 (4.0, 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E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6.0 (4.0, 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47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76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177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84D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6.0 (4.0, 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F8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6.0 (4.0, 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857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6.0 (4.0, 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8D9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BA2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0.011</w:t>
            </w:r>
          </w:p>
        </w:tc>
      </w:tr>
      <w:tr w14:paraId="0AEF4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5DE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Events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E8B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86A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571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C9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9B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33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BF5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73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C3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1F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52C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</w:tr>
      <w:tr w14:paraId="08387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730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Delirium,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A76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938 (29.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0E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496 (34.4)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C81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442 (2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4D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F13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E1E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616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641 (30.0)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3E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366 (34.3)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575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275 (25.8)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FDB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637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 w:bidi="ar-SA"/>
              </w:rPr>
              <w:t>-</w:t>
            </w:r>
          </w:p>
        </w:tc>
      </w:tr>
      <w:tr w14:paraId="5E9A7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55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day Mortality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, n(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92E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776 (24.1)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6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413 (28.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CD6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363 (20.4)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0D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4D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49D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72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534 (25.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2FE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293 (27.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DB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241 (22.6)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68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9D7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-</w:t>
            </w:r>
          </w:p>
        </w:tc>
      </w:tr>
      <w:tr w14:paraId="128A8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BDF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90-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day Mortality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, n(%)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1C6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1066 (33.1)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485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567 (39.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F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499 (28.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BE2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DB8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C61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C72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729 (34.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5D5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399 (37.4)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585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330 (3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1.0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2C8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58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-</w:t>
            </w:r>
          </w:p>
        </w:tc>
      </w:tr>
    </w:tbl>
    <w:p w14:paraId="1A082D7A">
      <w:pPr>
        <w:rPr>
          <w:rFonts w:hint="default" w:ascii="Times New Roman" w:hAnsi="Times New Roman" w:cs="Times New Roman"/>
          <w:sz w:val="21"/>
          <w:szCs w:val="21"/>
        </w:rPr>
      </w:pPr>
    </w:p>
    <w:p w14:paraId="6E7E582B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Data are presented as mean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±</w:t>
      </w:r>
      <w:r>
        <w:rPr>
          <w:rFonts w:hint="default" w:ascii="Times New Roman" w:hAnsi="Times New Roman" w:cs="Times New Roman"/>
          <w:sz w:val="21"/>
          <w:szCs w:val="21"/>
        </w:rPr>
        <w:t>sd, medians (interquartile ranges), or numbers (percentages).</w:t>
      </w:r>
    </w:p>
    <w:p w14:paraId="10C2F577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HR, heart rate;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z w:val="21"/>
          <w:szCs w:val="21"/>
        </w:rPr>
        <w:t xml:space="preserve">BP,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mean</w:t>
      </w:r>
      <w:r>
        <w:rPr>
          <w:rFonts w:hint="default" w:ascii="Times New Roman" w:hAnsi="Times New Roman" w:cs="Times New Roman"/>
          <w:sz w:val="21"/>
          <w:szCs w:val="21"/>
        </w:rPr>
        <w:t xml:space="preserve"> blood pressure; RR, respiratory rate; CHF, congestive heart failure;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CAD: coronary artery disease</w:t>
      </w:r>
      <w:r>
        <w:rPr>
          <w:rFonts w:hint="default" w:ascii="Times New Roman" w:hAnsi="Times New Roman" w:cs="Times New Roman"/>
          <w:sz w:val="21"/>
          <w:szCs w:val="21"/>
        </w:rPr>
        <w:t>; CVD, cerebrovascular disease; COPD: chronic obstructive pulmonary disease; HCT, hematocrit; HGB, hemoglobin; PLT, platelets; WBC, white blood cell count; BUN, blood urea nitrogen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; BZs, benzodiazepines;</w:t>
      </w:r>
      <w:r>
        <w:rPr>
          <w:rFonts w:hint="default" w:ascii="Times New Roman" w:hAnsi="Times New Roman" w:cs="Times New Roman"/>
          <w:sz w:val="21"/>
          <w:szCs w:val="21"/>
        </w:rPr>
        <w:t xml:space="preserve"> RRT, renal replacement treatment;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VEN</w:t>
      </w:r>
      <w:r>
        <w:rPr>
          <w:rFonts w:hint="default" w:ascii="Times New Roman" w:hAnsi="Times New Roman" w:cs="Times New Roman"/>
          <w:sz w:val="21"/>
          <w:szCs w:val="21"/>
        </w:rPr>
        <w:t>, mechanical ventilation; CCI, Charlson Comorbidity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index</w:t>
      </w:r>
      <w:r>
        <w:rPr>
          <w:rFonts w:hint="default" w:ascii="Times New Roman" w:hAnsi="Times New Roman" w:cs="Times New Roman"/>
          <w:sz w:val="21"/>
          <w:szCs w:val="21"/>
        </w:rPr>
        <w:t>; SAPS II, Simplified Acute Physiology Score Index; OASIS,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Oxford acute severity of illness score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, SOFA, Sequential Organ Failure Assessment.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szCs w:val="21"/>
        </w:rPr>
        <w:t>SMD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:</w:t>
      </w:r>
      <w:r>
        <w:rPr>
          <w:rFonts w:ascii="Times New Roman" w:hAnsi="Times New Roman" w:cs="Times New Roman"/>
          <w:szCs w:val="21"/>
        </w:rPr>
        <w:t xml:space="preserve">Standardized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M</w:t>
      </w:r>
      <w:r>
        <w:rPr>
          <w:rFonts w:ascii="Times New Roman" w:hAnsi="Times New Roman" w:cs="Times New Roman"/>
          <w:szCs w:val="21"/>
        </w:rPr>
        <w:t xml:space="preserve">ean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D</w:t>
      </w:r>
      <w:r>
        <w:rPr>
          <w:rFonts w:ascii="Times New Roman" w:hAnsi="Times New Roman" w:cs="Times New Roman"/>
          <w:szCs w:val="21"/>
        </w:rPr>
        <w:t>ifference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.</w:t>
      </w:r>
    </w:p>
    <w:p w14:paraId="5AAE6022">
      <w:pPr>
        <w:rPr>
          <w:rFonts w:hint="default" w:ascii="Times New Roman" w:hAnsi="Times New Roman" w:cs="Times New Roman"/>
          <w:sz w:val="21"/>
          <w:szCs w:val="21"/>
        </w:rPr>
      </w:pPr>
    </w:p>
    <w:p w14:paraId="51E36777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Table 2. Relationship between statin and the incidence of delirium in different models before and after propensity score matching.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1686"/>
        <w:gridCol w:w="807"/>
        <w:gridCol w:w="1686"/>
        <w:gridCol w:w="807"/>
      </w:tblGrid>
      <w:tr w14:paraId="32BF2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623D6A71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Non-statin vs.Statin  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F648A45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Before PSM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140D5F2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After PSM</w:t>
            </w:r>
          </w:p>
        </w:tc>
      </w:tr>
      <w:tr w14:paraId="47AF3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2A166DE5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41DFB819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OR, 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792FC2B9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1CFA2ED3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OR, 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25760676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6361E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99C1232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Crude model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E1F9E5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0.63 (0.54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-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3D7DD0E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77D1B95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0.66 (0.55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-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0.80)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C49245D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 w14:paraId="50BAF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1F0397D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Model 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A5881B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0.62 (0.53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-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B50752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0BFAAAB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0.67 (0.55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-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0.80)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42B89EF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 w14:paraId="1A4A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51B02FD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Model 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84FDB34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0.54 (0.46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-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0.64)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144498A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D4C5085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0.66 (0.55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-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0.80)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81F7368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 w14:paraId="1135A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95A08E4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Model 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FBC2BE7">
            <w:pPr>
              <w:widowControl w:val="0"/>
              <w:jc w:val="both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vertAlign w:val="baseli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0.63 (0.52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-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0.76)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0539396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E41BFF1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0.60 (0.49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-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0.74)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86A06A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</w:tbl>
    <w:p w14:paraId="446E3C63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Model 1: adjusted for age and gender; Model 2: adjusted for age, gender and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color w:val="000000"/>
          <w:sz w:val="21"/>
          <w:szCs w:val="21"/>
        </w:rPr>
        <w:t>omorbidity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; Model 3: adjusted for age, gender, vital sign,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color w:val="000000"/>
          <w:sz w:val="21"/>
          <w:szCs w:val="21"/>
        </w:rPr>
        <w:t>omorbidity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, lab events, treatment and disease severity scores.</w:t>
      </w:r>
    </w:p>
    <w:p w14:paraId="501FA511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 w14:paraId="53E63DE2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Table 3. Logistic analysis of the relationship between statin properties and delirium before and after PSM.</w:t>
      </w:r>
    </w:p>
    <w:tbl>
      <w:tblPr>
        <w:tblStyle w:val="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2248"/>
        <w:gridCol w:w="1190"/>
        <w:gridCol w:w="2248"/>
        <w:gridCol w:w="1192"/>
      </w:tblGrid>
      <w:tr w14:paraId="32E7F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single" w:color="000000" w:sz="12" w:space="0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2B955054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9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47B27133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Before PSM</w:t>
            </w:r>
          </w:p>
        </w:tc>
        <w:tc>
          <w:tcPr>
            <w:tcW w:w="2020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4F9A7C73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After PSM</w:t>
            </w:r>
          </w:p>
        </w:tc>
      </w:tr>
      <w:tr w14:paraId="74E27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nil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719E63CB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3687B998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OR, 95% CI</w:t>
            </w:r>
          </w:p>
        </w:tc>
        <w:tc>
          <w:tcPr>
            <w:tcW w:w="69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59D5D2A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3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70FA1C47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OR, 95% CI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020E3ACD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4CDB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single" w:color="auto" w:sz="4" w:space="0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2511761A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Non-statin vs.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Hydrophilic statins</w:t>
            </w:r>
          </w:p>
        </w:tc>
        <w:tc>
          <w:tcPr>
            <w:tcW w:w="13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60AED4FB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0.69 (0.53 - 0.91)</w:t>
            </w:r>
          </w:p>
        </w:tc>
        <w:tc>
          <w:tcPr>
            <w:tcW w:w="69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5B16C65A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0.008</w:t>
            </w:r>
          </w:p>
        </w:tc>
        <w:tc>
          <w:tcPr>
            <w:tcW w:w="13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4595D87E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0.83 (0.58 - 1.20)</w:t>
            </w:r>
          </w:p>
        </w:tc>
        <w:tc>
          <w:tcPr>
            <w:tcW w:w="7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2802ECA7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0.271</w:t>
            </w:r>
          </w:p>
        </w:tc>
      </w:tr>
      <w:tr w14:paraId="5BC69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</w:tcBorders>
            <w:shd w:val="clear" w:color="auto" w:fill="FFFFFF"/>
          </w:tcPr>
          <w:p w14:paraId="551F129B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Non-statin vs.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Lipophilic statins</w:t>
            </w:r>
          </w:p>
        </w:tc>
        <w:tc>
          <w:tcPr>
            <w:tcW w:w="13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68088C6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0.62 (0.52 - 0.72)</w:t>
            </w:r>
          </w:p>
        </w:tc>
        <w:tc>
          <w:tcPr>
            <w:tcW w:w="6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2798185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3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EF048CF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0.55 (0.44 - 0.69)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31CE075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</w:tbl>
    <w:p w14:paraId="342F7457">
      <w:pP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djusted for age, gender, vital sign,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color w:val="auto"/>
          <w:sz w:val="21"/>
          <w:szCs w:val="21"/>
        </w:rPr>
        <w:t>omorbidity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, lab events, treatment and disease severity scores.</w:t>
      </w:r>
    </w:p>
    <w:p w14:paraId="646953A0">
      <w:pP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Table 4. Logistic analysis of the relationship between statin dose and delirium before and after PSM.</w:t>
      </w:r>
    </w:p>
    <w:tbl>
      <w:tblPr>
        <w:tblStyle w:val="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2248"/>
        <w:gridCol w:w="1190"/>
        <w:gridCol w:w="2248"/>
        <w:gridCol w:w="1192"/>
      </w:tblGrid>
      <w:tr w14:paraId="12AAC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single" w:color="000000" w:sz="12" w:space="0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7C3019A0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9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5706AC3C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Before PSM</w:t>
            </w:r>
          </w:p>
        </w:tc>
        <w:tc>
          <w:tcPr>
            <w:tcW w:w="2020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5708F9D9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After PSM</w:t>
            </w:r>
          </w:p>
        </w:tc>
      </w:tr>
      <w:tr w14:paraId="165A4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nil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7683DBA8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2AC5A5BD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OR, 95% CI</w:t>
            </w:r>
          </w:p>
        </w:tc>
        <w:tc>
          <w:tcPr>
            <w:tcW w:w="69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01953D0D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3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32B1332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OR, 95% CI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7C63C481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1C6C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single" w:color="auto" w:sz="4" w:space="0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51A80E8B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Non-statin vs. Low-dose</w:t>
            </w:r>
          </w:p>
        </w:tc>
        <w:tc>
          <w:tcPr>
            <w:tcW w:w="13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4CB31266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0.62 (0.48 - 0.80)</w:t>
            </w:r>
          </w:p>
        </w:tc>
        <w:tc>
          <w:tcPr>
            <w:tcW w:w="69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0C8E2DC5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3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4EBDA469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0.65 (0.48 - 0.89)</w:t>
            </w:r>
          </w:p>
        </w:tc>
        <w:tc>
          <w:tcPr>
            <w:tcW w:w="7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4FE31F7F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0.006</w:t>
            </w:r>
          </w:p>
        </w:tc>
      </w:tr>
      <w:tr w14:paraId="45B56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</w:tcBorders>
            <w:shd w:val="clear" w:color="auto" w:fill="FFFFFF"/>
          </w:tcPr>
          <w:p w14:paraId="741CD256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Non-statin vs. High-dose</w:t>
            </w:r>
          </w:p>
        </w:tc>
        <w:tc>
          <w:tcPr>
            <w:tcW w:w="13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662A11D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0.66 (0.53 - 0.82)</w:t>
            </w:r>
          </w:p>
        </w:tc>
        <w:tc>
          <w:tcPr>
            <w:tcW w:w="6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BC7DD76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3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B3F3302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0.62 (0.49 - 0.80)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76A6310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</w:tbl>
    <w:p w14:paraId="2189D9DF">
      <w:pP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djusted for age, gender, vital sign,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color w:val="auto"/>
          <w:sz w:val="21"/>
          <w:szCs w:val="21"/>
        </w:rPr>
        <w:t>omorbidity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, lab events, treatment and disease severity scores.</w:t>
      </w:r>
    </w:p>
    <w:p w14:paraId="20A0D2F9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 w14:paraId="2F7F4575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 w14:paraId="51F52EE6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Table 5. Univariate and multivariable cox regression analysis before and after propensity score matching.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3"/>
        <w:gridCol w:w="1686"/>
        <w:gridCol w:w="892"/>
        <w:gridCol w:w="1686"/>
        <w:gridCol w:w="689"/>
      </w:tblGrid>
      <w:tr w14:paraId="09563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3" w:type="dxa"/>
            <w:tcBorders>
              <w:top w:val="single" w:color="000000" w:sz="12" w:space="0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2B904D50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Non-statin vs.Statin</w:t>
            </w:r>
          </w:p>
        </w:tc>
        <w:tc>
          <w:tcPr>
            <w:tcW w:w="2578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745AA628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Before PSM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3F7EECDD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After PSM</w:t>
            </w:r>
          </w:p>
        </w:tc>
      </w:tr>
      <w:tr w14:paraId="33FC1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3" w:type="dxa"/>
            <w:tcBorders>
              <w:top w:val="nil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6ABA3C60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265D1F8E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HR, 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6E408C3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323D2799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HR, 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296C8635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7D4B6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3846F418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30-day mortality</w:t>
            </w:r>
          </w:p>
        </w:tc>
        <w:tc>
          <w:tcPr>
            <w:tcW w:w="16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2D0E5152">
            <w:pPr>
              <w:widowControl w:val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1938B395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000C3455">
            <w:pPr>
              <w:widowControl w:val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70B48D47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E13F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C5EF13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Univariate Cox logistic analysis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E50228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0.69 (0.60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0.80)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D7EE6F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D8A6F4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BF0D54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0.019</w:t>
            </w:r>
          </w:p>
        </w:tc>
      </w:tr>
      <w:tr w14:paraId="040F0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096018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Multivariate Cox logistic analysis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0765A0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0.85 (0.73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0.99)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12D555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30AC6C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1.00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59C50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0.053</w:t>
            </w:r>
          </w:p>
        </w:tc>
      </w:tr>
      <w:tr w14:paraId="17058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206782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90-day mortality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6D1B70">
            <w:pPr>
              <w:widowControl w:val="0"/>
              <w:jc w:val="both"/>
              <w:rPr>
                <w:rFonts w:hint="default" w:ascii="Times New Roman" w:hAnsi="Times New Roman" w:cs="Times New Roman" w:eastAsiaTheme="minorHAnsi"/>
                <w:b w:val="0"/>
                <w:color w:val="000000"/>
                <w:sz w:val="21"/>
                <w:szCs w:val="21"/>
                <w:vertAlign w:val="baseline"/>
                <w:lang w:val="en-US" w:eastAsia="en-US" w:bidi="ar-S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6F313F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975DC2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7E714E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27CB6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50E481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Univariate Cox logistic analysis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BDC06C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0.67 (0.59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0.76)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7D3318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E1F7E6">
            <w:pPr>
              <w:widowControl w:val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40173E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  <w:t>0.003</w:t>
            </w:r>
          </w:p>
        </w:tc>
      </w:tr>
      <w:tr w14:paraId="51267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6AD731D4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Multivariate Cox logistic analysis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superscript"/>
                <w:lang w:val="en-US" w:eastAsia="zh-CN"/>
              </w:rPr>
              <w:t>1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2CF6AA78">
            <w:pPr>
              <w:widowControl w:val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0.80 (0.70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0.91)</w:t>
            </w:r>
          </w:p>
        </w:tc>
        <w:tc>
          <w:tcPr>
            <w:tcW w:w="8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0D41C9A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8773777">
            <w:pPr>
              <w:widowControl w:val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1ABBB0B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  <w:t>0.006</w:t>
            </w:r>
          </w:p>
        </w:tc>
      </w:tr>
    </w:tbl>
    <w:p w14:paraId="51378E43">
      <w:pPr>
        <w:rPr>
          <w:color w:val="auto"/>
        </w:rPr>
      </w:pPr>
      <w:r>
        <w:rPr>
          <w:rFonts w:hint="default" w:ascii="Times New Roman" w:hAnsi="Times New Roman" w:eastAsia="宋体" w:cs="Times New Roman"/>
          <w:b w:val="0"/>
          <w:color w:val="000000"/>
          <w:sz w:val="21"/>
          <w:szCs w:val="21"/>
          <w:vertAlign w:val="baseline"/>
          <w:lang w:val="en-US" w:eastAsia="zh-CN"/>
        </w:rPr>
        <w:t xml:space="preserve">Multivariate Cox logistic 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1"/>
          <w:vertAlign w:val="baseline"/>
          <w:lang w:val="en-US" w:eastAsia="zh-CN"/>
        </w:rPr>
        <w:t xml:space="preserve">analysis are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adjusted for age, gender,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color w:val="auto"/>
          <w:sz w:val="21"/>
          <w:szCs w:val="21"/>
        </w:rPr>
        <w:t>omorbidity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, vital sign, lab events, treatment and disease severity scores.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B34F91"/>
    <w:multiLevelType w:val="multilevel"/>
    <w:tmpl w:val="44B34F9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E4187"/>
    <w:rsid w:val="02D12B69"/>
    <w:rsid w:val="0A0D1256"/>
    <w:rsid w:val="16BB2B5F"/>
    <w:rsid w:val="22575153"/>
    <w:rsid w:val="277134F4"/>
    <w:rsid w:val="3098225C"/>
    <w:rsid w:val="36045B21"/>
    <w:rsid w:val="3B0E4187"/>
    <w:rsid w:val="3C947564"/>
    <w:rsid w:val="410B280B"/>
    <w:rsid w:val="4DAB4970"/>
    <w:rsid w:val="58EA086C"/>
    <w:rsid w:val="6A28078B"/>
    <w:rsid w:val="6DFA3C6B"/>
    <w:rsid w:val="75C5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536"/>
        <w:tab w:val="right" w:pos="9072"/>
      </w:tabs>
      <w:spacing w:after="0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semiHidden/>
    <w:unhideWhenUsed/>
    <w:qFormat/>
    <w:uiPriority w:val="0"/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1104</Words>
  <Characters>5507</Characters>
  <Lines>0</Lines>
  <Paragraphs>0</Paragraphs>
  <TotalTime>2</TotalTime>
  <ScaleCrop>false</ScaleCrop>
  <LinksUpToDate>false</LinksUpToDate>
  <CharactersWithSpaces>6165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2025-08-06T03:48:00Z</dcterms:created>
  <dc:creator>空格</dc:creator>
  <cp:lastModifiedBy>空格</cp:lastModifiedBy>
  <dcterms:modified xsi:type="dcterms:W3CDTF">2025-12-04T16:20:16Z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6176A2E18DB94423945431A41A3B91EB_11</vt:lpwstr>
  </property>
  <property fmtid="{D5CDD505-2E9C-101B-9397-08002B2CF9AE}" pid="4" name="KSOTemplateDocerSaveRecord">
    <vt:lpwstr>eyJoZGlkIjoiMDEwMTM5YjlmYzQ3NzY1ZDU2MDg3YzlhYmQ3YjkxOWEiLCJ1c2VySWQiOiI0MDkzNjY5MDYifQ==</vt:lpwstr>
  </property>
</Properties>
</file>