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D74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both"/>
        <w:rPr>
          <w:rFonts w:hint="default" w:ascii="Times New Roman" w:hAnsi="Times New Roman" w:eastAsia="CharisSIL" w:cs="Times New Roman"/>
          <w:b/>
          <w:bCs/>
          <w:color w:val="auto"/>
          <w:sz w:val="24"/>
          <w:szCs w:val="24"/>
          <w:lang w:val="en-US" w:eastAsia="zh-CN" w:bidi="ar"/>
        </w:rPr>
      </w:pPr>
    </w:p>
    <w:p w14:paraId="659D28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rPr>
          <w:rFonts w:hint="default" w:ascii="Times New Roman" w:hAnsi="Times New Roman" w:eastAsia="CharisSIL" w:cs="Times New Roman"/>
          <w:b/>
          <w:bCs/>
          <w:color w:val="auto"/>
          <w:sz w:val="24"/>
          <w:szCs w:val="24"/>
          <w:lang w:val="en-US" w:eastAsia="zh-CN" w:bidi="ar"/>
        </w:rPr>
      </w:pPr>
    </w:p>
    <w:p w14:paraId="4EC980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rPr>
          <w:rFonts w:hint="default" w:ascii="Times New Roman" w:hAnsi="Times New Roman" w:eastAsia="CharisSIL" w:cs="Times New Roman"/>
          <w:b/>
          <w:bCs/>
          <w:color w:val="auto"/>
          <w:sz w:val="24"/>
          <w:szCs w:val="24"/>
          <w:lang w:val="en-US" w:eastAsia="zh-CN" w:bidi="ar"/>
        </w:rPr>
      </w:pPr>
    </w:p>
    <w:p w14:paraId="612B07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rPr>
          <w:rFonts w:hint="default" w:ascii="Times New Roman" w:hAnsi="Times New Roman" w:eastAsia="CharisSIL" w:cs="Times New Roman"/>
          <w:b/>
          <w:bCs/>
          <w:color w:val="auto"/>
          <w:sz w:val="24"/>
          <w:szCs w:val="24"/>
          <w:lang w:val="en-US" w:eastAsia="zh-CN" w:bidi="ar"/>
        </w:rPr>
      </w:pPr>
    </w:p>
    <w:p w14:paraId="094A74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rPr>
          <w:rFonts w:hint="default" w:ascii="Times New Roman" w:hAnsi="Times New Roman" w:eastAsia="CharisSIL" w:cs="Times New Roman"/>
          <w:b/>
          <w:bCs/>
          <w:color w:val="auto"/>
          <w:sz w:val="24"/>
          <w:szCs w:val="24"/>
          <w:lang w:val="en-US" w:eastAsia="zh-CN" w:bidi="ar"/>
        </w:rPr>
      </w:pPr>
    </w:p>
    <w:p w14:paraId="629E83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rPr>
          <w:rFonts w:hint="default" w:ascii="Times New Roman" w:hAnsi="Times New Roman" w:eastAsia="CharisSIL" w:cs="Times New Roman"/>
          <w:b/>
          <w:bCs/>
          <w:color w:val="auto"/>
          <w:sz w:val="24"/>
          <w:szCs w:val="24"/>
          <w:lang w:val="en-US" w:eastAsia="zh-CN" w:bidi="ar"/>
        </w:rPr>
      </w:pPr>
    </w:p>
    <w:p w14:paraId="6B83C9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rPr>
          <w:rFonts w:hint="default" w:ascii="Times New Roman" w:hAnsi="Times New Roman" w:eastAsia="CharisSIL" w:cs="Times New Roman"/>
          <w:b/>
          <w:bCs/>
          <w:color w:val="auto"/>
          <w:sz w:val="24"/>
          <w:szCs w:val="24"/>
          <w:lang w:val="en-US" w:eastAsia="zh-CN" w:bidi="ar"/>
        </w:rPr>
      </w:pPr>
    </w:p>
    <w:p w14:paraId="6A2D1271">
      <w:pPr>
        <w:jc w:val="center"/>
        <w:rPr>
          <w:rFonts w:hint="default" w:ascii="Times New Roman" w:hAnsi="Times New Roman" w:eastAsia="CharisSIL" w:cs="Times New Roman"/>
          <w:b/>
          <w:bCs/>
          <w:color w:val="auto"/>
          <w:sz w:val="52"/>
          <w:szCs w:val="52"/>
          <w:lang w:val="en-US" w:eastAsia="zh-CN" w:bidi="ar"/>
        </w:rPr>
      </w:pPr>
    </w:p>
    <w:p w14:paraId="378470DA">
      <w:pPr>
        <w:jc w:val="center"/>
        <w:rPr>
          <w:rFonts w:hint="default" w:ascii="Times New Roman" w:hAnsi="Times New Roman" w:eastAsia="CharisSIL" w:cs="Times New Roman"/>
          <w:b/>
          <w:bCs/>
          <w:color w:val="auto"/>
          <w:sz w:val="52"/>
          <w:szCs w:val="52"/>
          <w:lang w:val="en-US" w:eastAsia="zh-CN" w:bidi="ar"/>
        </w:rPr>
      </w:pPr>
    </w:p>
    <w:p w14:paraId="772DBC32">
      <w:pPr>
        <w:jc w:val="center"/>
        <w:rPr>
          <w:rFonts w:hint="default" w:ascii="Times New Roman" w:hAnsi="Times New Roman" w:eastAsia="CharisSIL" w:cs="Times New Roman"/>
          <w:b/>
          <w:bCs/>
          <w:color w:val="auto"/>
          <w:sz w:val="52"/>
          <w:szCs w:val="52"/>
          <w:lang w:val="en-US" w:eastAsia="zh-CN" w:bidi="ar"/>
        </w:rPr>
      </w:pPr>
    </w:p>
    <w:p w14:paraId="666501C7">
      <w:pPr>
        <w:jc w:val="center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CharisSIL" w:cs="Times New Roman"/>
          <w:b/>
          <w:bCs/>
          <w:color w:val="auto"/>
          <w:sz w:val="52"/>
          <w:szCs w:val="52"/>
          <w:lang w:val="en-US" w:eastAsia="zh-CN" w:bidi="ar"/>
        </w:rPr>
        <w:t>Supplementary Material</w:t>
      </w:r>
    </w:p>
    <w:p w14:paraId="6776354A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53B7FB86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2DFD7C73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64673527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60D144EB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1F6B15DE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5D9FAC56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29DF35D8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625C00E2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51BF1BB1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393F10A8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001AE915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36322309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2EB8BD6A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67067076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0B64E520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3C992632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57F8FFFC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0B305A9B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0EBFD3BF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1C2DE8FC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21E17CFC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3BE3819F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04534951">
      <w:pP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</w:pPr>
    </w:p>
    <w:p w14:paraId="4BE49F50">
      <w:pPr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Supplementary Table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 The calculation method of the inflammatory markers</w:t>
      </w:r>
    </w:p>
    <w:p w14:paraId="122CBF8B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tbl>
      <w:tblPr>
        <w:tblStyle w:val="3"/>
        <w:tblpPr w:leftFromText="180" w:rightFromText="180" w:vertAnchor="text" w:horzAnchor="margin" w:tblpY="2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6405"/>
      </w:tblGrid>
      <w:tr w14:paraId="5689A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4" w:space="0"/>
              <w:bottom w:val="single" w:color="auto" w:sz="4" w:space="0"/>
            </w:tcBorders>
          </w:tcPr>
          <w:p w14:paraId="56349B25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Inflammatory markers</w:t>
            </w:r>
          </w:p>
        </w:tc>
        <w:tc>
          <w:tcPr>
            <w:tcW w:w="10976" w:type="dxa"/>
            <w:tcBorders>
              <w:top w:val="single" w:color="auto" w:sz="4" w:space="0"/>
              <w:bottom w:val="single" w:color="auto" w:sz="4" w:space="0"/>
            </w:tcBorders>
          </w:tcPr>
          <w:p w14:paraId="3B30B482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Calculation method</w:t>
            </w:r>
          </w:p>
        </w:tc>
      </w:tr>
      <w:tr w14:paraId="051EE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4" w:space="0"/>
            </w:tcBorders>
          </w:tcPr>
          <w:p w14:paraId="7A6E4B49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SII</w:t>
            </w:r>
          </w:p>
        </w:tc>
        <w:tc>
          <w:tcPr>
            <w:tcW w:w="10976" w:type="dxa"/>
            <w:tcBorders>
              <w:top w:val="single" w:color="auto" w:sz="4" w:space="0"/>
            </w:tcBorders>
          </w:tcPr>
          <w:p w14:paraId="744B3AE2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Neutrophil count × platelet count / lymphocyte count</w:t>
            </w:r>
          </w:p>
        </w:tc>
      </w:tr>
      <w:tr w14:paraId="476D7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0E1B3BEA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SIRI</w:t>
            </w:r>
          </w:p>
        </w:tc>
        <w:tc>
          <w:tcPr>
            <w:tcW w:w="10976" w:type="dxa"/>
          </w:tcPr>
          <w:p w14:paraId="45D6404C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Neutrophil count × monocyte count / lymphocyte count</w:t>
            </w:r>
          </w:p>
        </w:tc>
      </w:tr>
      <w:tr w14:paraId="0DDB1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4D924089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PIV</w:t>
            </w:r>
          </w:p>
        </w:tc>
        <w:tc>
          <w:tcPr>
            <w:tcW w:w="10976" w:type="dxa"/>
          </w:tcPr>
          <w:p w14:paraId="7EC2AFB1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Neutrophil count × platelet count × monocyte count / lymphocyte count</w:t>
            </w:r>
          </w:p>
        </w:tc>
      </w:tr>
      <w:tr w14:paraId="486B0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290F5FF4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NPAR</w:t>
            </w:r>
          </w:p>
        </w:tc>
        <w:tc>
          <w:tcPr>
            <w:tcW w:w="10976" w:type="dxa"/>
          </w:tcPr>
          <w:p w14:paraId="4DE0E982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Neutrophil count (%) / albumin (g/dL)</w:t>
            </w:r>
          </w:p>
        </w:tc>
      </w:tr>
      <w:tr w14:paraId="4A161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4BF3E53E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PLR</w:t>
            </w:r>
          </w:p>
        </w:tc>
        <w:tc>
          <w:tcPr>
            <w:tcW w:w="10976" w:type="dxa"/>
          </w:tcPr>
          <w:p w14:paraId="66AE5C41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Platelet count / lymphocyte count</w:t>
            </w:r>
          </w:p>
        </w:tc>
      </w:tr>
      <w:tr w14:paraId="0CEDD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4C6C49D5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NLR</w:t>
            </w:r>
          </w:p>
        </w:tc>
        <w:tc>
          <w:tcPr>
            <w:tcW w:w="10976" w:type="dxa"/>
          </w:tcPr>
          <w:p w14:paraId="71596112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Neutrophil-to-lymphocyte ratio</w:t>
            </w:r>
          </w:p>
        </w:tc>
      </w:tr>
      <w:tr w14:paraId="0DFD6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bottom w:val="single" w:color="auto" w:sz="4" w:space="0"/>
            </w:tcBorders>
          </w:tcPr>
          <w:p w14:paraId="1A675393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AGR</w:t>
            </w:r>
          </w:p>
        </w:tc>
        <w:tc>
          <w:tcPr>
            <w:tcW w:w="10976" w:type="dxa"/>
            <w:tcBorders>
              <w:bottom w:val="single" w:color="auto" w:sz="4" w:space="0"/>
            </w:tcBorders>
          </w:tcPr>
          <w:p w14:paraId="08FDDC69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Albumin concentration / globulin concentration.</w:t>
            </w:r>
          </w:p>
        </w:tc>
      </w:tr>
    </w:tbl>
    <w:p w14:paraId="611F1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SII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 systemic immune-inflammation index; SIRI, systemic inflammation response index; PIV, pan-immune-inflammation value;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NPAR, neutrophil-percentage-to-albumin ratio; PLR, platelet-to-lymphocyte ratio; NLR, neutrophil-to-lymphocyte ratio; AGR, albumin-to-globulin ratio. </w:t>
      </w:r>
    </w:p>
    <w:p w14:paraId="2DA1AEA6">
      <w:pPr>
        <w:rPr>
          <w:rFonts w:hint="default" w:ascii="Times New Roman" w:hAnsi="Times New Roman" w:cs="Times New Roman"/>
          <w:color w:val="auto"/>
        </w:rPr>
      </w:pPr>
    </w:p>
    <w:p w14:paraId="04498B7D">
      <w:pPr>
        <w:rPr>
          <w:rFonts w:hint="default" w:ascii="Times New Roman" w:hAnsi="Times New Roman" w:cs="Times New Roman"/>
          <w:color w:val="auto"/>
        </w:rPr>
      </w:pPr>
    </w:p>
    <w:p w14:paraId="28419C42">
      <w:pPr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Supplementary Table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. The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iagnostic criteria for hypertension and diabetes.</w:t>
      </w:r>
    </w:p>
    <w:p w14:paraId="5BDCE209">
      <w:pPr>
        <w:rPr>
          <w:rFonts w:hint="default" w:ascii="Times New Roman" w:hAnsi="Times New Roman" w:cs="Times New Roman"/>
          <w:color w:val="auto"/>
        </w:rPr>
      </w:pPr>
    </w:p>
    <w:tbl>
      <w:tblPr>
        <w:tblStyle w:val="3"/>
        <w:tblpPr w:leftFromText="180" w:rightFromText="180" w:vertAnchor="text" w:horzAnchor="margin" w:tblpY="2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C35B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bottom w:val="single" w:color="auto" w:sz="4" w:space="0"/>
            </w:tcBorders>
          </w:tcPr>
          <w:p w14:paraId="618D005F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The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iagnostic criteria for hypertension and diabetes</w:t>
            </w:r>
          </w:p>
        </w:tc>
      </w:tr>
      <w:tr w14:paraId="1662B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bottom w:val="nil"/>
            </w:tcBorders>
          </w:tcPr>
          <w:p w14:paraId="5E8F0D89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ypertension</w:t>
            </w:r>
          </w:p>
        </w:tc>
      </w:tr>
      <w:tr w14:paraId="6BB50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</w:tcBorders>
          </w:tcPr>
          <w:p w14:paraId="04E80184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(1) </w:t>
            </w:r>
            <w:r>
              <w:rPr>
                <w:rFonts w:hint="default" w:ascii="Times New Roman" w:hAnsi="Times New Roman" w:cs="Times New Roman"/>
                <w:color w:val="auto"/>
              </w:rPr>
              <w:t>previously diagnosed with hypertension by a physician</w:t>
            </w:r>
          </w:p>
        </w:tc>
      </w:tr>
      <w:tr w14:paraId="612D5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1AC794C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(2) </w:t>
            </w:r>
            <w:r>
              <w:rPr>
                <w:rFonts w:hint="default" w:ascii="Times New Roman" w:hAnsi="Times New Roman" w:cs="Times New Roman"/>
                <w:color w:val="auto"/>
              </w:rPr>
              <w:t>an abnormal average blood pressure</w:t>
            </w:r>
          </w:p>
        </w:tc>
      </w:tr>
      <w:tr w14:paraId="62A2C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0E8ADA8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(3) </w:t>
            </w:r>
            <w:r>
              <w:rPr>
                <w:rFonts w:hint="default" w:ascii="Times New Roman" w:hAnsi="Times New Roman" w:cs="Times New Roman"/>
                <w:color w:val="auto"/>
              </w:rPr>
              <w:t>the use of anti-hypertensive medication</w:t>
            </w:r>
          </w:p>
        </w:tc>
      </w:tr>
      <w:tr w14:paraId="4CB99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558AD6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</w:rPr>
              <w:t>iabetes mellitus</w:t>
            </w:r>
          </w:p>
        </w:tc>
      </w:tr>
      <w:tr w14:paraId="76C7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4E38145A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(1) </w:t>
            </w:r>
            <w:r>
              <w:rPr>
                <w:rFonts w:hint="default" w:ascii="Times New Roman" w:hAnsi="Times New Roman" w:cs="Times New Roman"/>
                <w:color w:val="auto"/>
              </w:rPr>
              <w:t>having been diagnosed with diabetes mellitus by a physician</w:t>
            </w:r>
          </w:p>
        </w:tc>
      </w:tr>
      <w:tr w14:paraId="1FC50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E1B5E3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(2) </w:t>
            </w:r>
            <w:r>
              <w:rPr>
                <w:rFonts w:hint="default" w:ascii="Times New Roman" w:hAnsi="Times New Roman" w:cs="Times New Roman"/>
                <w:color w:val="auto"/>
              </w:rPr>
              <w:t>glycosylated hemoglobin≥6.5%</w:t>
            </w:r>
          </w:p>
        </w:tc>
      </w:tr>
      <w:tr w14:paraId="24C62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2E35023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(3) </w:t>
            </w:r>
            <w:r>
              <w:rPr>
                <w:rFonts w:hint="default" w:ascii="Times New Roman" w:hAnsi="Times New Roman" w:cs="Times New Roman"/>
                <w:color w:val="auto"/>
              </w:rPr>
              <w:t>fasting blood glucose≥7.0 mmol/L</w:t>
            </w:r>
          </w:p>
        </w:tc>
      </w:tr>
      <w:tr w14:paraId="6AC60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6E3DE2E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(4) </w:t>
            </w:r>
            <w:r>
              <w:rPr>
                <w:rFonts w:hint="default" w:ascii="Times New Roman" w:hAnsi="Times New Roman" w:cs="Times New Roman"/>
                <w:color w:val="auto"/>
              </w:rPr>
              <w:t>random blood glucose≥11.1 mmol/L</w:t>
            </w:r>
          </w:p>
        </w:tc>
      </w:tr>
      <w:tr w14:paraId="2AC1F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690411B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(5) </w:t>
            </w:r>
            <w:r>
              <w:rPr>
                <w:rFonts w:hint="default" w:ascii="Times New Roman" w:hAnsi="Times New Roman" w:cs="Times New Roman"/>
                <w:color w:val="auto"/>
              </w:rPr>
              <w:t>OGTT≥11.1 mmol/L</w:t>
            </w:r>
          </w:p>
        </w:tc>
      </w:tr>
      <w:tr w14:paraId="17EED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bottom w:val="single" w:color="auto" w:sz="4" w:space="0"/>
            </w:tcBorders>
          </w:tcPr>
          <w:p w14:paraId="5A67F46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(6) </w:t>
            </w:r>
            <w:r>
              <w:rPr>
                <w:rFonts w:hint="default" w:ascii="Times New Roman" w:hAnsi="Times New Roman" w:cs="Times New Roman"/>
                <w:color w:val="auto"/>
              </w:rPr>
              <w:t>use of antidiabetic medication or insulin</w:t>
            </w:r>
          </w:p>
        </w:tc>
      </w:tr>
    </w:tbl>
    <w:p w14:paraId="5EF864BF">
      <w:pPr>
        <w:rPr>
          <w:rFonts w:hint="default" w:ascii="Times New Roman" w:hAnsi="Times New Roman" w:cs="Times New Roman"/>
          <w:color w:val="auto"/>
        </w:rPr>
      </w:pPr>
    </w:p>
    <w:p w14:paraId="6C69E7EC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2D6EC1F2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522C536C"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Supplementary Table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 The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c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lassification 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criteria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for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smoking status.</w:t>
      </w:r>
    </w:p>
    <w:p w14:paraId="15129247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tbl>
      <w:tblPr>
        <w:tblStyle w:val="3"/>
        <w:tblpPr w:leftFromText="180" w:rightFromText="180" w:vertAnchor="text" w:horzAnchor="margin" w:tblpY="2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6405"/>
      </w:tblGrid>
      <w:tr w14:paraId="5CD40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7" w:type="dxa"/>
            <w:tcBorders>
              <w:top w:val="single" w:color="auto" w:sz="4" w:space="0"/>
              <w:bottom w:val="single" w:color="auto" w:sz="4" w:space="0"/>
            </w:tcBorders>
          </w:tcPr>
          <w:p w14:paraId="6A7F8DE9">
            <w:pP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Smoking status</w:t>
            </w:r>
          </w:p>
        </w:tc>
        <w:tc>
          <w:tcPr>
            <w:tcW w:w="6405" w:type="dxa"/>
            <w:tcBorders>
              <w:top w:val="single" w:color="auto" w:sz="4" w:space="0"/>
              <w:bottom w:val="single" w:color="auto" w:sz="4" w:space="0"/>
            </w:tcBorders>
          </w:tcPr>
          <w:p w14:paraId="51465836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Classification method</w:t>
            </w:r>
          </w:p>
        </w:tc>
      </w:tr>
      <w:tr w14:paraId="17362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7" w:type="dxa"/>
            <w:tcBorders>
              <w:top w:val="single" w:color="auto" w:sz="4" w:space="0"/>
            </w:tcBorders>
          </w:tcPr>
          <w:p w14:paraId="1614CA84">
            <w:pP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Never</w:t>
            </w:r>
          </w:p>
        </w:tc>
        <w:tc>
          <w:tcPr>
            <w:tcW w:w="6405" w:type="dxa"/>
            <w:tcBorders>
              <w:top w:val="single" w:color="auto" w:sz="4" w:space="0"/>
            </w:tcBorders>
          </w:tcPr>
          <w:p w14:paraId="0196503A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100 cigarettes over one's life</w:t>
            </w:r>
          </w:p>
        </w:tc>
      </w:tr>
      <w:tr w14:paraId="52C74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7" w:type="dxa"/>
          </w:tcPr>
          <w:p w14:paraId="04C409E1">
            <w:pP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Former</w:t>
            </w:r>
          </w:p>
        </w:tc>
        <w:tc>
          <w:tcPr>
            <w:tcW w:w="6405" w:type="dxa"/>
          </w:tcPr>
          <w:p w14:paraId="288A7FA2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＞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100 cigarettes over one's life, now no smoking at all</w:t>
            </w:r>
          </w:p>
        </w:tc>
      </w:tr>
      <w:tr w14:paraId="170FE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7" w:type="dxa"/>
            <w:tcBorders>
              <w:bottom w:val="single" w:color="auto" w:sz="4" w:space="0"/>
            </w:tcBorders>
          </w:tcPr>
          <w:p w14:paraId="61E8F05B">
            <w:pP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Now</w:t>
            </w:r>
          </w:p>
        </w:tc>
        <w:tc>
          <w:tcPr>
            <w:tcW w:w="6405" w:type="dxa"/>
            <w:tcBorders>
              <w:bottom w:val="single" w:color="auto" w:sz="4" w:space="0"/>
            </w:tcBorders>
          </w:tcPr>
          <w:p w14:paraId="4EBAECBE"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＞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100 cigarettes over one's life, sometimes or every day</w:t>
            </w:r>
          </w:p>
        </w:tc>
      </w:tr>
    </w:tbl>
    <w:p w14:paraId="71D35AD1">
      <w:pPr>
        <w:rPr>
          <w:rFonts w:hint="default" w:ascii="Times New Roman" w:hAnsi="Times New Roman" w:cs="Times New Roman"/>
          <w:color w:val="auto"/>
        </w:rPr>
      </w:pPr>
    </w:p>
    <w:p w14:paraId="009B13B5">
      <w:pPr>
        <w:rPr>
          <w:rFonts w:hint="default" w:ascii="Times New Roman" w:hAnsi="Times New Roman" w:cs="Times New Roman"/>
          <w:color w:val="auto"/>
        </w:rPr>
      </w:pPr>
    </w:p>
    <w:p w14:paraId="698EC0AC">
      <w:pPr>
        <w:rPr>
          <w:rFonts w:hint="default" w:ascii="Times New Roman" w:hAnsi="Times New Roman" w:cs="Times New Roman"/>
          <w:color w:val="auto"/>
        </w:rPr>
      </w:pPr>
    </w:p>
    <w:p w14:paraId="1439E057">
      <w:pPr>
        <w:rPr>
          <w:rFonts w:hint="default" w:ascii="Times New Roman" w:hAnsi="Times New Roman" w:cs="Times New Roman"/>
          <w:color w:val="auto"/>
        </w:rPr>
      </w:pPr>
    </w:p>
    <w:p w14:paraId="0B26B8A1">
      <w:pPr>
        <w:rPr>
          <w:rFonts w:hint="default" w:ascii="Times New Roman" w:hAnsi="Times New Roman" w:cs="Times New Roman"/>
          <w:color w:val="auto"/>
        </w:rPr>
      </w:pPr>
    </w:p>
    <w:p w14:paraId="62973530">
      <w:pPr>
        <w:rPr>
          <w:rFonts w:hint="default" w:ascii="Times New Roman" w:hAnsi="Times New Roman" w:cs="Times New Roman"/>
          <w:color w:val="auto"/>
        </w:rPr>
      </w:pPr>
    </w:p>
    <w:p w14:paraId="084D5608">
      <w:pPr>
        <w:rPr>
          <w:rFonts w:hint="default" w:ascii="Times New Roman" w:hAnsi="Times New Roman" w:cs="Times New Roman"/>
          <w:color w:val="auto"/>
        </w:rPr>
      </w:pPr>
    </w:p>
    <w:p w14:paraId="3EA5CD5E">
      <w:pPr>
        <w:rPr>
          <w:rFonts w:hint="default" w:ascii="Times New Roman" w:hAnsi="Times New Roman" w:cs="Times New Roman"/>
          <w:color w:val="auto"/>
        </w:rPr>
      </w:pPr>
    </w:p>
    <w:p w14:paraId="3655CA36">
      <w:pPr>
        <w:rPr>
          <w:rFonts w:hint="default" w:ascii="Times New Roman" w:hAnsi="Times New Roman" w:cs="Times New Roman"/>
          <w:color w:val="auto"/>
        </w:rPr>
      </w:pPr>
    </w:p>
    <w:p w14:paraId="3DF0A102">
      <w:pPr>
        <w:rPr>
          <w:rFonts w:hint="default" w:ascii="Times New Roman" w:hAnsi="Times New Roman" w:cs="Times New Roman"/>
          <w:color w:val="auto"/>
        </w:rPr>
      </w:pPr>
    </w:p>
    <w:p w14:paraId="1CEA32F8">
      <w:pPr>
        <w:rPr>
          <w:rFonts w:hint="default" w:ascii="Times New Roman" w:hAnsi="Times New Roman" w:cs="Times New Roman"/>
          <w:color w:val="auto"/>
        </w:rPr>
      </w:pPr>
    </w:p>
    <w:p w14:paraId="643FACB3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lang w:eastAsia="zh-CN"/>
        </w:rPr>
        <w:drawing>
          <wp:inline distT="0" distB="0" distL="114300" distR="114300">
            <wp:extent cx="5837555" cy="1365885"/>
            <wp:effectExtent l="0" t="0" r="1905" b="3175"/>
            <wp:docPr id="1" name="图片 1" descr="supplementary material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material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37555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1EE08">
      <w:pPr>
        <w:rPr>
          <w:rFonts w:hint="default" w:ascii="Times New Roman" w:hAnsi="Times New Roman" w:cs="Times New Roman"/>
          <w:color w:val="auto"/>
          <w:sz w:val="24"/>
        </w:rPr>
      </w:pPr>
    </w:p>
    <w:p w14:paraId="3564EC0E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Supplementary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Fig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1. Kaplan-Meier curves displayed for all-cause mortality (A), CVD mortality (B) and cancer mortality (C) across four SIRI groups</w:t>
      </w:r>
    </w:p>
    <w:p w14:paraId="122510BC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3F1300CF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3BD82D74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4AAE8922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7FF3184E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582A09E1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6911F013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5B3764BD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41922BA1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lang w:eastAsia="zh-CN"/>
        </w:rPr>
        <w:drawing>
          <wp:inline distT="0" distB="0" distL="114300" distR="114300">
            <wp:extent cx="5791835" cy="1293495"/>
            <wp:effectExtent l="0" t="0" r="5715" b="5715"/>
            <wp:docPr id="2" name="图片 2" descr="supplementary material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material fig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183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22663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69FF1A52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Supplementary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Fig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 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2. RCS curves between SIRI and all-cause mortality (A), CVD mortality (B), and cancer mortality (C)</w:t>
      </w:r>
    </w:p>
    <w:p w14:paraId="2393B9E7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3948C1D8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12B25B8D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18D2C32B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46764561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1A8FABE9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48075D4B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41CE1484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1EB4762F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085F71BC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0B4424E0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Supplementary Table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. The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ubgroup analysis of the joint association of sedentary time and SIRI with all-cause mortality</w:t>
      </w:r>
    </w:p>
    <w:p w14:paraId="541DB5AF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tbl>
      <w:tblPr>
        <w:tblStyle w:val="2"/>
        <w:tblW w:w="9196" w:type="dxa"/>
        <w:tblInd w:w="9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006"/>
        <w:gridCol w:w="1463"/>
        <w:gridCol w:w="625"/>
        <w:gridCol w:w="1421"/>
        <w:gridCol w:w="592"/>
        <w:gridCol w:w="1463"/>
        <w:gridCol w:w="566"/>
        <w:gridCol w:w="714"/>
        <w:gridCol w:w="564"/>
      </w:tblGrid>
      <w:tr w14:paraId="7C4E0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8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2C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All-cause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497D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SIRI &lt;0.81 &amp; sedentary &lt;3.61</w:t>
            </w: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4232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SIRI &lt;0.81 &amp; Sedentary ≥3.81</w:t>
            </w:r>
          </w:p>
        </w:tc>
        <w:tc>
          <w:tcPr>
            <w:tcW w:w="6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78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5884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SIRI ≥0.81 &amp; Sedentary &lt;3.81</w:t>
            </w: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D41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D76FC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SIRI ≥0.81 &amp; Sedentary ≥3.81</w:t>
            </w: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F8C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59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for trend</w:t>
            </w: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7C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for interaction</w:t>
            </w:r>
          </w:p>
        </w:tc>
      </w:tr>
      <w:tr w14:paraId="18E7D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1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Age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70680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B3A33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4CB37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5FB96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54644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9F201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7B2EB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0CB43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E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0.124</w:t>
            </w:r>
          </w:p>
        </w:tc>
      </w:tr>
      <w:tr w14:paraId="7CAB2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&lt;60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C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F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0.574(0.272,1.211)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0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0.145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7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0.913(0.458,1.819)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C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0.796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2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1.170(0.646,2.119)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7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0.606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F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0.024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8701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4E2FD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6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≥60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0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E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1.600(1.008,2.538)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7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0.046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5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1.749(1.057,2.895)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9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0.03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1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2.017(1.324,3.072)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F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0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0.006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114D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1BF4F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3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Sex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6F066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CEC83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EB6FD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82CD3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D558A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34447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0442E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FE336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3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0.359</w:t>
            </w:r>
          </w:p>
        </w:tc>
      </w:tr>
      <w:tr w14:paraId="16EEA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5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Male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4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4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1.395(0.730,2.666)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A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0.314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4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1.462(0.740,2.889)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5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0.274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5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1.646(0.897,3.021)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F2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0.108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A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0.127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9204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5FAEC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7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Female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C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4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0.974(0.563,1.684)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C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0.924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0A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1.262(0.615,2.589)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C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0.526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6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1.631(1.001,2.717)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0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0.049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AD20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44467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C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Hypertension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06F30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2F547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216B6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70708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8F05E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A3FB3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FFC2C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8D259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0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0.291</w:t>
            </w:r>
          </w:p>
        </w:tc>
      </w:tr>
      <w:tr w14:paraId="455A1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0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No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8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0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0.789(0.337,1.848)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6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0.585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7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1.371(0.595,3.162)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3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0.459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9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1.047(0.480,2.284)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E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0.908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8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0.521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5A18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16575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6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1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4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1.287(0.790,2.095)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9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0.311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4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1.372(0.830,2.265)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0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0.217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3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1.879(1.235,2.858)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B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&lt;0.0001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9028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5CC7B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8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Diabetes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D48B4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321B8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0EE18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7077D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71A55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908FA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EE99C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9DB2D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0.683</w:t>
            </w:r>
          </w:p>
        </w:tc>
      </w:tr>
      <w:tr w14:paraId="7584E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F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No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7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1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0.953(0.544,1.669)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8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0.865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7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1.183(0.663,2.110)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0.57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D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1.259(0.780,2.033)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1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0.346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2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0.061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EA4C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33C42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8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A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A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1.571(0.825,2.992)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B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0.169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7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1.773(0.921,3.415)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C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0.087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6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2.387(1.339,4.254)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B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75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B44C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76C69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9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Smoke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85210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3A458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7C91D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E2C0F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DB70F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66848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CF140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BDB36">
            <w:pPr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0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0.971</w:t>
            </w:r>
          </w:p>
        </w:tc>
      </w:tr>
      <w:tr w14:paraId="0BA24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never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0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D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1.239(0.730,2.103)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4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0.427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9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1.298(0.748,2.250)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4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0.354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1.743(1.104,2.753)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C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0.017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8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0.007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F538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24D6E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C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former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4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5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0.991(0.437,2.246)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5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0.983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F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1.196(0.519,2.757)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3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0.675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EB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1.310(0.639,2.687)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A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0.461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C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0.122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D80C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4DC4C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3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now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A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2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1.018(0.291, 3.553)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9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0.978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2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1.518(0.466, 4.948)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6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0.489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6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1.768(0.536, 5.836)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0.349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C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0.104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D772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68271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A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BMI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4C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E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9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1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8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A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9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0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8C6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2"/>
                <w:sz w:val="15"/>
                <w:szCs w:val="15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0.599</w:t>
            </w:r>
          </w:p>
        </w:tc>
      </w:tr>
      <w:tr w14:paraId="1BDDE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0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＜25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5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8A1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(0.11, 66.5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D1B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0.54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D87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11.7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(0.4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,295.97)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68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0.135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AEC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3.92(0.1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,119.17)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C4E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0.433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AB3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0.336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7CB8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37A53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E0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≥25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FD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FBFB8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(0.72,1.7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DC7D7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0.638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50603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1.35(0.8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,2.20)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88326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0.23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6CCCC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1.60(1.1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,2.3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FBA1B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0.012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B8BB4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46B74F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</w:tbl>
    <w:p w14:paraId="35ECEAF7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25FC0B61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00CAB560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3C3A9FC5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5D281B82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Supplementary Table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. The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ubgroup analysis of the joint association of sedentary time and SIRI with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CVD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mortality</w:t>
      </w:r>
    </w:p>
    <w:p w14:paraId="132332C3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tbl>
      <w:tblPr>
        <w:tblStyle w:val="2"/>
        <w:tblW w:w="9164" w:type="dxa"/>
        <w:tblInd w:w="9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778"/>
        <w:gridCol w:w="1548"/>
        <w:gridCol w:w="566"/>
        <w:gridCol w:w="1514"/>
        <w:gridCol w:w="558"/>
        <w:gridCol w:w="1564"/>
        <w:gridCol w:w="558"/>
        <w:gridCol w:w="668"/>
        <w:gridCol w:w="595"/>
      </w:tblGrid>
      <w:tr w14:paraId="6FA5A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270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CVD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E07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SIRI &lt;0.81 &amp; sedentary &lt;6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BED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SIRI &lt;0.81 &amp; Sedentary ≥6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F33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CC9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SIRI ≥0.81 &amp; Sedentary &lt;6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A33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C29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SIRI ≥0.81 &amp; Sedentary ≥6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7FB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2CF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for trend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C74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P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for interaction</w:t>
            </w:r>
          </w:p>
        </w:tc>
      </w:tr>
      <w:tr w14:paraId="7B0F4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18D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B95E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0D632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F5C5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CACE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8871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E4D7B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FC8E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3216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4EC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0.252</w:t>
            </w:r>
          </w:p>
        </w:tc>
      </w:tr>
      <w:tr w14:paraId="73D94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1EB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&lt;60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C03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01D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2.699(0.671,10.847)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CE8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0.162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743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3.407(0.887,13.092)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F89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0.074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8D7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2.904(0.770,10.945)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FB1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0.115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996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5E92E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63F3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CF3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≥60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8D2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6B5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1.065(0.583,1.946)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DF3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0.837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998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1.196(0.701,2.041)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0D1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0.511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28F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2.141(1.264,3.628)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C88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CC6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91FDC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46FEB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94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Sex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B84BE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3D0D7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BC4D4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F3863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80CD1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2FAB9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68321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205EA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5D7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0.155</w:t>
            </w:r>
          </w:p>
        </w:tc>
      </w:tr>
      <w:tr w14:paraId="4AF7F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E3E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Male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492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0A1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1.254(0.520,3.028)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AE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0.614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60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1.624(0.862,3.059)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A23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0.134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A46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2.001(1.053,3.800)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9D6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0.034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512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0.042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C78F0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1CB03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D9E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Female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74E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B43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1.497(0.577,3.888)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F88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0.407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920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1.244(0.541,2.863)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714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0.607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16D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3.082(1.451,6.545)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10D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0.003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959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56C3A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0E2A1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0DD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Hypertension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D8F87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5BC69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93404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50170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D290C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D11B4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F98E8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EDAFC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2CD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0.302</w:t>
            </w:r>
          </w:p>
        </w:tc>
      </w:tr>
      <w:tr w14:paraId="39537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DF8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AA4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FBD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2.529(0.672,9.523)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47F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266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2.760(0.958,7.951)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4F2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0.06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F75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2.728(0.961,7.749)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8B9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0D1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0.083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35943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2F7A2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169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Yes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202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DB8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1.142(0.584,2.232)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516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0.698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406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1.401(0.803,2.445)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DE3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0.235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7C0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2.363(1.389,4.020)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E03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0.002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A99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A9055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2C565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670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Diabetes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B2178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534AB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1E5E3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786FD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519F3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1AEC9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BB033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805A8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113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0.899</w:t>
            </w:r>
          </w:p>
        </w:tc>
      </w:tr>
      <w:tr w14:paraId="04CA4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73F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089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59D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1.391(0.586,3.303)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3FD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0.454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BC6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1.600(0.741,3.456)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5D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0.232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EB1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2.193(1.069,4.501)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D17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0.032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0E0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213E9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0F88A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F69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Yes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14D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537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1.427(0.619,3.292)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045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0.404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5D5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1.537(0.724,3.260)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680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0.263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A01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2.528(1.288,4.964)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C13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0.007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FD3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0D86C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258F4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FD8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Smoke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C1689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A2281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FCEA5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F37EF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D088D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20B73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973B0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3434C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5D7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0.715</w:t>
            </w:r>
          </w:p>
        </w:tc>
      </w:tr>
      <w:tr w14:paraId="5A204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0DB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never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1D9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39C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1.156(0.514,2.599)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28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0.726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119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1.725(0.856,3.477)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606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0.128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AED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2.401(1.330,4.334)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869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107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8DF2C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25C29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A49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former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62A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4F6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0.926(0.341,2.514)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27C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0.88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E42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0.908(0.410,2.009)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BDF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0.812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60C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1.517(0.688,3.347)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849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0.302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5D9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0.098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D14A2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686A9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71D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 xml:space="preserve"> now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A3C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3C7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7.977(1.123, 56.678)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496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0.038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5A0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5.814(1.063, 31.789)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DE5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0.042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CBA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10.655(2.050, 55.372)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4D3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F8A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0.068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BD08F">
            <w:pP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</w:p>
        </w:tc>
      </w:tr>
      <w:tr w14:paraId="57716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3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BMI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1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17434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F44B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83146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D6311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08C77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24C09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658DE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10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2"/>
                <w:sz w:val="15"/>
                <w:szCs w:val="15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0.225</w:t>
            </w:r>
          </w:p>
        </w:tc>
      </w:tr>
      <w:tr w14:paraId="11402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F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＜25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9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983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1.02(0.00,5.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C40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0.999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7B6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1.31(0.9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6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, 3.332)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883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0.907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8B8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70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(0.4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6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, 3.93)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D35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0.906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98A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0.287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D5FE6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2"/>
                <w:sz w:val="15"/>
                <w:szCs w:val="15"/>
                <w:u w:val="none"/>
                <w:lang w:val="en-US" w:eastAsia="zh-CN" w:bidi="ar-SA"/>
                <w14:ligatures w14:val="standardContextual"/>
              </w:rPr>
            </w:pPr>
          </w:p>
        </w:tc>
      </w:tr>
      <w:tr w14:paraId="39C22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≥25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D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ref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F5E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50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(0.89,2.5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505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0.125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13D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1.94(1.26,2.9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580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0.003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C1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3.5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(2.3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,5.4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2AC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&lt;0.0001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644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  <w14:ligatures w14:val="standardContextual"/>
              </w:rPr>
              <w:t>&lt;0.0001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1C126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2"/>
                <w:sz w:val="15"/>
                <w:szCs w:val="15"/>
                <w:u w:val="none"/>
                <w:lang w:val="en-US" w:eastAsia="zh-CN" w:bidi="ar-SA"/>
                <w14:ligatures w14:val="standardContextual"/>
              </w:rPr>
            </w:pPr>
          </w:p>
        </w:tc>
      </w:tr>
    </w:tbl>
    <w:p w14:paraId="1A662749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p w14:paraId="2A2CF0AE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1B6E5FD0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118A8177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26891B24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Supplementary Table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S6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. The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sensitivity analysis excluding deaths within the first 24 months of follow-up</w:t>
      </w:r>
    </w:p>
    <w:tbl>
      <w:tblPr>
        <w:tblStyle w:val="3"/>
        <w:tblpPr w:leftFromText="180" w:rightFromText="180" w:vertAnchor="text" w:horzAnchor="page" w:tblpXSpec="center" w:tblpY="294"/>
        <w:tblOverlap w:val="never"/>
        <w:tblW w:w="7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391"/>
        <w:gridCol w:w="1657"/>
        <w:gridCol w:w="1583"/>
        <w:gridCol w:w="1626"/>
      </w:tblGrid>
      <w:tr w14:paraId="6EC2F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9" w:type="dxa"/>
            <w:vMerge w:val="restart"/>
            <w:tcBorders>
              <w:left w:val="nil"/>
              <w:right w:val="nil"/>
            </w:tcBorders>
          </w:tcPr>
          <w:p w14:paraId="48587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91" w:type="dxa"/>
            <w:vMerge w:val="restart"/>
            <w:tcBorders>
              <w:left w:val="nil"/>
              <w:right w:val="nil"/>
            </w:tcBorders>
          </w:tcPr>
          <w:p w14:paraId="69FB0D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Sedentary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ime</w:t>
            </w:r>
          </w:p>
        </w:tc>
        <w:tc>
          <w:tcPr>
            <w:tcW w:w="4866" w:type="dxa"/>
            <w:gridSpan w:val="3"/>
            <w:tcBorders>
              <w:left w:val="nil"/>
              <w:right w:val="nil"/>
            </w:tcBorders>
          </w:tcPr>
          <w:p w14:paraId="3BF48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HR (95%CI)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18"/>
                <w:szCs w:val="18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-value</w:t>
            </w:r>
          </w:p>
        </w:tc>
      </w:tr>
      <w:tr w14:paraId="795D3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9" w:type="dxa"/>
            <w:vMerge w:val="continue"/>
            <w:tcBorders>
              <w:left w:val="nil"/>
              <w:right w:val="nil"/>
            </w:tcBorders>
          </w:tcPr>
          <w:p w14:paraId="1F5CD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91" w:type="dxa"/>
            <w:vMerge w:val="continue"/>
            <w:tcBorders>
              <w:left w:val="nil"/>
              <w:right w:val="nil"/>
            </w:tcBorders>
          </w:tcPr>
          <w:p w14:paraId="1D922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657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5F63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Model 1</w:t>
            </w:r>
          </w:p>
        </w:tc>
        <w:tc>
          <w:tcPr>
            <w:tcW w:w="158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EB65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Model 2</w:t>
            </w:r>
          </w:p>
        </w:tc>
        <w:tc>
          <w:tcPr>
            <w:tcW w:w="1626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4DDBC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Model 3</w:t>
            </w:r>
          </w:p>
        </w:tc>
      </w:tr>
      <w:tr w14:paraId="57F99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6" w:type="dxa"/>
            <w:gridSpan w:val="5"/>
            <w:tcBorders>
              <w:left w:val="nil"/>
              <w:bottom w:val="nil"/>
              <w:right w:val="nil"/>
            </w:tcBorders>
            <w:vAlign w:val="top"/>
          </w:tcPr>
          <w:p w14:paraId="4E16F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All-cause mortality</w:t>
            </w:r>
          </w:p>
        </w:tc>
      </w:tr>
      <w:tr w14:paraId="2523F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27B88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SIRI＜0.81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60A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  <w:lang w:val="en-US" w:eastAsia="zh-CN"/>
              </w:rPr>
              <w:t>＜3.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D0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ref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C6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ref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7D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ref</w:t>
            </w:r>
          </w:p>
        </w:tc>
      </w:tr>
      <w:tr w14:paraId="5B68F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72712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3F831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≥3.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D2CA4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1.505(1.012,2.240)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C2B3BA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1.314(0.866,1.995)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FFCFA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1.177(0.779,1.780)</w:t>
            </w:r>
          </w:p>
        </w:tc>
      </w:tr>
      <w:tr w14:paraId="07BAE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51A41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SIRI≥0.81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6C3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  <w:lang w:val="en-US" w:eastAsia="zh-CN"/>
              </w:rPr>
              <w:t>＜3.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994253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1.809(1.071,3.054)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14A578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1.556(0.921,2.628)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23D22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1.425(0.865,2.348)</w:t>
            </w:r>
          </w:p>
        </w:tc>
      </w:tr>
      <w:tr w14:paraId="7096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3422C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FB1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≥3.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BC475F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2.912(2.007,4.224)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1799F6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1.887(1.295,2.748)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97F59D">
            <w:pPr>
              <w:widowControl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1.562(1.073,2.272)</w:t>
            </w:r>
          </w:p>
        </w:tc>
      </w:tr>
      <w:tr w14:paraId="4E046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0E56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CVD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 mortality</w:t>
            </w:r>
          </w:p>
        </w:tc>
      </w:tr>
      <w:tr w14:paraId="04670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04142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SIRI＜0.81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E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  <w:lang w:val="en-US" w:eastAsia="zh-CN"/>
              </w:rPr>
              <w:t>＜6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56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ref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00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ref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29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ref</w:t>
            </w:r>
          </w:p>
        </w:tc>
      </w:tr>
      <w:tr w14:paraId="40C6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66C7E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01F90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≥6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84B4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1.302(0.644,2.632)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67E40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1.445(0.787,2.653)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F93F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1.359(0.677,2.728)</w:t>
            </w:r>
          </w:p>
        </w:tc>
      </w:tr>
      <w:tr w14:paraId="20369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41A06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SIRI≥0.81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2A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18"/>
                <w:szCs w:val="18"/>
                <w:lang w:val="en-US" w:eastAsia="zh-CN"/>
              </w:rPr>
              <w:t>＜6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E8B23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1.909(1.068,3.410)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25C46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1.675(1.004,2.793)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C9E31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1.529(0.863,2.706)</w:t>
            </w:r>
          </w:p>
        </w:tc>
      </w:tr>
      <w:tr w14:paraId="485BD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E4D5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55AE5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≥6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BE953C1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3.676(2.105,6.420)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9F2145B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2.706(1.667,4.393)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9B3C25">
            <w:pPr>
              <w:widowControl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</w:rPr>
              <w:t>2.793(1.620,4.818)</w:t>
            </w:r>
          </w:p>
        </w:tc>
      </w:tr>
    </w:tbl>
    <w:p w14:paraId="7FEC6BAE">
      <w:pPr>
        <w:rPr>
          <w:rFonts w:hint="default" w:ascii="Times New Roman" w:hAnsi="Times New Roman" w:cs="Times New Roman" w:eastAsiaTheme="minorEastAsia"/>
          <w:color w:val="auto"/>
          <w:lang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harisSI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ZjY5ZTNlNTZiMTI1YjAzOGMzNmQ3YjZmODFjNWUifQ=="/>
    <w:docVar w:name="KSO_WPS_MARK_KEY" w:val="216c2f42-445e-43b5-baf5-671ebdfed797"/>
  </w:docVars>
  <w:rsids>
    <w:rsidRoot w:val="396D4301"/>
    <w:rsid w:val="01EF19E9"/>
    <w:rsid w:val="04E404DB"/>
    <w:rsid w:val="0CB170E8"/>
    <w:rsid w:val="0EE44E28"/>
    <w:rsid w:val="11B76268"/>
    <w:rsid w:val="17A42C76"/>
    <w:rsid w:val="19121FD6"/>
    <w:rsid w:val="1C8710B8"/>
    <w:rsid w:val="1D894CC2"/>
    <w:rsid w:val="27F154AD"/>
    <w:rsid w:val="290731DA"/>
    <w:rsid w:val="29441AE1"/>
    <w:rsid w:val="2C666469"/>
    <w:rsid w:val="2EBA12D6"/>
    <w:rsid w:val="2EF61F5F"/>
    <w:rsid w:val="3105257E"/>
    <w:rsid w:val="313A7EC4"/>
    <w:rsid w:val="324E0E86"/>
    <w:rsid w:val="325D20BC"/>
    <w:rsid w:val="34C96403"/>
    <w:rsid w:val="387B6D55"/>
    <w:rsid w:val="396D4301"/>
    <w:rsid w:val="39E33DB7"/>
    <w:rsid w:val="3C090BBF"/>
    <w:rsid w:val="44676DCB"/>
    <w:rsid w:val="47310610"/>
    <w:rsid w:val="4C6955BE"/>
    <w:rsid w:val="4E785DD2"/>
    <w:rsid w:val="56B80FD1"/>
    <w:rsid w:val="599041CB"/>
    <w:rsid w:val="59CD1026"/>
    <w:rsid w:val="5A1273AF"/>
    <w:rsid w:val="6F4D1680"/>
    <w:rsid w:val="70B669A6"/>
    <w:rsid w:val="71A76E4A"/>
    <w:rsid w:val="77B873FF"/>
    <w:rsid w:val="7ABB0CFB"/>
    <w:rsid w:val="7F59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685</Words>
  <Characters>4830</Characters>
  <Lines>0</Lines>
  <Paragraphs>0</Paragraphs>
  <TotalTime>3</TotalTime>
  <ScaleCrop>false</ScaleCrop>
  <LinksUpToDate>false</LinksUpToDate>
  <CharactersWithSpaces>5148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2025-04-22T10:10:00Z</dcterms:created>
  <dc:creator>Author</dc:creator>
  <cp:lastModifiedBy>Author</cp:lastModifiedBy>
  <dcterms:modified xsi:type="dcterms:W3CDTF">2025-11-09T10:44:23Z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ZOTERO_PREF_1">
    <vt:lpwstr>1</vt:lpwstr>
  </property>
  <property fmtid="{D5CDD505-2E9C-101B-9397-08002B2CF9AE}" pid="4" name="ZOTERO_PREF_2">
    <vt:lpwstr>1</vt:lpwstr>
  </property>
  <property fmtid="{D5CDD505-2E9C-101B-9397-08002B2CF9AE}" pid="5" name="ICV">
    <vt:lpwstr>E883DBBA853C455192031451F75F5C5A_11</vt:lpwstr>
  </property>
  <property fmtid="{D5CDD505-2E9C-101B-9397-08002B2CF9AE}" pid="6" name="zotero free 1">
    <vt:lpwstr>1</vt:lpwstr>
  </property>
  <property fmtid="{D5CDD505-2E9C-101B-9397-08002B2CF9AE}" pid="7" name="zotero free 2">
    <vt:lpwstr>1</vt:lpwstr>
  </property>
  <property fmtid="{D5CDD505-2E9C-101B-9397-08002B2CF9AE}" pid="8" name="KSOTemplateDocerSaveRecord">
    <vt:lpwstr>eyJoZGlkIjoiODU0ZjY5ZTNlNTZiMTI1YjAzOGMzNmQ3YjZmODFjNWUiLCJ1c2VySWQiOiIxNjUxNjEwMjIifQ==</vt:lpwstr>
  </property>
</Properties>
</file>