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E365F">
      <w:pPr>
        <w:rPr>
          <w:rFonts w:ascii="Times New Roman" w:hAnsi="Times New Roman" w:cs="Times New Roman"/>
          <w:b/>
          <w:bCs/>
          <w:szCs w:val="22"/>
        </w:rPr>
      </w:pPr>
    </w:p>
    <w:p w14:paraId="73C6586E">
      <w:pPr>
        <w:rPr>
          <w:rFonts w:ascii="Times New Roman" w:hAnsi="Times New Roman" w:cs="Times New Roman"/>
          <w:b/>
          <w:bCs/>
          <w:szCs w:val="22"/>
        </w:rPr>
      </w:pPr>
      <w:r>
        <w:rPr>
          <w:rFonts w:hint="eastAsia" w:ascii="Times New Roman" w:hAnsi="Times New Roman" w:cs="Times New Roman"/>
          <w:b/>
          <w:bCs/>
          <w:szCs w:val="22"/>
        </w:rPr>
        <w:t>Supplementary Tables</w:t>
      </w:r>
    </w:p>
    <w:p w14:paraId="158B15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S1.</w:t>
      </w:r>
      <w:r>
        <w:rPr>
          <w:rFonts w:ascii="Times New Roman" w:hAnsi="Times New Roman" w:cs="Times New Roman"/>
          <w:sz w:val="20"/>
          <w:szCs w:val="20"/>
        </w:rPr>
        <w:t xml:space="preserve"> Variables with more than 20% missing data and their corresponding missing rate.</w:t>
      </w:r>
    </w:p>
    <w:tbl>
      <w:tblPr>
        <w:tblStyle w:val="16"/>
        <w:tblW w:w="0" w:type="auto"/>
        <w:tblInd w:w="-5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28" w:type="dxa"/>
        </w:tblCellMar>
      </w:tblPr>
      <w:tblGrid>
        <w:gridCol w:w="1276"/>
        <w:gridCol w:w="1099"/>
        <w:gridCol w:w="1185"/>
        <w:gridCol w:w="1185"/>
        <w:gridCol w:w="1185"/>
        <w:gridCol w:w="1185"/>
        <w:gridCol w:w="1186"/>
      </w:tblGrid>
      <w:tr w14:paraId="3F2CEC1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8" w:hRule="atLeast"/>
        </w:trPr>
        <w:tc>
          <w:tcPr>
            <w:tcW w:w="127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 w14:paraId="13CF5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9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FCB5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Hb1Ac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0C9A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HDL-C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CF32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Lactate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D34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F8C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TG</w:t>
            </w:r>
          </w:p>
        </w:tc>
        <w:tc>
          <w:tcPr>
            <w:tcW w:w="118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EA00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Height</w:t>
            </w:r>
          </w:p>
        </w:tc>
      </w:tr>
      <w:tr w14:paraId="19649D5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8" w:hRule="atLeast"/>
        </w:trPr>
        <w:tc>
          <w:tcPr>
            <w:tcW w:w="1276" w:type="dxa"/>
            <w:tcBorders>
              <w:top w:val="single" w:color="auto" w:sz="6" w:space="0"/>
            </w:tcBorders>
            <w:noWrap/>
            <w:vAlign w:val="center"/>
          </w:tcPr>
          <w:p w14:paraId="396B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Missing rate</w:t>
            </w:r>
          </w:p>
        </w:tc>
        <w:tc>
          <w:tcPr>
            <w:tcW w:w="1099" w:type="dxa"/>
            <w:tcBorders>
              <w:top w:val="single" w:color="auto" w:sz="6" w:space="0"/>
            </w:tcBorders>
            <w:vAlign w:val="center"/>
          </w:tcPr>
          <w:p w14:paraId="61400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1185" w:type="dxa"/>
            <w:tcBorders>
              <w:top w:val="single" w:color="auto" w:sz="6" w:space="0"/>
            </w:tcBorders>
            <w:vAlign w:val="center"/>
          </w:tcPr>
          <w:p w14:paraId="7120B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1185" w:type="dxa"/>
            <w:tcBorders>
              <w:top w:val="single" w:color="auto" w:sz="6" w:space="0"/>
            </w:tcBorders>
            <w:vAlign w:val="center"/>
          </w:tcPr>
          <w:p w14:paraId="0EDCF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39%</w:t>
            </w:r>
          </w:p>
        </w:tc>
        <w:tc>
          <w:tcPr>
            <w:tcW w:w="1185" w:type="dxa"/>
            <w:tcBorders>
              <w:top w:val="single" w:color="auto" w:sz="6" w:space="0"/>
            </w:tcBorders>
            <w:vAlign w:val="center"/>
          </w:tcPr>
          <w:p w14:paraId="4E5F7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185" w:type="dxa"/>
            <w:tcBorders>
              <w:top w:val="single" w:color="auto" w:sz="6" w:space="0"/>
            </w:tcBorders>
            <w:vAlign w:val="center"/>
          </w:tcPr>
          <w:p w14:paraId="3FF15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186" w:type="dxa"/>
            <w:tcBorders>
              <w:top w:val="single" w:color="auto" w:sz="6" w:space="0"/>
            </w:tcBorders>
            <w:vAlign w:val="center"/>
          </w:tcPr>
          <w:p w14:paraId="294A1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</w:tr>
    </w:tbl>
    <w:p w14:paraId="43F586A6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>Hb1Ac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Hemoglobin A1c; HDL-C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High density lipoprotein cholesterol; TC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Total cholesterol; TG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Triglycerides. </w:t>
      </w:r>
    </w:p>
    <w:p w14:paraId="1D63AD69">
      <w:pPr>
        <w:rPr>
          <w:rFonts w:ascii="Times New Roman" w:hAnsi="Times New Roman" w:cs="Times New Roman"/>
          <w:b/>
          <w:bCs/>
          <w:szCs w:val="22"/>
        </w:rPr>
      </w:pPr>
    </w:p>
    <w:p w14:paraId="6B533D65">
      <w:pPr>
        <w:rPr>
          <w:rFonts w:ascii="Times New Roman" w:hAnsi="Times New Roman" w:cs="Times New Roman"/>
          <w:b/>
          <w:bCs/>
          <w:szCs w:val="22"/>
        </w:rPr>
      </w:pPr>
    </w:p>
    <w:p w14:paraId="3B88E6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Variables with less than 20% missing data and their corresponding missing percentages.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379"/>
      </w:tblGrid>
      <w:tr w14:paraId="53B894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FDB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637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DEC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Missing data percentage</w:t>
            </w:r>
          </w:p>
        </w:tc>
      </w:tr>
      <w:tr w14:paraId="515B641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tcBorders>
              <w:top w:val="single" w:color="auto" w:sz="6" w:space="0"/>
            </w:tcBorders>
            <w:vAlign w:val="center"/>
          </w:tcPr>
          <w:p w14:paraId="6B357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79" w:type="dxa"/>
            <w:tcBorders>
              <w:top w:val="single" w:color="auto" w:sz="6" w:space="0"/>
            </w:tcBorders>
            <w:vAlign w:val="center"/>
          </w:tcPr>
          <w:p w14:paraId="7DB98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6FB3CBD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A1BF1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</w:tc>
        <w:tc>
          <w:tcPr>
            <w:tcW w:w="6379" w:type="dxa"/>
            <w:vAlign w:val="center"/>
          </w:tcPr>
          <w:p w14:paraId="5D03A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06CC83C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5F9F6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379" w:type="dxa"/>
            <w:vAlign w:val="center"/>
          </w:tcPr>
          <w:p w14:paraId="01647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0F94E00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6EE94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Heart rate</w:t>
            </w:r>
          </w:p>
        </w:tc>
        <w:tc>
          <w:tcPr>
            <w:tcW w:w="6379" w:type="dxa"/>
            <w:vAlign w:val="center"/>
          </w:tcPr>
          <w:p w14:paraId="067D4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58CC66F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5D63E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Sodium</w:t>
            </w:r>
          </w:p>
        </w:tc>
        <w:tc>
          <w:tcPr>
            <w:tcW w:w="6379" w:type="dxa"/>
            <w:vAlign w:val="center"/>
          </w:tcPr>
          <w:p w14:paraId="5D4C7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7A91D89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4965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6379" w:type="dxa"/>
            <w:vAlign w:val="center"/>
          </w:tcPr>
          <w:p w14:paraId="070F8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6A5C3CA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4830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Chloride</w:t>
            </w:r>
          </w:p>
        </w:tc>
        <w:tc>
          <w:tcPr>
            <w:tcW w:w="6379" w:type="dxa"/>
            <w:vAlign w:val="center"/>
          </w:tcPr>
          <w:p w14:paraId="78B24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28097F6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6F907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Bicarbonate</w:t>
            </w:r>
          </w:p>
        </w:tc>
        <w:tc>
          <w:tcPr>
            <w:tcW w:w="6379" w:type="dxa"/>
            <w:vAlign w:val="center"/>
          </w:tcPr>
          <w:p w14:paraId="153ED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2DE5802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0F68E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</w:tc>
        <w:tc>
          <w:tcPr>
            <w:tcW w:w="6379" w:type="dxa"/>
            <w:vAlign w:val="center"/>
          </w:tcPr>
          <w:p w14:paraId="45858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0.12%</w:t>
            </w:r>
          </w:p>
        </w:tc>
      </w:tr>
      <w:tr w14:paraId="14ED453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5872D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6379" w:type="dxa"/>
            <w:vAlign w:val="center"/>
          </w:tcPr>
          <w:p w14:paraId="49F69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0.24%</w:t>
            </w:r>
          </w:p>
        </w:tc>
      </w:tr>
      <w:tr w14:paraId="184F044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6D855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Potassium</w:t>
            </w:r>
          </w:p>
        </w:tc>
        <w:tc>
          <w:tcPr>
            <w:tcW w:w="6379" w:type="dxa"/>
            <w:vAlign w:val="center"/>
          </w:tcPr>
          <w:p w14:paraId="300A5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0.24%</w:t>
            </w:r>
          </w:p>
        </w:tc>
      </w:tr>
      <w:tr w14:paraId="747B2BA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2A62D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6379" w:type="dxa"/>
            <w:vAlign w:val="center"/>
          </w:tcPr>
          <w:p w14:paraId="2BD3B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0.98%</w:t>
            </w:r>
          </w:p>
        </w:tc>
      </w:tr>
      <w:tr w14:paraId="4F8C5E7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446A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Hemoglobin</w:t>
            </w:r>
          </w:p>
        </w:tc>
        <w:tc>
          <w:tcPr>
            <w:tcW w:w="6379" w:type="dxa"/>
            <w:vAlign w:val="center"/>
          </w:tcPr>
          <w:p w14:paraId="15113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0.98%</w:t>
            </w:r>
          </w:p>
        </w:tc>
      </w:tr>
      <w:tr w14:paraId="3E2FDA1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57109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RDW</w:t>
            </w:r>
          </w:p>
        </w:tc>
        <w:tc>
          <w:tcPr>
            <w:tcW w:w="6379" w:type="dxa"/>
            <w:vAlign w:val="center"/>
          </w:tcPr>
          <w:p w14:paraId="32569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1.22%</w:t>
            </w:r>
          </w:p>
        </w:tc>
      </w:tr>
      <w:tr w14:paraId="184E5F7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4CCDA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Hematocrit</w:t>
            </w:r>
          </w:p>
        </w:tc>
        <w:tc>
          <w:tcPr>
            <w:tcW w:w="6379" w:type="dxa"/>
            <w:vAlign w:val="center"/>
          </w:tcPr>
          <w:p w14:paraId="09082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1.22%</w:t>
            </w:r>
          </w:p>
        </w:tc>
      </w:tr>
      <w:tr w14:paraId="031E22F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11B07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WBC</w:t>
            </w:r>
          </w:p>
        </w:tc>
        <w:tc>
          <w:tcPr>
            <w:tcW w:w="6379" w:type="dxa"/>
            <w:vAlign w:val="center"/>
          </w:tcPr>
          <w:p w14:paraId="39837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1.34%</w:t>
            </w:r>
          </w:p>
        </w:tc>
      </w:tr>
      <w:tr w14:paraId="292CF6D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6308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Platelet</w:t>
            </w:r>
          </w:p>
        </w:tc>
        <w:tc>
          <w:tcPr>
            <w:tcW w:w="6379" w:type="dxa"/>
            <w:vAlign w:val="center"/>
          </w:tcPr>
          <w:p w14:paraId="7E980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1.34%</w:t>
            </w:r>
          </w:p>
        </w:tc>
      </w:tr>
      <w:tr w14:paraId="55DD602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3D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6379" w:type="dxa"/>
            <w:vAlign w:val="center"/>
          </w:tcPr>
          <w:p w14:paraId="16D3C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1.34%</w:t>
            </w:r>
          </w:p>
        </w:tc>
      </w:tr>
      <w:tr w14:paraId="67F53B7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28BF0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bilirubin</w:t>
            </w:r>
          </w:p>
        </w:tc>
        <w:tc>
          <w:tcPr>
            <w:tcW w:w="6379" w:type="dxa"/>
            <w:vAlign w:val="center"/>
          </w:tcPr>
          <w:p w14:paraId="44897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1.71%</w:t>
            </w:r>
          </w:p>
        </w:tc>
      </w:tr>
      <w:tr w14:paraId="5579230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45F82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6379" w:type="dxa"/>
            <w:vAlign w:val="center"/>
          </w:tcPr>
          <w:p w14:paraId="5BB8A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2.20%</w:t>
            </w:r>
          </w:p>
        </w:tc>
      </w:tr>
      <w:tr w14:paraId="5A59E31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2341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Magnesium</w:t>
            </w:r>
          </w:p>
        </w:tc>
        <w:tc>
          <w:tcPr>
            <w:tcW w:w="6379" w:type="dxa"/>
            <w:vAlign w:val="center"/>
          </w:tcPr>
          <w:p w14:paraId="15F7B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2.57%</w:t>
            </w:r>
          </w:p>
        </w:tc>
      </w:tr>
      <w:tr w14:paraId="4C8667B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4569B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calcium</w:t>
            </w:r>
          </w:p>
        </w:tc>
        <w:tc>
          <w:tcPr>
            <w:tcW w:w="6379" w:type="dxa"/>
            <w:vAlign w:val="center"/>
          </w:tcPr>
          <w:p w14:paraId="03897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2.81%</w:t>
            </w:r>
          </w:p>
        </w:tc>
      </w:tr>
      <w:tr w14:paraId="15B1F43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5B45D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6379" w:type="dxa"/>
            <w:vAlign w:val="center"/>
          </w:tcPr>
          <w:p w14:paraId="21A6C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3.42%</w:t>
            </w:r>
          </w:p>
        </w:tc>
      </w:tr>
      <w:tr w14:paraId="0EF21D3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center"/>
          </w:tcPr>
          <w:p w14:paraId="66F21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6379" w:type="dxa"/>
            <w:vAlign w:val="center"/>
          </w:tcPr>
          <w:p w14:paraId="7170C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11.98%</w:t>
            </w:r>
          </w:p>
        </w:tc>
      </w:tr>
    </w:tbl>
    <w:p w14:paraId="79588B58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SpO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: Saturation of peripheral oxygen; SBP: Systolic blood pressure; M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P: Mean </w:t>
      </w:r>
      <w:r>
        <w:rPr>
          <w:rFonts w:hint="eastAsia" w:ascii="Times New Roman" w:hAnsi="Times New Roman" w:cs="Times New Roman"/>
          <w:sz w:val="20"/>
          <w:szCs w:val="20"/>
        </w:rPr>
        <w:t>arterial</w:t>
      </w:r>
      <w:r>
        <w:rPr>
          <w:rFonts w:ascii="Times New Roman" w:hAnsi="Times New Roman" w:cs="Times New Roman"/>
          <w:sz w:val="20"/>
          <w:szCs w:val="20"/>
        </w:rPr>
        <w:t xml:space="preserve"> pressure; DBP: Diastolic blood pressure; RR: Respiratory rate; RBC: Red blood cell; RDW: Red blood cell distribution width; WBC: White blood cell; AST: Aspartate aminotransferase; ALT: Alanine aminotransferase.</w:t>
      </w:r>
    </w:p>
    <w:p w14:paraId="3687BB75">
      <w:pPr>
        <w:rPr>
          <w:rFonts w:ascii="Times New Roman" w:hAnsi="Times New Roman" w:cs="Times New Roman"/>
          <w:b/>
          <w:bCs/>
          <w:szCs w:val="22"/>
        </w:rPr>
      </w:pPr>
    </w:p>
    <w:p w14:paraId="18DAB27C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bookmarkStart w:id="0" w:name="_Hlk212730369"/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Table S3.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Variables included in the multiple imputation model.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130ED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8FE02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ubject ID*</w:t>
            </w:r>
          </w:p>
        </w:tc>
        <w:tc>
          <w:tcPr>
            <w:tcW w:w="2765" w:type="dxa"/>
            <w:vAlign w:val="center"/>
          </w:tcPr>
          <w:p w14:paraId="63A3B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Glucose</w:t>
            </w:r>
          </w:p>
        </w:tc>
        <w:tc>
          <w:tcPr>
            <w:tcW w:w="2766" w:type="dxa"/>
            <w:vAlign w:val="center"/>
          </w:tcPr>
          <w:p w14:paraId="1A74EF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ACEI</w:t>
            </w:r>
          </w:p>
        </w:tc>
      </w:tr>
      <w:tr w14:paraId="7A58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3AAA34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APS III</w:t>
            </w:r>
          </w:p>
        </w:tc>
        <w:tc>
          <w:tcPr>
            <w:tcW w:w="2765" w:type="dxa"/>
            <w:vAlign w:val="center"/>
          </w:tcPr>
          <w:p w14:paraId="2EBA3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ARB</w:t>
            </w:r>
          </w:p>
        </w:tc>
        <w:tc>
          <w:tcPr>
            <w:tcW w:w="2766" w:type="dxa"/>
            <w:vAlign w:val="center"/>
          </w:tcPr>
          <w:p w14:paraId="3A26B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aspirin</w:t>
            </w:r>
          </w:p>
        </w:tc>
      </w:tr>
      <w:tr w14:paraId="7D7E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0721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Atrial fibrillation</w:t>
            </w:r>
          </w:p>
        </w:tc>
        <w:tc>
          <w:tcPr>
            <w:tcW w:w="2765" w:type="dxa"/>
            <w:vAlign w:val="center"/>
          </w:tcPr>
          <w:p w14:paraId="72F57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beta antagonists</w:t>
            </w:r>
          </w:p>
        </w:tc>
        <w:tc>
          <w:tcPr>
            <w:tcW w:w="2766" w:type="dxa"/>
            <w:vAlign w:val="center"/>
          </w:tcPr>
          <w:p w14:paraId="4D4C26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Malignant tumor</w:t>
            </w:r>
          </w:p>
        </w:tc>
      </w:tr>
      <w:tr w14:paraId="7C1B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099A17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Congestive heart failure</w:t>
            </w:r>
          </w:p>
        </w:tc>
        <w:tc>
          <w:tcPr>
            <w:tcW w:w="2765" w:type="dxa"/>
            <w:vAlign w:val="center"/>
          </w:tcPr>
          <w:p w14:paraId="7788B0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Myocardial infarct</w:t>
            </w:r>
          </w:p>
        </w:tc>
        <w:tc>
          <w:tcPr>
            <w:tcW w:w="2766" w:type="dxa"/>
            <w:vAlign w:val="center"/>
          </w:tcPr>
          <w:p w14:paraId="51DBE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Peripheral vascular disease</w:t>
            </w:r>
          </w:p>
        </w:tc>
      </w:tr>
      <w:tr w14:paraId="755C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5C4C7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Chronic pulmonary disease</w:t>
            </w:r>
          </w:p>
        </w:tc>
        <w:tc>
          <w:tcPr>
            <w:tcW w:w="2765" w:type="dxa"/>
            <w:vAlign w:val="center"/>
          </w:tcPr>
          <w:p w14:paraId="791666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Diabetes without complications</w:t>
            </w:r>
          </w:p>
        </w:tc>
        <w:tc>
          <w:tcPr>
            <w:tcW w:w="2766" w:type="dxa"/>
            <w:vAlign w:val="center"/>
          </w:tcPr>
          <w:p w14:paraId="6B77FE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Diabetes with complications</w:t>
            </w:r>
          </w:p>
        </w:tc>
      </w:tr>
      <w:tr w14:paraId="1D7B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03FF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Renal disease</w:t>
            </w:r>
          </w:p>
        </w:tc>
        <w:tc>
          <w:tcPr>
            <w:tcW w:w="2765" w:type="dxa"/>
            <w:vAlign w:val="center"/>
          </w:tcPr>
          <w:p w14:paraId="71CCC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Severe liver disease</w:t>
            </w:r>
          </w:p>
        </w:tc>
        <w:tc>
          <w:tcPr>
            <w:tcW w:w="2766" w:type="dxa"/>
            <w:vAlign w:val="center"/>
          </w:tcPr>
          <w:p w14:paraId="57EC40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CCI</w:t>
            </w:r>
          </w:p>
        </w:tc>
      </w:tr>
      <w:tr w14:paraId="630F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23C36D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Chronic kidney disease</w:t>
            </w:r>
          </w:p>
        </w:tc>
        <w:tc>
          <w:tcPr>
            <w:tcW w:w="2765" w:type="dxa"/>
            <w:vAlign w:val="center"/>
          </w:tcPr>
          <w:p w14:paraId="1B3F63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clopidogrel</w:t>
            </w:r>
          </w:p>
        </w:tc>
        <w:tc>
          <w:tcPr>
            <w:tcW w:w="2766" w:type="dxa"/>
            <w:vAlign w:val="center"/>
          </w:tcPr>
          <w:p w14:paraId="69D67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CRRT</w:t>
            </w:r>
          </w:p>
        </w:tc>
      </w:tr>
      <w:tr w14:paraId="0E6C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ED764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DBP</w:t>
            </w:r>
          </w:p>
        </w:tc>
        <w:tc>
          <w:tcPr>
            <w:tcW w:w="2765" w:type="dxa"/>
            <w:vAlign w:val="center"/>
          </w:tcPr>
          <w:p w14:paraId="58409B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epinephrine</w:t>
            </w:r>
          </w:p>
        </w:tc>
        <w:tc>
          <w:tcPr>
            <w:tcW w:w="2766" w:type="dxa"/>
            <w:vAlign w:val="center"/>
          </w:tcPr>
          <w:p w14:paraId="419F1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EVT</w:t>
            </w:r>
          </w:p>
        </w:tc>
      </w:tr>
      <w:tr w14:paraId="48CB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758391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Albumin</w:t>
            </w:r>
          </w:p>
        </w:tc>
        <w:tc>
          <w:tcPr>
            <w:tcW w:w="2765" w:type="dxa"/>
            <w:vAlign w:val="center"/>
          </w:tcPr>
          <w:p w14:paraId="536D9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ALT</w:t>
            </w:r>
          </w:p>
        </w:tc>
        <w:tc>
          <w:tcPr>
            <w:tcW w:w="2766" w:type="dxa"/>
            <w:vAlign w:val="center"/>
          </w:tcPr>
          <w:p w14:paraId="2DAC5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Anion gap</w:t>
            </w:r>
          </w:p>
        </w:tc>
      </w:tr>
      <w:tr w14:paraId="3855A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3AAE5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AST</w:t>
            </w:r>
          </w:p>
        </w:tc>
        <w:tc>
          <w:tcPr>
            <w:tcW w:w="2765" w:type="dxa"/>
            <w:vAlign w:val="center"/>
          </w:tcPr>
          <w:p w14:paraId="4C8CD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Bicarbonate</w:t>
            </w:r>
          </w:p>
        </w:tc>
        <w:tc>
          <w:tcPr>
            <w:tcW w:w="2766" w:type="dxa"/>
            <w:vAlign w:val="center"/>
          </w:tcPr>
          <w:p w14:paraId="51D6CB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BUN</w:t>
            </w:r>
          </w:p>
        </w:tc>
      </w:tr>
      <w:tr w14:paraId="3DA1D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9FB3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Chloride</w:t>
            </w:r>
          </w:p>
        </w:tc>
        <w:tc>
          <w:tcPr>
            <w:tcW w:w="2765" w:type="dxa"/>
            <w:vAlign w:val="center"/>
          </w:tcPr>
          <w:p w14:paraId="463A4B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Creatinine</w:t>
            </w:r>
          </w:p>
        </w:tc>
        <w:tc>
          <w:tcPr>
            <w:tcW w:w="2766" w:type="dxa"/>
            <w:vAlign w:val="center"/>
          </w:tcPr>
          <w:p w14:paraId="45753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Hematocrit</w:t>
            </w:r>
          </w:p>
        </w:tc>
      </w:tr>
      <w:tr w14:paraId="5547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05C3C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Hemoglobin</w:t>
            </w:r>
          </w:p>
        </w:tc>
        <w:tc>
          <w:tcPr>
            <w:tcW w:w="2765" w:type="dxa"/>
            <w:vAlign w:val="center"/>
          </w:tcPr>
          <w:p w14:paraId="41E3F7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Magnesium</w:t>
            </w:r>
          </w:p>
        </w:tc>
        <w:tc>
          <w:tcPr>
            <w:tcW w:w="2766" w:type="dxa"/>
            <w:vAlign w:val="center"/>
          </w:tcPr>
          <w:p w14:paraId="61A6C1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Platelet</w:t>
            </w:r>
          </w:p>
        </w:tc>
      </w:tr>
      <w:tr w14:paraId="6A3BC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FD9F7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Potassium</w:t>
            </w:r>
          </w:p>
        </w:tc>
        <w:tc>
          <w:tcPr>
            <w:tcW w:w="2765" w:type="dxa"/>
            <w:vAlign w:val="center"/>
          </w:tcPr>
          <w:p w14:paraId="0806F7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RBC</w:t>
            </w:r>
          </w:p>
        </w:tc>
        <w:tc>
          <w:tcPr>
            <w:tcW w:w="2766" w:type="dxa"/>
            <w:vAlign w:val="center"/>
          </w:tcPr>
          <w:p w14:paraId="0E478E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RDW</w:t>
            </w:r>
          </w:p>
        </w:tc>
      </w:tr>
      <w:tr w14:paraId="7E52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3988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Sodium</w:t>
            </w:r>
          </w:p>
        </w:tc>
        <w:tc>
          <w:tcPr>
            <w:tcW w:w="2765" w:type="dxa"/>
            <w:vAlign w:val="center"/>
          </w:tcPr>
          <w:p w14:paraId="5CFB26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Total bilirubin</w:t>
            </w:r>
          </w:p>
        </w:tc>
        <w:tc>
          <w:tcPr>
            <w:tcW w:w="2766" w:type="dxa"/>
            <w:vAlign w:val="center"/>
          </w:tcPr>
          <w:p w14:paraId="29F6DB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otal calcium</w:t>
            </w:r>
          </w:p>
        </w:tc>
      </w:tr>
      <w:tr w14:paraId="5E03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A6CC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WBC</w:t>
            </w:r>
          </w:p>
        </w:tc>
        <w:tc>
          <w:tcPr>
            <w:tcW w:w="2765" w:type="dxa"/>
            <w:vAlign w:val="center"/>
          </w:tcPr>
          <w:p w14:paraId="496061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GCS</w:t>
            </w:r>
          </w:p>
        </w:tc>
        <w:tc>
          <w:tcPr>
            <w:tcW w:w="2766" w:type="dxa"/>
            <w:vAlign w:val="center"/>
          </w:tcPr>
          <w:p w14:paraId="1196B7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Heart rate</w:t>
            </w:r>
          </w:p>
        </w:tc>
      </w:tr>
      <w:tr w14:paraId="166A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AD564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Hypertension</w:t>
            </w:r>
          </w:p>
        </w:tc>
        <w:tc>
          <w:tcPr>
            <w:tcW w:w="2765" w:type="dxa"/>
            <w:vAlign w:val="center"/>
          </w:tcPr>
          <w:p w14:paraId="77804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IVT</w:t>
            </w:r>
          </w:p>
        </w:tc>
        <w:tc>
          <w:tcPr>
            <w:tcW w:w="2766" w:type="dxa"/>
            <w:vAlign w:val="center"/>
          </w:tcPr>
          <w:p w14:paraId="0E4209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LDH</w:t>
            </w:r>
          </w:p>
        </w:tc>
      </w:tr>
      <w:tr w14:paraId="1E4C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B48F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LODS</w:t>
            </w:r>
          </w:p>
        </w:tc>
        <w:tc>
          <w:tcPr>
            <w:tcW w:w="2765" w:type="dxa"/>
            <w:vAlign w:val="center"/>
          </w:tcPr>
          <w:p w14:paraId="58ED47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LWMH</w:t>
            </w:r>
          </w:p>
        </w:tc>
        <w:tc>
          <w:tcPr>
            <w:tcW w:w="2766" w:type="dxa"/>
            <w:vAlign w:val="center"/>
          </w:tcPr>
          <w:p w14:paraId="21CF06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MAP</w:t>
            </w:r>
          </w:p>
        </w:tc>
      </w:tr>
      <w:tr w14:paraId="1679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C50B3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milrinone</w:t>
            </w:r>
          </w:p>
        </w:tc>
        <w:tc>
          <w:tcPr>
            <w:tcW w:w="2765" w:type="dxa"/>
            <w:vAlign w:val="center"/>
          </w:tcPr>
          <w:p w14:paraId="6F08CD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NOACs</w:t>
            </w:r>
          </w:p>
        </w:tc>
        <w:tc>
          <w:tcPr>
            <w:tcW w:w="2766" w:type="dxa"/>
            <w:vAlign w:val="center"/>
          </w:tcPr>
          <w:p w14:paraId="3FB82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norepinephrine</w:t>
            </w:r>
          </w:p>
        </w:tc>
      </w:tr>
      <w:tr w14:paraId="26FD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A50F3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OASIS</w:t>
            </w:r>
          </w:p>
        </w:tc>
        <w:tc>
          <w:tcPr>
            <w:tcW w:w="2765" w:type="dxa"/>
            <w:vAlign w:val="center"/>
          </w:tcPr>
          <w:p w14:paraId="1EAAE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phenylephrine</w:t>
            </w:r>
          </w:p>
        </w:tc>
        <w:tc>
          <w:tcPr>
            <w:tcW w:w="2766" w:type="dxa"/>
            <w:vAlign w:val="center"/>
          </w:tcPr>
          <w:p w14:paraId="1D176E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Respiratory failure</w:t>
            </w:r>
          </w:p>
        </w:tc>
      </w:tr>
      <w:tr w14:paraId="62428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6C28E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RR</w:t>
            </w:r>
          </w:p>
        </w:tc>
        <w:tc>
          <w:tcPr>
            <w:tcW w:w="2765" w:type="dxa"/>
            <w:vAlign w:val="center"/>
          </w:tcPr>
          <w:p w14:paraId="774E4D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RRT</w:t>
            </w:r>
          </w:p>
        </w:tc>
        <w:tc>
          <w:tcPr>
            <w:tcW w:w="2766" w:type="dxa"/>
            <w:vAlign w:val="center"/>
          </w:tcPr>
          <w:p w14:paraId="11ED9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SAPS II</w:t>
            </w:r>
          </w:p>
        </w:tc>
      </w:tr>
      <w:tr w14:paraId="2F9C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2D4A91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SBP</w:t>
            </w:r>
          </w:p>
        </w:tc>
        <w:tc>
          <w:tcPr>
            <w:tcW w:w="2765" w:type="dxa"/>
            <w:vAlign w:val="center"/>
          </w:tcPr>
          <w:p w14:paraId="20B685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SIRS</w:t>
            </w:r>
          </w:p>
        </w:tc>
        <w:tc>
          <w:tcPr>
            <w:tcW w:w="2766" w:type="dxa"/>
            <w:vAlign w:val="center"/>
          </w:tcPr>
          <w:p w14:paraId="15210A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SOFA, first 24 h</w:t>
            </w:r>
          </w:p>
        </w:tc>
      </w:tr>
      <w:tr w14:paraId="7815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11D61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SpO2</w:t>
            </w:r>
          </w:p>
        </w:tc>
        <w:tc>
          <w:tcPr>
            <w:tcW w:w="2765" w:type="dxa"/>
            <w:vAlign w:val="center"/>
          </w:tcPr>
          <w:p w14:paraId="5E7FE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statins</w:t>
            </w:r>
          </w:p>
        </w:tc>
        <w:tc>
          <w:tcPr>
            <w:tcW w:w="2766" w:type="dxa"/>
            <w:vAlign w:val="center"/>
          </w:tcPr>
          <w:p w14:paraId="6C0432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Temperature</w:t>
            </w:r>
          </w:p>
        </w:tc>
      </w:tr>
      <w:tr w14:paraId="4DCD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F4DE2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Vasopressin</w:t>
            </w:r>
          </w:p>
        </w:tc>
        <w:tc>
          <w:tcPr>
            <w:tcW w:w="2765" w:type="dxa"/>
            <w:vAlign w:val="center"/>
          </w:tcPr>
          <w:p w14:paraId="49F206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Ventilation status</w:t>
            </w:r>
          </w:p>
        </w:tc>
        <w:tc>
          <w:tcPr>
            <w:tcW w:w="2766" w:type="dxa"/>
            <w:vAlign w:val="center"/>
          </w:tcPr>
          <w:p w14:paraId="64EC0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Use of warfarin</w:t>
            </w:r>
          </w:p>
        </w:tc>
      </w:tr>
      <w:tr w14:paraId="4520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8ED0B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Weight</w:t>
            </w:r>
          </w:p>
        </w:tc>
        <w:tc>
          <w:tcPr>
            <w:tcW w:w="2765" w:type="dxa"/>
            <w:vAlign w:val="center"/>
          </w:tcPr>
          <w:p w14:paraId="18EADF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Hadm ID*</w:t>
            </w:r>
          </w:p>
        </w:tc>
        <w:tc>
          <w:tcPr>
            <w:tcW w:w="2766" w:type="dxa"/>
            <w:vAlign w:val="center"/>
          </w:tcPr>
          <w:p w14:paraId="058E74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Stay ID*</w:t>
            </w:r>
          </w:p>
        </w:tc>
      </w:tr>
      <w:tr w14:paraId="5FFB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0C6FA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Gender</w:t>
            </w:r>
          </w:p>
        </w:tc>
        <w:tc>
          <w:tcPr>
            <w:tcW w:w="2765" w:type="dxa"/>
            <w:vAlign w:val="center"/>
          </w:tcPr>
          <w:p w14:paraId="323A6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Admission age</w:t>
            </w:r>
          </w:p>
        </w:tc>
        <w:tc>
          <w:tcPr>
            <w:tcW w:w="2766" w:type="dxa"/>
            <w:vAlign w:val="center"/>
          </w:tcPr>
          <w:p w14:paraId="06A416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Race</w:t>
            </w:r>
          </w:p>
        </w:tc>
      </w:tr>
      <w:tr w14:paraId="11AE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5BF2FC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Admit time</w:t>
            </w:r>
          </w:p>
        </w:tc>
        <w:tc>
          <w:tcPr>
            <w:tcW w:w="2765" w:type="dxa"/>
            <w:vAlign w:val="center"/>
          </w:tcPr>
          <w:p w14:paraId="13D4CC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Discharge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time</w:t>
            </w:r>
          </w:p>
        </w:tc>
        <w:tc>
          <w:tcPr>
            <w:tcW w:w="2766" w:type="dxa"/>
            <w:vAlign w:val="center"/>
          </w:tcPr>
          <w:p w14:paraId="65BCA9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Hospital length of stay</w:t>
            </w:r>
          </w:p>
        </w:tc>
      </w:tr>
      <w:tr w14:paraId="0C26F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7A4A63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Hospital expire flag</w:t>
            </w:r>
          </w:p>
        </w:tc>
        <w:tc>
          <w:tcPr>
            <w:tcW w:w="2765" w:type="dxa"/>
            <w:vAlign w:val="center"/>
          </w:tcPr>
          <w:p w14:paraId="12CA3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ICU intime</w:t>
            </w:r>
          </w:p>
        </w:tc>
        <w:tc>
          <w:tcPr>
            <w:tcW w:w="2766" w:type="dxa"/>
            <w:vAlign w:val="center"/>
          </w:tcPr>
          <w:p w14:paraId="73973D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ICU outtime</w:t>
            </w:r>
          </w:p>
        </w:tc>
      </w:tr>
      <w:tr w14:paraId="0B3F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vAlign w:val="center"/>
          </w:tcPr>
          <w:p w14:paraId="4DD55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ICU length of stay</w:t>
            </w:r>
          </w:p>
        </w:tc>
        <w:tc>
          <w:tcPr>
            <w:tcW w:w="2765" w:type="dxa"/>
            <w:vAlign w:val="center"/>
          </w:tcPr>
          <w:p w14:paraId="0D9EB3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Survival time</w:t>
            </w:r>
          </w:p>
        </w:tc>
        <w:tc>
          <w:tcPr>
            <w:tcW w:w="2766" w:type="dxa"/>
            <w:vAlign w:val="center"/>
          </w:tcPr>
          <w:p w14:paraId="1C693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Survival status</w:t>
            </w:r>
          </w:p>
        </w:tc>
      </w:tr>
    </w:tbl>
    <w:p w14:paraId="11E16632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*: Not included in the </w:t>
      </w:r>
      <w:r>
        <w:rPr>
          <w:rFonts w:ascii="Times New Roman" w:hAnsi="Times New Roman" w:cs="Times New Roman"/>
          <w:color w:val="EE0000"/>
          <w:sz w:val="20"/>
          <w:szCs w:val="20"/>
        </w:rPr>
        <w:t>imputation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process. </w:t>
      </w:r>
    </w:p>
    <w:p w14:paraId="0F1A548C">
      <w:pPr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color w:val="EE0000"/>
          <w:sz w:val="20"/>
          <w:szCs w:val="20"/>
        </w:rPr>
        <w:t>ACEI: Angiotensin-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onverting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e</w:t>
      </w:r>
      <w:r>
        <w:rPr>
          <w:rFonts w:ascii="Times New Roman" w:hAnsi="Times New Roman" w:cs="Times New Roman"/>
          <w:color w:val="EE0000"/>
          <w:sz w:val="20"/>
          <w:szCs w:val="20"/>
        </w:rPr>
        <w:t>nzyme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i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nhibitor; ARB: Angiotensin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eceptor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locker; APS III: Acute Physiology Score III; ALT: Alanine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minotransferase; AST: Aspartate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minotransferase; BUN: Blood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u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rea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n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itrogen; CCI: Charlson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omorbidity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ndex; CRRT: Continuous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enal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eplacement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t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herapy; DBP: Diastolic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lood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p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ressure; EVT: Endovascular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t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herapy; GCS: Glasgow Coma Scale; ICU: Intensive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are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u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nit; IVT: Intravenous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t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hrombolysis; LDH: Lactate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d</w:t>
      </w:r>
      <w:r>
        <w:rPr>
          <w:rFonts w:ascii="Times New Roman" w:hAnsi="Times New Roman" w:cs="Times New Roman"/>
          <w:color w:val="EE0000"/>
          <w:sz w:val="20"/>
          <w:szCs w:val="20"/>
        </w:rPr>
        <w:t>ehydrogenase; LMWH: Low-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m</w:t>
      </w:r>
      <w:r>
        <w:rPr>
          <w:rFonts w:ascii="Times New Roman" w:hAnsi="Times New Roman" w:cs="Times New Roman"/>
          <w:color w:val="EE0000"/>
          <w:sz w:val="20"/>
          <w:szCs w:val="20"/>
        </w:rPr>
        <w:t>olecular-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w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eight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h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eparin; LODS: Logistic Organ Dysfunction System; MAP: Mean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rterial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p</w:t>
      </w:r>
      <w:r>
        <w:rPr>
          <w:rFonts w:ascii="Times New Roman" w:hAnsi="Times New Roman" w:cs="Times New Roman"/>
          <w:color w:val="EE0000"/>
          <w:sz w:val="20"/>
          <w:szCs w:val="20"/>
        </w:rPr>
        <w:t>ressure; NOACs: Non-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V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itamin K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ntagonist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o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ral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nticoagulants; OASIS: Oxford Acute Severity of Illness Score; RBC: Red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lood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ell; RDW: Red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ell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d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istribution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w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idth; RR: Respiratory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ate; RRT: Renal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eplacement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t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herapy; SAPS II: Simplified Acute Physiology Score II; SBP: Systolic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lood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p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ressure; SIRS: Systemic Inflammatory Response Syndrome; SOFA: Sequential Organ Failure Assessment; SpO₂: Saturation of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p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eripheral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o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xygen; WBC: White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b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lood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>ell.</w:t>
      </w:r>
    </w:p>
    <w:bookmarkEnd w:id="0"/>
    <w:p w14:paraId="11EE7E5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140C3E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14B704B9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6BD120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S4.</w:t>
      </w:r>
      <w:r>
        <w:rPr>
          <w:rFonts w:hint="eastAsia" w:ascii="Times New Roman" w:hAnsi="Times New Roman" w:cs="Times New Roman"/>
          <w:sz w:val="20"/>
          <w:szCs w:val="20"/>
        </w:rPr>
        <w:t xml:space="preserve"> VIFs of covariables.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58F9503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6" w:space="0"/>
              <w:bottom w:val="single" w:color="auto" w:sz="6" w:space="0"/>
            </w:tcBorders>
          </w:tcPr>
          <w:p w14:paraId="50E775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148" w:type="dxa"/>
            <w:tcBorders>
              <w:top w:val="single" w:color="auto" w:sz="6" w:space="0"/>
              <w:bottom w:val="single" w:color="auto" w:sz="6" w:space="0"/>
            </w:tcBorders>
          </w:tcPr>
          <w:p w14:paraId="5AA07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VIFs</w:t>
            </w:r>
          </w:p>
        </w:tc>
      </w:tr>
      <w:tr w14:paraId="038F518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6" w:space="0"/>
            </w:tcBorders>
          </w:tcPr>
          <w:p w14:paraId="6F870F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4148" w:type="dxa"/>
            <w:tcBorders>
              <w:top w:val="single" w:color="auto" w:sz="6" w:space="0"/>
            </w:tcBorders>
          </w:tcPr>
          <w:p w14:paraId="2B7D5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1.523</w:t>
            </w:r>
          </w:p>
        </w:tc>
      </w:tr>
      <w:tr w14:paraId="526EEE2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C3772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Atrial fibrillation</w:t>
            </w:r>
          </w:p>
        </w:tc>
        <w:tc>
          <w:tcPr>
            <w:tcW w:w="4148" w:type="dxa"/>
          </w:tcPr>
          <w:p w14:paraId="6625C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1.411</w:t>
            </w:r>
          </w:p>
        </w:tc>
      </w:tr>
      <w:tr w14:paraId="1E408BC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4B3D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Malignant tumor</w:t>
            </w:r>
          </w:p>
        </w:tc>
        <w:tc>
          <w:tcPr>
            <w:tcW w:w="4148" w:type="dxa"/>
          </w:tcPr>
          <w:p w14:paraId="02D77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1.901</w:t>
            </w:r>
          </w:p>
        </w:tc>
      </w:tr>
      <w:tr w14:paraId="37B7001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D3F77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4148" w:type="dxa"/>
          </w:tcPr>
          <w:p w14:paraId="76C67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1.567</w:t>
            </w:r>
          </w:p>
        </w:tc>
      </w:tr>
      <w:tr w14:paraId="756F4BE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28BFD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Myocardial infarction</w:t>
            </w:r>
          </w:p>
        </w:tc>
        <w:tc>
          <w:tcPr>
            <w:tcW w:w="4148" w:type="dxa"/>
          </w:tcPr>
          <w:p w14:paraId="4F7C7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1.284</w:t>
            </w:r>
          </w:p>
        </w:tc>
      </w:tr>
      <w:tr w14:paraId="3E3B649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9BEDE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Severe liver disease</w:t>
            </w:r>
          </w:p>
        </w:tc>
        <w:tc>
          <w:tcPr>
            <w:tcW w:w="4148" w:type="dxa"/>
          </w:tcPr>
          <w:p w14:paraId="3A6B3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1.392</w:t>
            </w:r>
          </w:p>
        </w:tc>
      </w:tr>
      <w:tr w14:paraId="3DB531F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78F9E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harlson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comorbidity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4148" w:type="dxa"/>
          </w:tcPr>
          <w:p w14:paraId="2BB0E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3.190</w:t>
            </w:r>
          </w:p>
        </w:tc>
      </w:tr>
      <w:tr w14:paraId="3D0B74E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B4B86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4148" w:type="dxa"/>
          </w:tcPr>
          <w:p w14:paraId="4B6D5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1.686</w:t>
            </w:r>
          </w:p>
        </w:tc>
      </w:tr>
      <w:tr w14:paraId="06E3F30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B9063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nion gap</w:t>
            </w:r>
          </w:p>
        </w:tc>
        <w:tc>
          <w:tcPr>
            <w:tcW w:w="4148" w:type="dxa"/>
          </w:tcPr>
          <w:p w14:paraId="6D343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1.986</w:t>
            </w:r>
          </w:p>
        </w:tc>
      </w:tr>
      <w:tr w14:paraId="6FA9818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1EF8C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4148" w:type="dxa"/>
          </w:tcPr>
          <w:p w14:paraId="0DFAF5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1.247</w:t>
            </w:r>
          </w:p>
        </w:tc>
      </w:tr>
      <w:tr w14:paraId="04A7A74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4DAD0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Bicarbonate</w:t>
            </w:r>
          </w:p>
        </w:tc>
        <w:tc>
          <w:tcPr>
            <w:tcW w:w="4148" w:type="dxa"/>
          </w:tcPr>
          <w:p w14:paraId="698A9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1.757</w:t>
            </w:r>
          </w:p>
        </w:tc>
      </w:tr>
      <w:tr w14:paraId="5464483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EC92F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Blood urea nitrogen</w:t>
            </w:r>
          </w:p>
        </w:tc>
        <w:tc>
          <w:tcPr>
            <w:tcW w:w="4148" w:type="dxa"/>
          </w:tcPr>
          <w:p w14:paraId="772B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2.232</w:t>
            </w:r>
          </w:p>
        </w:tc>
      </w:tr>
      <w:tr w14:paraId="09C37A7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633C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4148" w:type="dxa"/>
          </w:tcPr>
          <w:p w14:paraId="2BB64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2.450</w:t>
            </w:r>
          </w:p>
        </w:tc>
      </w:tr>
      <w:tr w14:paraId="2C370F0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B3D7E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Potassium</w:t>
            </w:r>
          </w:p>
        </w:tc>
        <w:tc>
          <w:tcPr>
            <w:tcW w:w="4148" w:type="dxa"/>
          </w:tcPr>
          <w:p w14:paraId="711E2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1.334</w:t>
            </w:r>
          </w:p>
        </w:tc>
      </w:tr>
      <w:tr w14:paraId="057A68E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747FE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4148" w:type="dxa"/>
          </w:tcPr>
          <w:p w14:paraId="00097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1.615</w:t>
            </w:r>
          </w:p>
        </w:tc>
      </w:tr>
      <w:tr w14:paraId="4F16D62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4171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WAC</w:t>
            </w:r>
          </w:p>
        </w:tc>
        <w:tc>
          <w:tcPr>
            <w:tcW w:w="4148" w:type="dxa"/>
          </w:tcPr>
          <w:p w14:paraId="44A37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1.284</w:t>
            </w:r>
          </w:p>
        </w:tc>
      </w:tr>
      <w:tr w14:paraId="2FD98E3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A22D2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GCS</w:t>
            </w:r>
          </w:p>
        </w:tc>
        <w:tc>
          <w:tcPr>
            <w:tcW w:w="4148" w:type="dxa"/>
          </w:tcPr>
          <w:p w14:paraId="64FF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1.464</w:t>
            </w:r>
          </w:p>
        </w:tc>
      </w:tr>
      <w:tr w14:paraId="23BDD87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8323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Hear rate</w:t>
            </w:r>
          </w:p>
        </w:tc>
        <w:tc>
          <w:tcPr>
            <w:tcW w:w="4148" w:type="dxa"/>
          </w:tcPr>
          <w:p w14:paraId="4978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1.352</w:t>
            </w:r>
          </w:p>
        </w:tc>
      </w:tr>
      <w:tr w14:paraId="418AE50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525A4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MAP</w:t>
            </w:r>
          </w:p>
        </w:tc>
        <w:tc>
          <w:tcPr>
            <w:tcW w:w="4148" w:type="dxa"/>
          </w:tcPr>
          <w:p w14:paraId="5017F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1.498</w:t>
            </w:r>
          </w:p>
        </w:tc>
      </w:tr>
      <w:tr w14:paraId="74C0C3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880BC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4148" w:type="dxa"/>
          </w:tcPr>
          <w:p w14:paraId="4DD4B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1.627</w:t>
            </w:r>
          </w:p>
        </w:tc>
      </w:tr>
      <w:tr w14:paraId="1D5415A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20A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RRT</w:t>
            </w:r>
          </w:p>
        </w:tc>
        <w:tc>
          <w:tcPr>
            <w:tcW w:w="4148" w:type="dxa"/>
          </w:tcPr>
          <w:p w14:paraId="7B26D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1.741</w:t>
            </w:r>
          </w:p>
        </w:tc>
      </w:tr>
      <w:tr w14:paraId="74BF843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DD089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SPO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48" w:type="dxa"/>
          </w:tcPr>
          <w:p w14:paraId="04456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1.422</w:t>
            </w:r>
          </w:p>
        </w:tc>
      </w:tr>
      <w:tr w14:paraId="4338605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23F9E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Weight</w:t>
            </w:r>
          </w:p>
        </w:tc>
        <w:tc>
          <w:tcPr>
            <w:tcW w:w="4148" w:type="dxa"/>
          </w:tcPr>
          <w:p w14:paraId="0DB06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1.402</w:t>
            </w:r>
          </w:p>
        </w:tc>
      </w:tr>
      <w:tr w14:paraId="6A8E1E1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4D54E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4148" w:type="dxa"/>
          </w:tcPr>
          <w:p w14:paraId="663A6D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1.365</w:t>
            </w:r>
          </w:p>
        </w:tc>
      </w:tr>
      <w:tr w14:paraId="7DF0789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92685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4148" w:type="dxa"/>
          </w:tcPr>
          <w:p w14:paraId="05E6A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2.291</w:t>
            </w:r>
          </w:p>
        </w:tc>
      </w:tr>
      <w:tr w14:paraId="07FC994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D501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SAPS II</w:t>
            </w:r>
          </w:p>
        </w:tc>
        <w:tc>
          <w:tcPr>
            <w:tcW w:w="4148" w:type="dxa"/>
          </w:tcPr>
          <w:p w14:paraId="55891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2.660</w:t>
            </w:r>
          </w:p>
        </w:tc>
      </w:tr>
      <w:tr w14:paraId="3EBFA9A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0914B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4148" w:type="dxa"/>
          </w:tcPr>
          <w:p w14:paraId="60FC0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1.138</w:t>
            </w:r>
          </w:p>
        </w:tc>
      </w:tr>
      <w:tr w14:paraId="5EBB85B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9DB6D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IT</w:t>
            </w:r>
          </w:p>
        </w:tc>
        <w:tc>
          <w:tcPr>
            <w:tcW w:w="4148" w:type="dxa"/>
          </w:tcPr>
          <w:p w14:paraId="51F5D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1.135</w:t>
            </w:r>
          </w:p>
        </w:tc>
      </w:tr>
      <w:tr w14:paraId="500CFC8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B055D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EVT</w:t>
            </w:r>
          </w:p>
        </w:tc>
        <w:tc>
          <w:tcPr>
            <w:tcW w:w="4148" w:type="dxa"/>
          </w:tcPr>
          <w:p w14:paraId="77E2B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1.070</w:t>
            </w:r>
          </w:p>
        </w:tc>
      </w:tr>
      <w:tr w14:paraId="38F696D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D41B4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Platelet</w:t>
            </w:r>
          </w:p>
        </w:tc>
        <w:tc>
          <w:tcPr>
            <w:tcW w:w="4148" w:type="dxa"/>
          </w:tcPr>
          <w:p w14:paraId="7CA3F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1.298</w:t>
            </w:r>
          </w:p>
        </w:tc>
      </w:tr>
      <w:tr w14:paraId="0D08F89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70558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Invasive ventilation</w:t>
            </w:r>
          </w:p>
        </w:tc>
        <w:tc>
          <w:tcPr>
            <w:tcW w:w="4148" w:type="dxa"/>
          </w:tcPr>
          <w:p w14:paraId="5326A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1.713</w:t>
            </w:r>
          </w:p>
        </w:tc>
      </w:tr>
      <w:tr w14:paraId="64E70F1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C34E5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4148" w:type="dxa"/>
          </w:tcPr>
          <w:p w14:paraId="045C5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1.520</w:t>
            </w:r>
          </w:p>
        </w:tc>
      </w:tr>
      <w:tr w14:paraId="075204D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F3AC4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Diabetes</w:t>
            </w:r>
          </w:p>
        </w:tc>
        <w:tc>
          <w:tcPr>
            <w:tcW w:w="4148" w:type="dxa"/>
          </w:tcPr>
          <w:p w14:paraId="5CA02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1.656</w:t>
            </w:r>
          </w:p>
        </w:tc>
      </w:tr>
    </w:tbl>
    <w:p w14:paraId="708FD6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20"/>
          <w:szCs w:val="20"/>
        </w:rPr>
        <w:t xml:space="preserve">VIFs: </w:t>
      </w:r>
      <w:r>
        <w:rPr>
          <w:rFonts w:ascii="Times New Roman" w:hAnsi="Times New Roman" w:cs="Times New Roman"/>
          <w:sz w:val="20"/>
          <w:szCs w:val="20"/>
        </w:rPr>
        <w:t>Variance inflation factors</w:t>
      </w:r>
      <w:r>
        <w:rPr>
          <w:rFonts w:hint="eastAsia" w:ascii="Times New Roman" w:hAnsi="Times New Roman" w:cs="Times New Roman"/>
          <w:sz w:val="20"/>
          <w:szCs w:val="20"/>
        </w:rPr>
        <w:t xml:space="preserve">; AST: Aspartate aminotransferase; RBC: Red blood cell; WBC: White blood cell; GCS: Glasgow Coma Scale; MAP: Mean arterial pressure; RR: Respiratory rate; RRT: Renal replacement therapy; SpO2: </w:t>
      </w:r>
      <w:r>
        <w:rPr>
          <w:rFonts w:ascii="Times New Roman" w:hAnsi="Times New Roman" w:cs="Times New Roman"/>
          <w:sz w:val="20"/>
          <w:szCs w:val="20"/>
        </w:rPr>
        <w:t>Saturation of peripheral oxygen</w:t>
      </w:r>
      <w:r>
        <w:rPr>
          <w:rFonts w:hint="eastAsia" w:ascii="Times New Roman" w:hAnsi="Times New Roman" w:cs="Times New Roman"/>
          <w:sz w:val="20"/>
          <w:szCs w:val="20"/>
        </w:rPr>
        <w:t xml:space="preserve">; SAPS II: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Simplified Acute Physiology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II</w:t>
      </w:r>
      <w:r>
        <w:rPr>
          <w:rFonts w:hint="eastAsia" w:ascii="Times New Roman" w:hAnsi="Times New Roman" w:cs="Times New Roman"/>
          <w:sz w:val="20"/>
          <w:szCs w:val="20"/>
        </w:rPr>
        <w:t>; IVT: Intravenous thrombolysis; EVT: Endovascular thrombectomy.</w:t>
      </w:r>
    </w:p>
    <w:p w14:paraId="5937749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7F8B42">
      <w:pPr>
        <w:rPr>
          <w:rFonts w:ascii="Times New Roman" w:hAnsi="Times New Roman" w:cs="Times New Roman"/>
          <w:b/>
          <w:bCs/>
          <w:szCs w:val="22"/>
        </w:rPr>
      </w:pPr>
    </w:p>
    <w:p w14:paraId="22E5E5F6">
      <w:pPr>
        <w:rPr>
          <w:rFonts w:ascii="Times New Roman" w:hAnsi="Times New Roman" w:cs="Times New Roman"/>
          <w:b/>
          <w:bCs/>
          <w:szCs w:val="22"/>
        </w:rPr>
      </w:pPr>
    </w:p>
    <w:p w14:paraId="5E4850B7">
      <w:pPr>
        <w:rPr>
          <w:rFonts w:ascii="Times New Roman" w:hAnsi="Times New Roman" w:cs="Times New Roman"/>
          <w:b/>
          <w:bCs/>
          <w:szCs w:val="22"/>
        </w:rPr>
        <w:sectPr>
          <w:pgSz w:w="11907" w:h="16840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264EE19D">
      <w:pPr>
        <w:rPr>
          <w:rFonts w:ascii="Times New Roman" w:hAnsi="Times New Roman" w:cs="Times New Roman"/>
          <w:b/>
          <w:bCs/>
          <w:szCs w:val="22"/>
        </w:rPr>
      </w:pPr>
    </w:p>
    <w:p w14:paraId="53D49B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S5.</w:t>
      </w:r>
      <w:r>
        <w:rPr>
          <w:rFonts w:hint="eastAsia" w:ascii="Times New Roman" w:hAnsi="Times New Roman" w:cs="Times New Roman"/>
          <w:sz w:val="20"/>
          <w:szCs w:val="20"/>
        </w:rPr>
        <w:t xml:space="preserve"> Multivariable Cox regression models for in-hospital and 30-day mortality </w:t>
      </w:r>
      <w:r>
        <w:rPr>
          <w:rFonts w:ascii="Times New Roman" w:hAnsi="Times New Roman" w:cs="Times New Roman"/>
          <w:sz w:val="20"/>
          <w:szCs w:val="20"/>
        </w:rPr>
        <w:t>per 1-SD increase in standardized LDH</w:t>
      </w:r>
      <w:r>
        <w:rPr>
          <w:rFonts w:hint="eastAsia"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z-transformation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16"/>
        <w:tblW w:w="9776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1389"/>
        <w:gridCol w:w="178"/>
        <w:gridCol w:w="955"/>
        <w:gridCol w:w="1536"/>
        <w:gridCol w:w="986"/>
        <w:gridCol w:w="1621"/>
        <w:gridCol w:w="992"/>
      </w:tblGrid>
      <w:tr w14:paraId="1A2F40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1E5FDC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22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5E9B968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11EBC7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1D49257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14:paraId="6C556D0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  <w:vMerge w:val="continue"/>
            <w:tcBorders>
              <w:top w:val="nil"/>
              <w:bottom w:val="single" w:color="auto" w:sz="6" w:space="0"/>
            </w:tcBorders>
          </w:tcPr>
          <w:p w14:paraId="21C22C9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3135E1F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55" w:type="dxa"/>
            <w:tcBorders>
              <w:top w:val="single" w:color="auto" w:sz="6" w:space="0"/>
              <w:bottom w:val="single" w:color="auto" w:sz="6" w:space="0"/>
            </w:tcBorders>
          </w:tcPr>
          <w:p w14:paraId="7B2BA3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bottom w:val="single" w:color="auto" w:sz="6" w:space="0"/>
            </w:tcBorders>
          </w:tcPr>
          <w:p w14:paraId="541E7C0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bottom w:val="single" w:color="auto" w:sz="6" w:space="0"/>
            </w:tcBorders>
          </w:tcPr>
          <w:p w14:paraId="308A3F8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bottom w:val="single" w:color="auto" w:sz="6" w:space="0"/>
            </w:tcBorders>
          </w:tcPr>
          <w:p w14:paraId="42B36C4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784E3BB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14:paraId="5EC40B9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6" w:type="dxa"/>
            <w:gridSpan w:val="8"/>
            <w:tcBorders>
              <w:top w:val="single" w:color="auto" w:sz="6" w:space="0"/>
            </w:tcBorders>
          </w:tcPr>
          <w:p w14:paraId="2443F96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In-hospital mortality</w:t>
            </w:r>
          </w:p>
        </w:tc>
      </w:tr>
      <w:tr w14:paraId="091D7B4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</w:tcPr>
          <w:p w14:paraId="21FD3630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Continuous LDH (1-SD)</w:t>
            </w:r>
          </w:p>
        </w:tc>
        <w:tc>
          <w:tcPr>
            <w:tcW w:w="1389" w:type="dxa"/>
          </w:tcPr>
          <w:p w14:paraId="0A1487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1.05 (0.97-1.14)</w:t>
            </w:r>
          </w:p>
        </w:tc>
        <w:tc>
          <w:tcPr>
            <w:tcW w:w="1133" w:type="dxa"/>
            <w:gridSpan w:val="2"/>
          </w:tcPr>
          <w:p w14:paraId="50ACD42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536" w:type="dxa"/>
          </w:tcPr>
          <w:p w14:paraId="1153656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1.06 (0.98-1.14)</w:t>
            </w:r>
          </w:p>
        </w:tc>
        <w:tc>
          <w:tcPr>
            <w:tcW w:w="986" w:type="dxa"/>
          </w:tcPr>
          <w:p w14:paraId="476547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621" w:type="dxa"/>
          </w:tcPr>
          <w:p w14:paraId="1376DC1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0.90 (0.79-1.02)</w:t>
            </w:r>
          </w:p>
        </w:tc>
        <w:tc>
          <w:tcPr>
            <w:tcW w:w="992" w:type="dxa"/>
          </w:tcPr>
          <w:p w14:paraId="51E63F7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0.101</w:t>
            </w:r>
          </w:p>
        </w:tc>
      </w:tr>
      <w:tr w14:paraId="34B3C83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6" w:type="dxa"/>
            <w:gridSpan w:val="8"/>
          </w:tcPr>
          <w:p w14:paraId="4B0FB58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30-day mortality</w:t>
            </w:r>
          </w:p>
        </w:tc>
      </w:tr>
      <w:tr w14:paraId="7F87DB4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9" w:type="dxa"/>
          </w:tcPr>
          <w:p w14:paraId="7015E84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Continuous LDH (1-SD)</w:t>
            </w:r>
          </w:p>
        </w:tc>
        <w:tc>
          <w:tcPr>
            <w:tcW w:w="1389" w:type="dxa"/>
          </w:tcPr>
          <w:p w14:paraId="137E0D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1.11 (1.04-1.19)</w:t>
            </w:r>
          </w:p>
        </w:tc>
        <w:tc>
          <w:tcPr>
            <w:tcW w:w="1133" w:type="dxa"/>
            <w:gridSpan w:val="2"/>
          </w:tcPr>
          <w:p w14:paraId="65CDF4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536" w:type="dxa"/>
          </w:tcPr>
          <w:p w14:paraId="291D9C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1.11 (1.04-1.19)</w:t>
            </w:r>
          </w:p>
        </w:tc>
        <w:tc>
          <w:tcPr>
            <w:tcW w:w="986" w:type="dxa"/>
          </w:tcPr>
          <w:p w14:paraId="7019C82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621" w:type="dxa"/>
          </w:tcPr>
          <w:p w14:paraId="28203F6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0.87 (0.75-1.01)</w:t>
            </w:r>
          </w:p>
        </w:tc>
        <w:tc>
          <w:tcPr>
            <w:tcW w:w="992" w:type="dxa"/>
          </w:tcPr>
          <w:p w14:paraId="782D5E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0.062</w:t>
            </w:r>
          </w:p>
        </w:tc>
      </w:tr>
    </w:tbl>
    <w:p w14:paraId="46DEEC13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LDH: Lactate dehydrogenase; HR: Hazard ratio; CI: Confidence interval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9F355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72FB028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3DCD9F">
      <w:pPr>
        <w:rPr>
          <w:rFonts w:ascii="Times New Roman" w:hAnsi="Times New Roman" w:cs="Times New Roman"/>
          <w:b/>
          <w:bCs/>
          <w:szCs w:val="22"/>
        </w:rPr>
      </w:pPr>
    </w:p>
    <w:p w14:paraId="69BAA2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S6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Multivariable Cox regression models for in-hospital and 30-day mortality by LDH </w:t>
      </w:r>
      <w:r>
        <w:rPr>
          <w:rFonts w:hint="eastAsia" w:ascii="Times New Roman" w:hAnsi="Times New Roman" w:cs="Times New Roman"/>
          <w:sz w:val="20"/>
          <w:szCs w:val="20"/>
        </w:rPr>
        <w:t>trend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16"/>
        <w:tblW w:w="9776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628"/>
        <w:gridCol w:w="1133"/>
        <w:gridCol w:w="1536"/>
        <w:gridCol w:w="986"/>
        <w:gridCol w:w="1621"/>
        <w:gridCol w:w="992"/>
      </w:tblGrid>
      <w:tr w14:paraId="015BEEF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37E5F8A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761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0C7FDA0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1FDD33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040650F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14:paraId="5BBD24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continue"/>
            <w:tcBorders>
              <w:top w:val="nil"/>
              <w:bottom w:val="single" w:color="auto" w:sz="6" w:space="0"/>
            </w:tcBorders>
          </w:tcPr>
          <w:p w14:paraId="3EEB432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color="auto" w:sz="6" w:space="0"/>
              <w:bottom w:val="single" w:color="auto" w:sz="6" w:space="0"/>
            </w:tcBorders>
          </w:tcPr>
          <w:p w14:paraId="627C560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</w:tcPr>
          <w:p w14:paraId="56FD69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bottom w:val="single" w:color="auto" w:sz="6" w:space="0"/>
            </w:tcBorders>
          </w:tcPr>
          <w:p w14:paraId="52D51D4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bottom w:val="single" w:color="auto" w:sz="6" w:space="0"/>
            </w:tcBorders>
          </w:tcPr>
          <w:p w14:paraId="54D052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bottom w:val="single" w:color="auto" w:sz="6" w:space="0"/>
            </w:tcBorders>
          </w:tcPr>
          <w:p w14:paraId="56F43DA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72EF272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14:paraId="16C6FFD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6" w:type="dxa"/>
            <w:gridSpan w:val="7"/>
            <w:tcBorders>
              <w:top w:val="single" w:color="auto" w:sz="6" w:space="0"/>
            </w:tcBorders>
          </w:tcPr>
          <w:p w14:paraId="023DC54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In-hospital mortality</w:t>
            </w:r>
          </w:p>
        </w:tc>
      </w:tr>
      <w:tr w14:paraId="4BAAE1D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6B512E3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LDH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28" w:type="dxa"/>
          </w:tcPr>
          <w:p w14:paraId="246739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(1.10-2.18)</w:t>
            </w:r>
          </w:p>
        </w:tc>
        <w:tc>
          <w:tcPr>
            <w:tcW w:w="1133" w:type="dxa"/>
          </w:tcPr>
          <w:p w14:paraId="270709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536" w:type="dxa"/>
          </w:tcPr>
          <w:p w14:paraId="541164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 (1.08-2.14)</w:t>
            </w:r>
          </w:p>
        </w:tc>
        <w:tc>
          <w:tcPr>
            <w:tcW w:w="986" w:type="dxa"/>
          </w:tcPr>
          <w:p w14:paraId="3A385C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21" w:type="dxa"/>
          </w:tcPr>
          <w:p w14:paraId="1F52DDC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 (1.25-2.73)</w:t>
            </w:r>
          </w:p>
        </w:tc>
        <w:tc>
          <w:tcPr>
            <w:tcW w:w="992" w:type="dxa"/>
          </w:tcPr>
          <w:p w14:paraId="4911D1D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1F1280E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76" w:type="dxa"/>
            <w:gridSpan w:val="7"/>
          </w:tcPr>
          <w:p w14:paraId="75A6E7A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</w:tr>
      <w:tr w14:paraId="60ACA5C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23E832C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LDH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28" w:type="dxa"/>
          </w:tcPr>
          <w:p w14:paraId="1DF1B9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(1.34-2.12)</w:t>
            </w:r>
          </w:p>
        </w:tc>
        <w:tc>
          <w:tcPr>
            <w:tcW w:w="1133" w:type="dxa"/>
          </w:tcPr>
          <w:p w14:paraId="5D5C400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536" w:type="dxa"/>
          </w:tcPr>
          <w:p w14:paraId="37118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 (1.11-2.08)</w:t>
            </w:r>
          </w:p>
        </w:tc>
        <w:tc>
          <w:tcPr>
            <w:tcW w:w="986" w:type="dxa"/>
          </w:tcPr>
          <w:p w14:paraId="35BB90D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621" w:type="dxa"/>
          </w:tcPr>
          <w:p w14:paraId="77B0BD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1.87 (1.31-2.65)</w:t>
            </w:r>
          </w:p>
        </w:tc>
        <w:tc>
          <w:tcPr>
            <w:tcW w:w="992" w:type="dxa"/>
          </w:tcPr>
          <w:p w14:paraId="527153E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5A617D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*LDH trend coded as Increased vs Decreased based on the difference between the first and last LDH during the ICU stay; patients without repeat LDH measurements were not included in trend models.</w:t>
      </w:r>
    </w:p>
    <w:p w14:paraId="692B4E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LDH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Lactate dehydrogenase; HR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hint="eastAsia" w:ascii="Times New Roman" w:hAnsi="Times New Roman" w:cs="Times New Roman"/>
          <w:sz w:val="20"/>
          <w:szCs w:val="20"/>
        </w:rPr>
        <w:t>; CI: Confidence interval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D7F58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7BBAE1">
      <w:pPr>
        <w:rPr>
          <w:rFonts w:ascii="Times New Roman" w:hAnsi="Times New Roman" w:cs="Times New Roman"/>
          <w:b/>
          <w:bCs/>
          <w:szCs w:val="22"/>
        </w:rPr>
      </w:pPr>
    </w:p>
    <w:p w14:paraId="607E9CDE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S7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EE0000"/>
          <w:sz w:val="20"/>
          <w:szCs w:val="20"/>
        </w:rPr>
        <w:t>Schoenfeld residual tests for proportional hazards (LDH-specific), outcome: in-hospital mortality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8DF0FA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7454D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75D478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Chi-square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73318D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df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4F0A4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3E62982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</w:tcBorders>
          </w:tcPr>
          <w:p w14:paraId="006981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6AA14A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2.400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48AD48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3AD5FD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0.300</w:t>
            </w:r>
          </w:p>
        </w:tc>
      </w:tr>
      <w:tr w14:paraId="35FD920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677431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2</w:t>
            </w:r>
          </w:p>
        </w:tc>
        <w:tc>
          <w:tcPr>
            <w:tcW w:w="2074" w:type="dxa"/>
          </w:tcPr>
          <w:p w14:paraId="6F8A2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2.901</w:t>
            </w:r>
          </w:p>
        </w:tc>
        <w:tc>
          <w:tcPr>
            <w:tcW w:w="2074" w:type="dxa"/>
          </w:tcPr>
          <w:p w14:paraId="21D8E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5</w:t>
            </w:r>
          </w:p>
        </w:tc>
        <w:tc>
          <w:tcPr>
            <w:tcW w:w="2074" w:type="dxa"/>
          </w:tcPr>
          <w:p w14:paraId="18815D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0.720</w:t>
            </w:r>
          </w:p>
        </w:tc>
      </w:tr>
      <w:tr w14:paraId="4B479A7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BD73E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3</w:t>
            </w:r>
          </w:p>
        </w:tc>
        <w:tc>
          <w:tcPr>
            <w:tcW w:w="2074" w:type="dxa"/>
          </w:tcPr>
          <w:p w14:paraId="6B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78.730</w:t>
            </w:r>
          </w:p>
        </w:tc>
        <w:tc>
          <w:tcPr>
            <w:tcW w:w="2074" w:type="dxa"/>
          </w:tcPr>
          <w:p w14:paraId="6B5630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35</w:t>
            </w:r>
          </w:p>
        </w:tc>
        <w:tc>
          <w:tcPr>
            <w:tcW w:w="2074" w:type="dxa"/>
          </w:tcPr>
          <w:p w14:paraId="647DD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</w:tr>
    </w:tbl>
    <w:p w14:paraId="14FCBC2B">
      <w:pPr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Abbreviations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LDH: Lactate dehydrogenase; df: Degrees of freedom.</w:t>
      </w:r>
    </w:p>
    <w:p w14:paraId="3ECB6C4D">
      <w:pPr>
        <w:rPr>
          <w:rFonts w:ascii="Times New Roman" w:hAnsi="Times New Roman" w:cs="Times New Roman"/>
          <w:color w:val="EE0000"/>
          <w:sz w:val="20"/>
          <w:szCs w:val="20"/>
        </w:rPr>
      </w:pPr>
    </w:p>
    <w:p w14:paraId="1D06A6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S8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.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Schoenfeld residual tests for proportional hazards (global), outcome: in-hospital mortality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026259C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231C55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108EC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Chi-square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E56DB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df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052F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15A41F1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</w:tcBorders>
          </w:tcPr>
          <w:p w14:paraId="121BF0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54E18A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5.040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6B7B5E75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        2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76E3A0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0.081</w:t>
            </w:r>
          </w:p>
        </w:tc>
      </w:tr>
      <w:tr w14:paraId="50D6A30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449A8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2</w:t>
            </w:r>
          </w:p>
        </w:tc>
        <w:tc>
          <w:tcPr>
            <w:tcW w:w="2074" w:type="dxa"/>
          </w:tcPr>
          <w:p w14:paraId="28C197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7.432</w:t>
            </w:r>
          </w:p>
        </w:tc>
        <w:tc>
          <w:tcPr>
            <w:tcW w:w="2074" w:type="dxa"/>
          </w:tcPr>
          <w:p w14:paraId="25ED3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18AA1A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0.115</w:t>
            </w:r>
          </w:p>
        </w:tc>
      </w:tr>
      <w:tr w14:paraId="32C21DE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53903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3</w:t>
            </w:r>
          </w:p>
        </w:tc>
        <w:tc>
          <w:tcPr>
            <w:tcW w:w="2074" w:type="dxa"/>
          </w:tcPr>
          <w:p w14:paraId="073DD7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66.7</w:t>
            </w:r>
          </w:p>
        </w:tc>
        <w:tc>
          <w:tcPr>
            <w:tcW w:w="2074" w:type="dxa"/>
          </w:tcPr>
          <w:p w14:paraId="6A7D9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35</w:t>
            </w:r>
          </w:p>
        </w:tc>
        <w:tc>
          <w:tcPr>
            <w:tcW w:w="2074" w:type="dxa"/>
          </w:tcPr>
          <w:p w14:paraId="6FFC07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0.001</w:t>
            </w:r>
          </w:p>
        </w:tc>
      </w:tr>
    </w:tbl>
    <w:p w14:paraId="5C02EA88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Abbreviations</w:t>
      </w:r>
      <w:r>
        <w:rPr>
          <w:rFonts w:ascii="Times New Roman" w:hAnsi="Times New Roman" w:cs="Times New Roman"/>
          <w:color w:val="EE0000"/>
          <w:sz w:val="20"/>
          <w:szCs w:val="20"/>
        </w:rPr>
        <w:t>: df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D</w:t>
      </w:r>
      <w:r>
        <w:rPr>
          <w:rFonts w:ascii="Times New Roman" w:hAnsi="Times New Roman" w:cs="Times New Roman"/>
          <w:color w:val="EE0000"/>
          <w:sz w:val="20"/>
          <w:szCs w:val="20"/>
        </w:rPr>
        <w:t>egrees of freedom.</w:t>
      </w:r>
    </w:p>
    <w:p w14:paraId="76EC50A6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62DEEA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S9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EE0000"/>
          <w:sz w:val="20"/>
          <w:szCs w:val="20"/>
        </w:rPr>
        <w:t>Schoenfeld residual tests for proportional hazards (LDH-specific), outcome: 30-day mortality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4D0552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CC64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7DC8A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Chi-square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636F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df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559EE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373FFC4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</w:tcBorders>
          </w:tcPr>
          <w:p w14:paraId="604044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1C8EF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5.040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34DB07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51C96B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0.081</w:t>
            </w:r>
          </w:p>
        </w:tc>
      </w:tr>
      <w:tr w14:paraId="72A4A67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CBD50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Model 2</w:t>
            </w:r>
          </w:p>
        </w:tc>
        <w:tc>
          <w:tcPr>
            <w:tcW w:w="2074" w:type="dxa"/>
          </w:tcPr>
          <w:p w14:paraId="75D0FC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4.972</w:t>
            </w:r>
          </w:p>
        </w:tc>
        <w:tc>
          <w:tcPr>
            <w:tcW w:w="2074" w:type="dxa"/>
          </w:tcPr>
          <w:p w14:paraId="6D764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2074" w:type="dxa"/>
          </w:tcPr>
          <w:p w14:paraId="6D8717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0.083</w:t>
            </w:r>
          </w:p>
        </w:tc>
      </w:tr>
      <w:tr w14:paraId="4B70AAB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192C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Model 3</w:t>
            </w:r>
          </w:p>
        </w:tc>
        <w:tc>
          <w:tcPr>
            <w:tcW w:w="2074" w:type="dxa"/>
          </w:tcPr>
          <w:p w14:paraId="6749C6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3.190</w:t>
            </w:r>
          </w:p>
        </w:tc>
        <w:tc>
          <w:tcPr>
            <w:tcW w:w="2074" w:type="dxa"/>
          </w:tcPr>
          <w:p w14:paraId="1447D5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</w:t>
            </w:r>
          </w:p>
        </w:tc>
        <w:tc>
          <w:tcPr>
            <w:tcW w:w="2074" w:type="dxa"/>
          </w:tcPr>
          <w:p w14:paraId="22C71B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0.203</w:t>
            </w:r>
          </w:p>
        </w:tc>
      </w:tr>
    </w:tbl>
    <w:p w14:paraId="3C527E68">
      <w:pPr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Abbreviations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LDH: Lactate dehydrogenase; df: Degrees of freedom.</w:t>
      </w:r>
    </w:p>
    <w:p w14:paraId="43C837A5">
      <w:pPr>
        <w:rPr>
          <w:rFonts w:ascii="Times New Roman" w:hAnsi="Times New Roman" w:cs="Times New Roman"/>
          <w:b/>
          <w:bCs/>
          <w:szCs w:val="22"/>
        </w:rPr>
      </w:pPr>
    </w:p>
    <w:p w14:paraId="5402BCCA">
      <w:pPr>
        <w:rPr>
          <w:rFonts w:ascii="Times New Roman" w:hAnsi="Times New Roman" w:cs="Times New Roman"/>
          <w:b/>
          <w:bCs/>
          <w:szCs w:val="22"/>
        </w:rPr>
      </w:pPr>
    </w:p>
    <w:p w14:paraId="730B82F0">
      <w:pPr>
        <w:spacing w:after="0" w:line="240" w:lineRule="auto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S10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EE0000"/>
          <w:sz w:val="20"/>
          <w:szCs w:val="20"/>
        </w:rPr>
        <w:t>Schoenfeld residual tests for proportional hazards (global), outcome: 30-day mortality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00BCB8F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BAB3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213F5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Chi-square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22B1C5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df</w:t>
            </w:r>
          </w:p>
        </w:tc>
        <w:tc>
          <w:tcPr>
            <w:tcW w:w="2074" w:type="dxa"/>
            <w:tcBorders>
              <w:top w:val="single" w:color="auto" w:sz="6" w:space="0"/>
              <w:bottom w:val="single" w:color="auto" w:sz="6" w:space="0"/>
            </w:tcBorders>
          </w:tcPr>
          <w:p w14:paraId="18F16B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7A12CC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6" w:space="0"/>
            </w:tcBorders>
          </w:tcPr>
          <w:p w14:paraId="630FE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7345E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5.040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5AFA879D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        2</w:t>
            </w:r>
          </w:p>
        </w:tc>
        <w:tc>
          <w:tcPr>
            <w:tcW w:w="2074" w:type="dxa"/>
            <w:tcBorders>
              <w:top w:val="single" w:color="auto" w:sz="6" w:space="0"/>
            </w:tcBorders>
          </w:tcPr>
          <w:p w14:paraId="58316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0.081</w:t>
            </w:r>
          </w:p>
        </w:tc>
      </w:tr>
      <w:tr w14:paraId="1C29E23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3E4BE0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2</w:t>
            </w:r>
          </w:p>
        </w:tc>
        <w:tc>
          <w:tcPr>
            <w:tcW w:w="2074" w:type="dxa"/>
          </w:tcPr>
          <w:p w14:paraId="000106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7.432</w:t>
            </w:r>
          </w:p>
        </w:tc>
        <w:tc>
          <w:tcPr>
            <w:tcW w:w="2074" w:type="dxa"/>
          </w:tcPr>
          <w:p w14:paraId="4250B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4</w:t>
            </w:r>
          </w:p>
        </w:tc>
        <w:tc>
          <w:tcPr>
            <w:tcW w:w="2074" w:type="dxa"/>
          </w:tcPr>
          <w:p w14:paraId="2D4DC9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0.115</w:t>
            </w:r>
          </w:p>
        </w:tc>
      </w:tr>
      <w:tr w14:paraId="06329B9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0DD808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Model 3</w:t>
            </w:r>
          </w:p>
        </w:tc>
        <w:tc>
          <w:tcPr>
            <w:tcW w:w="2074" w:type="dxa"/>
          </w:tcPr>
          <w:p w14:paraId="33D1FD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66.7</w:t>
            </w:r>
          </w:p>
        </w:tc>
        <w:tc>
          <w:tcPr>
            <w:tcW w:w="2074" w:type="dxa"/>
          </w:tcPr>
          <w:p w14:paraId="1A089E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35</w:t>
            </w:r>
          </w:p>
        </w:tc>
        <w:tc>
          <w:tcPr>
            <w:tcW w:w="2074" w:type="dxa"/>
          </w:tcPr>
          <w:p w14:paraId="57C045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0.001</w:t>
            </w:r>
          </w:p>
        </w:tc>
      </w:tr>
    </w:tbl>
    <w:p w14:paraId="5E86D0C8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Abbreviations</w:t>
      </w:r>
      <w:r>
        <w:rPr>
          <w:rFonts w:ascii="Times New Roman" w:hAnsi="Times New Roman" w:cs="Times New Roman"/>
          <w:color w:val="EE0000"/>
          <w:sz w:val="20"/>
          <w:szCs w:val="20"/>
        </w:rPr>
        <w:t>: df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D</w:t>
      </w:r>
      <w:r>
        <w:rPr>
          <w:rFonts w:ascii="Times New Roman" w:hAnsi="Times New Roman" w:cs="Times New Roman"/>
          <w:color w:val="EE0000"/>
          <w:sz w:val="20"/>
          <w:szCs w:val="20"/>
        </w:rPr>
        <w:t>egrees of freedom.</w:t>
      </w:r>
    </w:p>
    <w:p w14:paraId="067D45A1">
      <w:pPr>
        <w:rPr>
          <w:rFonts w:ascii="Times New Roman" w:hAnsi="Times New Roman" w:cs="Times New Roman"/>
          <w:b/>
          <w:bCs/>
          <w:color w:val="EE0000"/>
          <w:szCs w:val="22"/>
        </w:rPr>
      </w:pPr>
    </w:p>
    <w:p w14:paraId="21E39670">
      <w:pPr>
        <w:rPr>
          <w:rFonts w:ascii="Times New Roman" w:hAnsi="Times New Roman" w:cs="Times New Roman"/>
          <w:b/>
          <w:bCs/>
          <w:szCs w:val="22"/>
        </w:rPr>
      </w:pPr>
    </w:p>
    <w:p w14:paraId="0EE4DE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S11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Predictive performance of LDH for short-term mortality among critically ill patients with IS.</w:t>
      </w:r>
    </w:p>
    <w:tbl>
      <w:tblPr>
        <w:tblStyle w:val="16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1373"/>
        <w:gridCol w:w="1551"/>
        <w:gridCol w:w="1582"/>
        <w:gridCol w:w="1343"/>
        <w:gridCol w:w="1471"/>
      </w:tblGrid>
      <w:tr w14:paraId="2DF0264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11" w:type="dxa"/>
            <w:tcBorders>
              <w:top w:val="single" w:color="auto" w:sz="6" w:space="0"/>
              <w:bottom w:val="single" w:color="auto" w:sz="6" w:space="0"/>
            </w:tcBorders>
          </w:tcPr>
          <w:p w14:paraId="7D47D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 and outcome</w:t>
            </w:r>
          </w:p>
        </w:tc>
        <w:tc>
          <w:tcPr>
            <w:tcW w:w="1373" w:type="dxa"/>
            <w:tcBorders>
              <w:top w:val="single" w:color="auto" w:sz="6" w:space="0"/>
              <w:bottom w:val="single" w:color="auto" w:sz="6" w:space="0"/>
            </w:tcBorders>
          </w:tcPr>
          <w:p w14:paraId="47982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51" w:type="dxa"/>
            <w:tcBorders>
              <w:top w:val="single" w:color="auto" w:sz="6" w:space="0"/>
              <w:bottom w:val="single" w:color="auto" w:sz="6" w:space="0"/>
            </w:tcBorders>
          </w:tcPr>
          <w:p w14:paraId="76206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SE (AUC)</w:t>
            </w:r>
          </w:p>
        </w:tc>
        <w:tc>
          <w:tcPr>
            <w:tcW w:w="1582" w:type="dxa"/>
            <w:tcBorders>
              <w:top w:val="single" w:color="auto" w:sz="6" w:space="0"/>
              <w:bottom w:val="single" w:color="auto" w:sz="6" w:space="0"/>
            </w:tcBorders>
          </w:tcPr>
          <w:p w14:paraId="33F64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C-index</w:t>
            </w:r>
          </w:p>
        </w:tc>
        <w:tc>
          <w:tcPr>
            <w:tcW w:w="1343" w:type="dxa"/>
            <w:tcBorders>
              <w:top w:val="single" w:color="auto" w:sz="6" w:space="0"/>
              <w:bottom w:val="single" w:color="auto" w:sz="6" w:space="0"/>
            </w:tcBorders>
          </w:tcPr>
          <w:p w14:paraId="64F99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SE (C-index)</w:t>
            </w:r>
          </w:p>
        </w:tc>
        <w:tc>
          <w:tcPr>
            <w:tcW w:w="1471" w:type="dxa"/>
            <w:tcBorders>
              <w:top w:val="single" w:color="auto" w:sz="6" w:space="0"/>
              <w:bottom w:val="single" w:color="auto" w:sz="6" w:space="0"/>
            </w:tcBorders>
          </w:tcPr>
          <w:p w14:paraId="0ACE7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C-index*</w:t>
            </w:r>
          </w:p>
        </w:tc>
      </w:tr>
      <w:tr w14:paraId="488DC96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11" w:type="dxa"/>
            <w:tcBorders>
              <w:top w:val="single" w:color="auto" w:sz="6" w:space="0"/>
            </w:tcBorders>
            <w:vAlign w:val="center"/>
          </w:tcPr>
          <w:p w14:paraId="70F84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In-hospital mortality</w:t>
            </w:r>
          </w:p>
        </w:tc>
        <w:tc>
          <w:tcPr>
            <w:tcW w:w="1373" w:type="dxa"/>
            <w:tcBorders>
              <w:top w:val="single" w:color="auto" w:sz="6" w:space="0"/>
            </w:tcBorders>
            <w:vAlign w:val="center"/>
          </w:tcPr>
          <w:p w14:paraId="7FE977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1551" w:type="dxa"/>
            <w:tcBorders>
              <w:top w:val="single" w:color="auto" w:sz="6" w:space="0"/>
            </w:tcBorders>
            <w:vAlign w:val="center"/>
          </w:tcPr>
          <w:p w14:paraId="686ED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 w14:paraId="3AA9763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1343" w:type="dxa"/>
            <w:tcBorders>
              <w:top w:val="single" w:color="auto" w:sz="6" w:space="0"/>
            </w:tcBorders>
            <w:vAlign w:val="center"/>
          </w:tcPr>
          <w:p w14:paraId="131ECC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471" w:type="dxa"/>
            <w:tcBorders>
              <w:top w:val="single" w:color="auto" w:sz="6" w:space="0"/>
            </w:tcBorders>
            <w:vAlign w:val="center"/>
          </w:tcPr>
          <w:p w14:paraId="1228F6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</w:tr>
      <w:tr w14:paraId="101323E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11" w:type="dxa"/>
            <w:vAlign w:val="center"/>
          </w:tcPr>
          <w:p w14:paraId="02748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tertiles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In-hospital mortality</w:t>
            </w:r>
          </w:p>
        </w:tc>
        <w:tc>
          <w:tcPr>
            <w:tcW w:w="1373" w:type="dxa"/>
            <w:vAlign w:val="center"/>
          </w:tcPr>
          <w:p w14:paraId="4CAFDB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1551" w:type="dxa"/>
            <w:vAlign w:val="center"/>
          </w:tcPr>
          <w:p w14:paraId="6F41A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582" w:type="dxa"/>
            <w:vAlign w:val="center"/>
          </w:tcPr>
          <w:p w14:paraId="117695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1343" w:type="dxa"/>
            <w:vAlign w:val="center"/>
          </w:tcPr>
          <w:p w14:paraId="3A54E6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471" w:type="dxa"/>
            <w:vAlign w:val="center"/>
          </w:tcPr>
          <w:p w14:paraId="0D54FA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</w:tr>
      <w:tr w14:paraId="26910FE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11" w:type="dxa"/>
            <w:vAlign w:val="center"/>
          </w:tcPr>
          <w:p w14:paraId="4955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  <w:tc>
          <w:tcPr>
            <w:tcW w:w="1373" w:type="dxa"/>
            <w:vAlign w:val="center"/>
          </w:tcPr>
          <w:p w14:paraId="661781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551" w:type="dxa"/>
            <w:vAlign w:val="center"/>
          </w:tcPr>
          <w:p w14:paraId="498C63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82" w:type="dxa"/>
            <w:vAlign w:val="center"/>
          </w:tcPr>
          <w:p w14:paraId="2EC8E83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1343" w:type="dxa"/>
            <w:vAlign w:val="center"/>
          </w:tcPr>
          <w:p w14:paraId="72DDAE1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471" w:type="dxa"/>
            <w:vAlign w:val="center"/>
          </w:tcPr>
          <w:p w14:paraId="6C80DC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</w:tr>
      <w:tr w14:paraId="41C98C0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411" w:type="dxa"/>
            <w:vAlign w:val="center"/>
          </w:tcPr>
          <w:p w14:paraId="261CE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tertiles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  <w:tc>
          <w:tcPr>
            <w:tcW w:w="1373" w:type="dxa"/>
            <w:vAlign w:val="center"/>
          </w:tcPr>
          <w:p w14:paraId="3D7F36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1551" w:type="dxa"/>
            <w:vAlign w:val="center"/>
          </w:tcPr>
          <w:p w14:paraId="64B93A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82" w:type="dxa"/>
            <w:vAlign w:val="center"/>
          </w:tcPr>
          <w:p w14:paraId="5462FC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1343" w:type="dxa"/>
            <w:vAlign w:val="center"/>
          </w:tcPr>
          <w:p w14:paraId="65586B1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471" w:type="dxa"/>
            <w:vAlign w:val="center"/>
          </w:tcPr>
          <w:p w14:paraId="747B8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</w:tr>
    </w:tbl>
    <w:p w14:paraId="6C0EA2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>: The time point for in-hospital mortality was 9.28 days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087F78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*: Bootstrap-corrected C-index (500 resamples)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1D381E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LDH</w:t>
      </w:r>
      <w:bookmarkStart w:id="1" w:name="_Hlk210415154"/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Lactate dehydrogenase</w:t>
      </w:r>
      <w:r>
        <w:rPr>
          <w:rFonts w:hint="eastAsia"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tertiles</w:t>
      </w:r>
      <w:r>
        <w:rPr>
          <w:rFonts w:hint="eastAsia" w:ascii="Times New Roman" w:hAnsi="Times New Roman" w:cs="Times New Roman"/>
          <w:sz w:val="20"/>
          <w:szCs w:val="20"/>
        </w:rPr>
        <w:t>: T1: LDH&lt;216, T2: 216≤LDH&lt;352, and T3: LDH≥352 IU/L)</w:t>
      </w:r>
      <w:r>
        <w:rPr>
          <w:rFonts w:ascii="Times New Roman" w:hAnsi="Times New Roman" w:cs="Times New Roman"/>
          <w:sz w:val="20"/>
          <w:szCs w:val="20"/>
        </w:rPr>
        <w:t>;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IS: Ischemic stroke; </w:t>
      </w:r>
      <w:r>
        <w:rPr>
          <w:rFonts w:ascii="Times New Roman" w:hAnsi="Times New Roman" w:cs="Times New Roman"/>
          <w:sz w:val="20"/>
          <w:szCs w:val="20"/>
        </w:rPr>
        <w:t>AUC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Area under the curve</w:t>
      </w:r>
      <w:r>
        <w:rPr>
          <w:rFonts w:hint="eastAsia" w:ascii="Times New Roman" w:hAnsi="Times New Roman" w:cs="Times New Roman"/>
          <w:sz w:val="20"/>
          <w:szCs w:val="20"/>
        </w:rPr>
        <w:t xml:space="preserve">; SE: Standard error; </w:t>
      </w:r>
      <w:r>
        <w:rPr>
          <w:rFonts w:ascii="Times New Roman" w:hAnsi="Times New Roman" w:cs="Times New Roman"/>
          <w:sz w:val="20"/>
          <w:szCs w:val="20"/>
        </w:rPr>
        <w:t>ln(LDH)</w:t>
      </w:r>
      <w:r>
        <w:rPr>
          <w:rFonts w:hint="eastAsia" w:ascii="Times New Roman" w:hAnsi="Times New Roman" w:cs="Times New Roman"/>
          <w:sz w:val="20"/>
          <w:szCs w:val="20"/>
        </w:rPr>
        <w:t>: N</w:t>
      </w:r>
      <w:r>
        <w:rPr>
          <w:rFonts w:ascii="Times New Roman" w:hAnsi="Times New Roman" w:cs="Times New Roman"/>
          <w:sz w:val="20"/>
          <w:szCs w:val="20"/>
        </w:rPr>
        <w:t>atural log–transformed lactate dehydrogenase</w:t>
      </w:r>
      <w:r>
        <w:rPr>
          <w:rFonts w:hint="eastAsia" w:ascii="Times New Roman" w:hAnsi="Times New Roman" w:cs="Times New Roman"/>
          <w:sz w:val="20"/>
          <w:szCs w:val="20"/>
        </w:rPr>
        <w:t xml:space="preserve">. </w:t>
      </w:r>
    </w:p>
    <w:p w14:paraId="6834D2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03B5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5B5A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S12.</w:t>
      </w:r>
      <w:r>
        <w:rPr>
          <w:rFonts w:hint="eastAsia" w:ascii="Times New Roman" w:hAnsi="Times New Roman" w:cs="Times New Roman"/>
          <w:sz w:val="20"/>
          <w:szCs w:val="20"/>
        </w:rPr>
        <w:t xml:space="preserve"> Optimism-corrected performance metrics for ln(LDH) predicting in-hospital mortality.</w:t>
      </w:r>
    </w:p>
    <w:tbl>
      <w:tblPr>
        <w:tblStyle w:val="16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525"/>
        <w:gridCol w:w="1467"/>
        <w:gridCol w:w="1354"/>
        <w:gridCol w:w="1509"/>
        <w:gridCol w:w="1503"/>
        <w:gridCol w:w="1266"/>
      </w:tblGrid>
      <w:tr w14:paraId="6405D08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AFE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16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A6D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ndex.orig</w:t>
            </w:r>
          </w:p>
        </w:tc>
        <w:tc>
          <w:tcPr>
            <w:tcW w:w="16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276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158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E4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67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9D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ptimism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C03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ndex.corrected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</w:tcPr>
          <w:p w14:paraId="7237D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</w:tr>
      <w:tr w14:paraId="1D81EE3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</w:tcBorders>
            <w:vAlign w:val="center"/>
          </w:tcPr>
          <w:p w14:paraId="4E1CED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Dxy</w:t>
            </w:r>
          </w:p>
        </w:tc>
        <w:tc>
          <w:tcPr>
            <w:tcW w:w="1684" w:type="dxa"/>
            <w:tcBorders>
              <w:top w:val="single" w:color="auto" w:sz="6" w:space="0"/>
            </w:tcBorders>
            <w:vAlign w:val="center"/>
          </w:tcPr>
          <w:p w14:paraId="46C8C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1656" w:type="dxa"/>
            <w:tcBorders>
              <w:top w:val="single" w:color="auto" w:sz="6" w:space="0"/>
            </w:tcBorders>
            <w:vAlign w:val="center"/>
          </w:tcPr>
          <w:p w14:paraId="1E927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 w14:paraId="7380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1672" w:type="dxa"/>
            <w:tcBorders>
              <w:top w:val="single" w:color="auto" w:sz="6" w:space="0"/>
            </w:tcBorders>
            <w:vAlign w:val="center"/>
          </w:tcPr>
          <w:p w14:paraId="21D1B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1515" w:type="dxa"/>
            <w:tcBorders>
              <w:top w:val="single" w:color="auto" w:sz="6" w:space="0"/>
            </w:tcBorders>
            <w:vAlign w:val="center"/>
          </w:tcPr>
          <w:p w14:paraId="04D34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0.308</w:t>
            </w:r>
          </w:p>
        </w:tc>
        <w:tc>
          <w:tcPr>
            <w:tcW w:w="1515" w:type="dxa"/>
            <w:tcBorders>
              <w:top w:val="single" w:color="auto" w:sz="6" w:space="0"/>
            </w:tcBorders>
          </w:tcPr>
          <w:p w14:paraId="3785A7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23518BD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1C9D3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vAlign w:val="center"/>
          </w:tcPr>
          <w:p w14:paraId="56C9F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656" w:type="dxa"/>
            <w:vAlign w:val="center"/>
          </w:tcPr>
          <w:p w14:paraId="1D7AE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582" w:type="dxa"/>
            <w:vAlign w:val="center"/>
          </w:tcPr>
          <w:p w14:paraId="0E725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672" w:type="dxa"/>
            <w:vAlign w:val="center"/>
          </w:tcPr>
          <w:p w14:paraId="52E1B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1515" w:type="dxa"/>
            <w:vAlign w:val="center"/>
          </w:tcPr>
          <w:p w14:paraId="37885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515" w:type="dxa"/>
          </w:tcPr>
          <w:p w14:paraId="03CB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8BEB5C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0A6ED6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lope</w:t>
            </w:r>
          </w:p>
        </w:tc>
        <w:tc>
          <w:tcPr>
            <w:tcW w:w="1684" w:type="dxa"/>
            <w:vAlign w:val="center"/>
          </w:tcPr>
          <w:p w14:paraId="592F8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656" w:type="dxa"/>
            <w:vAlign w:val="center"/>
          </w:tcPr>
          <w:p w14:paraId="10481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582" w:type="dxa"/>
            <w:vAlign w:val="center"/>
          </w:tcPr>
          <w:p w14:paraId="3990C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672" w:type="dxa"/>
            <w:vAlign w:val="center"/>
          </w:tcPr>
          <w:p w14:paraId="03193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-0.0080</w:t>
            </w:r>
          </w:p>
        </w:tc>
        <w:tc>
          <w:tcPr>
            <w:tcW w:w="1515" w:type="dxa"/>
            <w:vAlign w:val="center"/>
          </w:tcPr>
          <w:p w14:paraId="7A8B2E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1515" w:type="dxa"/>
          </w:tcPr>
          <w:p w14:paraId="48949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559E8D1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174F2A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84" w:type="dxa"/>
            <w:vAlign w:val="center"/>
          </w:tcPr>
          <w:p w14:paraId="5320C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656" w:type="dxa"/>
            <w:vAlign w:val="center"/>
          </w:tcPr>
          <w:p w14:paraId="2CCFA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582" w:type="dxa"/>
            <w:vAlign w:val="center"/>
          </w:tcPr>
          <w:p w14:paraId="34B73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672" w:type="dxa"/>
            <w:vAlign w:val="center"/>
          </w:tcPr>
          <w:p w14:paraId="73605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1515" w:type="dxa"/>
            <w:vAlign w:val="center"/>
          </w:tcPr>
          <w:p w14:paraId="5266D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515" w:type="dxa"/>
          </w:tcPr>
          <w:p w14:paraId="4E0FF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3F793FE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3E982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4" w:type="dxa"/>
            <w:vAlign w:val="center"/>
          </w:tcPr>
          <w:p w14:paraId="6D389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656" w:type="dxa"/>
            <w:vAlign w:val="center"/>
          </w:tcPr>
          <w:p w14:paraId="2E8C6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582" w:type="dxa"/>
            <w:vAlign w:val="center"/>
          </w:tcPr>
          <w:p w14:paraId="5B738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72" w:type="dxa"/>
            <w:vAlign w:val="center"/>
          </w:tcPr>
          <w:p w14:paraId="7AB7E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-0.0019</w:t>
            </w:r>
          </w:p>
        </w:tc>
        <w:tc>
          <w:tcPr>
            <w:tcW w:w="1515" w:type="dxa"/>
            <w:vAlign w:val="center"/>
          </w:tcPr>
          <w:p w14:paraId="7C950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15" w:type="dxa"/>
          </w:tcPr>
          <w:p w14:paraId="7BB73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552BC98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29946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684" w:type="dxa"/>
            <w:vAlign w:val="center"/>
          </w:tcPr>
          <w:p w14:paraId="3C5DC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656" w:type="dxa"/>
            <w:vAlign w:val="center"/>
          </w:tcPr>
          <w:p w14:paraId="745DC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582" w:type="dxa"/>
            <w:vAlign w:val="center"/>
          </w:tcPr>
          <w:p w14:paraId="4DA1A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672" w:type="dxa"/>
            <w:vAlign w:val="center"/>
          </w:tcPr>
          <w:p w14:paraId="4E944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0.0034</w:t>
            </w:r>
          </w:p>
        </w:tc>
        <w:tc>
          <w:tcPr>
            <w:tcW w:w="1515" w:type="dxa"/>
            <w:vAlign w:val="center"/>
          </w:tcPr>
          <w:p w14:paraId="2A249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515" w:type="dxa"/>
          </w:tcPr>
          <w:p w14:paraId="59DB8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BBACD5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0BDF92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84" w:type="dxa"/>
            <w:vAlign w:val="center"/>
          </w:tcPr>
          <w:p w14:paraId="1AF3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1656" w:type="dxa"/>
            <w:vAlign w:val="center"/>
          </w:tcPr>
          <w:p w14:paraId="08E9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582" w:type="dxa"/>
            <w:vAlign w:val="center"/>
          </w:tcPr>
          <w:p w14:paraId="752DD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1672" w:type="dxa"/>
            <w:vAlign w:val="center"/>
          </w:tcPr>
          <w:p w14:paraId="79E7C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0.0159</w:t>
            </w:r>
          </w:p>
        </w:tc>
        <w:tc>
          <w:tcPr>
            <w:tcW w:w="1515" w:type="dxa"/>
            <w:vAlign w:val="center"/>
          </w:tcPr>
          <w:p w14:paraId="4C401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1515" w:type="dxa"/>
          </w:tcPr>
          <w:p w14:paraId="52150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</w:tbl>
    <w:p w14:paraId="1865495F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ln(LDH)</w:t>
      </w:r>
      <w:r>
        <w:rPr>
          <w:rFonts w:hint="eastAsia" w:ascii="Times New Roman" w:hAnsi="Times New Roman" w:cs="Times New Roman"/>
          <w:sz w:val="20"/>
          <w:szCs w:val="20"/>
        </w:rPr>
        <w:t>: N</w:t>
      </w:r>
      <w:r>
        <w:rPr>
          <w:rFonts w:ascii="Times New Roman" w:hAnsi="Times New Roman" w:cs="Times New Roman"/>
          <w:sz w:val="20"/>
          <w:szCs w:val="20"/>
        </w:rPr>
        <w:t>atural log–transformed lactate dehydrogenase; Dxy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Somers’ D rank correlation; R²</w:t>
      </w:r>
      <w:r>
        <w:rPr>
          <w:rFonts w:hint="eastAsia" w:ascii="Times New Roman" w:hAnsi="Times New Roman" w:cs="Times New Roman"/>
          <w:sz w:val="20"/>
          <w:szCs w:val="20"/>
        </w:rPr>
        <w:t>: M</w:t>
      </w:r>
      <w:r>
        <w:rPr>
          <w:rFonts w:ascii="Times New Roman" w:hAnsi="Times New Roman" w:cs="Times New Roman"/>
          <w:sz w:val="20"/>
          <w:szCs w:val="20"/>
        </w:rPr>
        <w:t>odel explained variation (approximate); D</w:t>
      </w:r>
      <w:r>
        <w:rPr>
          <w:rFonts w:hint="eastAsia" w:ascii="Times New Roman" w:hAnsi="Times New Roman" w:cs="Times New Roman"/>
          <w:sz w:val="20"/>
          <w:szCs w:val="20"/>
        </w:rPr>
        <w:t>: D</w:t>
      </w:r>
      <w:r>
        <w:rPr>
          <w:rFonts w:ascii="Times New Roman" w:hAnsi="Times New Roman" w:cs="Times New Roman"/>
          <w:sz w:val="20"/>
          <w:szCs w:val="20"/>
        </w:rPr>
        <w:t>iscrimination index; U</w:t>
      </w:r>
      <w:r>
        <w:rPr>
          <w:rFonts w:hint="eastAsia" w:ascii="Times New Roman" w:hAnsi="Times New Roman" w:cs="Times New Roman"/>
          <w:sz w:val="20"/>
          <w:szCs w:val="20"/>
        </w:rPr>
        <w:t>: U</w:t>
      </w:r>
      <w:r>
        <w:rPr>
          <w:rFonts w:ascii="Times New Roman" w:hAnsi="Times New Roman" w:cs="Times New Roman"/>
          <w:sz w:val="20"/>
          <w:szCs w:val="20"/>
        </w:rPr>
        <w:t>nreliability index; Q</w:t>
      </w:r>
      <w:r>
        <w:rPr>
          <w:rFonts w:hint="eastAsia" w:ascii="Times New Roman" w:hAnsi="Times New Roman" w:cs="Times New Roman"/>
          <w:sz w:val="20"/>
          <w:szCs w:val="20"/>
        </w:rPr>
        <w:t>: Q</w:t>
      </w:r>
      <w:r>
        <w:rPr>
          <w:rFonts w:ascii="Times New Roman" w:hAnsi="Times New Roman" w:cs="Times New Roman"/>
          <w:sz w:val="20"/>
          <w:szCs w:val="20"/>
        </w:rPr>
        <w:t>uality index (D−U); g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Gini coefficient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0F9BD382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BC7A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S13.</w:t>
      </w:r>
      <w:r>
        <w:rPr>
          <w:rFonts w:hint="eastAsia" w:ascii="Times New Roman" w:hAnsi="Times New Roman" w:cs="Times New Roman"/>
          <w:sz w:val="20"/>
          <w:szCs w:val="20"/>
        </w:rPr>
        <w:t xml:space="preserve"> Optimism-corrected performance metrics for LDH tertiles predicting in-hospital mortality.</w:t>
      </w:r>
    </w:p>
    <w:tbl>
      <w:tblPr>
        <w:tblStyle w:val="16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525"/>
        <w:gridCol w:w="1467"/>
        <w:gridCol w:w="1354"/>
        <w:gridCol w:w="1509"/>
        <w:gridCol w:w="1503"/>
        <w:gridCol w:w="1266"/>
      </w:tblGrid>
      <w:tr w14:paraId="19A46B0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A736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16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E8B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ndex.orig</w:t>
            </w:r>
          </w:p>
        </w:tc>
        <w:tc>
          <w:tcPr>
            <w:tcW w:w="16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59D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158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E737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67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5F2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ptimism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799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ndex.corrected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</w:tcPr>
          <w:p w14:paraId="4CF2C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</w:tr>
      <w:tr w14:paraId="67FBEA8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</w:tcBorders>
            <w:vAlign w:val="center"/>
          </w:tcPr>
          <w:p w14:paraId="53AA2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Dxy</w:t>
            </w:r>
          </w:p>
        </w:tc>
        <w:tc>
          <w:tcPr>
            <w:tcW w:w="1684" w:type="dxa"/>
            <w:tcBorders>
              <w:top w:val="single" w:color="auto" w:sz="6" w:space="0"/>
            </w:tcBorders>
            <w:vAlign w:val="center"/>
          </w:tcPr>
          <w:p w14:paraId="41924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1656" w:type="dxa"/>
            <w:tcBorders>
              <w:top w:val="single" w:color="auto" w:sz="6" w:space="0"/>
            </w:tcBorders>
            <w:vAlign w:val="center"/>
          </w:tcPr>
          <w:p w14:paraId="235D8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 w14:paraId="57392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672" w:type="dxa"/>
            <w:tcBorders>
              <w:top w:val="single" w:color="auto" w:sz="6" w:space="0"/>
            </w:tcBorders>
            <w:vAlign w:val="center"/>
          </w:tcPr>
          <w:p w14:paraId="46D18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515" w:type="dxa"/>
            <w:tcBorders>
              <w:top w:val="single" w:color="auto" w:sz="6" w:space="0"/>
            </w:tcBorders>
            <w:vAlign w:val="center"/>
          </w:tcPr>
          <w:p w14:paraId="6EC45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515" w:type="dxa"/>
            <w:tcBorders>
              <w:top w:val="single" w:color="auto" w:sz="6" w:space="0"/>
            </w:tcBorders>
          </w:tcPr>
          <w:p w14:paraId="7CDDE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42AEFAD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4661A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vAlign w:val="center"/>
          </w:tcPr>
          <w:p w14:paraId="2C5AA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656" w:type="dxa"/>
            <w:vAlign w:val="center"/>
          </w:tcPr>
          <w:p w14:paraId="2D144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582" w:type="dxa"/>
            <w:vAlign w:val="center"/>
          </w:tcPr>
          <w:p w14:paraId="7D30D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672" w:type="dxa"/>
            <w:vAlign w:val="center"/>
          </w:tcPr>
          <w:p w14:paraId="55ACF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0.0048</w:t>
            </w:r>
          </w:p>
        </w:tc>
        <w:tc>
          <w:tcPr>
            <w:tcW w:w="1515" w:type="dxa"/>
            <w:vAlign w:val="center"/>
          </w:tcPr>
          <w:p w14:paraId="66F6F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515" w:type="dxa"/>
          </w:tcPr>
          <w:p w14:paraId="2CBBF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39D913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4DD8D1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lope</w:t>
            </w:r>
          </w:p>
        </w:tc>
        <w:tc>
          <w:tcPr>
            <w:tcW w:w="1684" w:type="dxa"/>
            <w:vAlign w:val="center"/>
          </w:tcPr>
          <w:p w14:paraId="11DDC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656" w:type="dxa"/>
            <w:vAlign w:val="center"/>
          </w:tcPr>
          <w:p w14:paraId="0421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582" w:type="dxa"/>
            <w:vAlign w:val="center"/>
          </w:tcPr>
          <w:p w14:paraId="0FD8E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672" w:type="dxa"/>
            <w:vAlign w:val="center"/>
          </w:tcPr>
          <w:p w14:paraId="0F40C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0.0164</w:t>
            </w:r>
          </w:p>
        </w:tc>
        <w:tc>
          <w:tcPr>
            <w:tcW w:w="1515" w:type="dxa"/>
            <w:vAlign w:val="center"/>
          </w:tcPr>
          <w:p w14:paraId="43255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515" w:type="dxa"/>
          </w:tcPr>
          <w:p w14:paraId="09CC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F95A7B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4ED9A2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84" w:type="dxa"/>
            <w:vAlign w:val="center"/>
          </w:tcPr>
          <w:p w14:paraId="0E4E5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56" w:type="dxa"/>
            <w:vAlign w:val="center"/>
          </w:tcPr>
          <w:p w14:paraId="6F8C8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582" w:type="dxa"/>
            <w:vAlign w:val="center"/>
          </w:tcPr>
          <w:p w14:paraId="7E200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72" w:type="dxa"/>
            <w:vAlign w:val="center"/>
          </w:tcPr>
          <w:p w14:paraId="2E9BE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515" w:type="dxa"/>
            <w:vAlign w:val="center"/>
          </w:tcPr>
          <w:p w14:paraId="2DB82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15" w:type="dxa"/>
          </w:tcPr>
          <w:p w14:paraId="0DA1B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6A80249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7B506A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4" w:type="dxa"/>
            <w:vAlign w:val="center"/>
          </w:tcPr>
          <w:p w14:paraId="57177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656" w:type="dxa"/>
            <w:vAlign w:val="center"/>
          </w:tcPr>
          <w:p w14:paraId="3A403D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582" w:type="dxa"/>
            <w:vAlign w:val="center"/>
          </w:tcPr>
          <w:p w14:paraId="4D7D1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72" w:type="dxa"/>
            <w:vAlign w:val="center"/>
          </w:tcPr>
          <w:p w14:paraId="5368C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-0.0016</w:t>
            </w:r>
          </w:p>
        </w:tc>
        <w:tc>
          <w:tcPr>
            <w:tcW w:w="1515" w:type="dxa"/>
            <w:vAlign w:val="center"/>
          </w:tcPr>
          <w:p w14:paraId="7558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15" w:type="dxa"/>
          </w:tcPr>
          <w:p w14:paraId="4D2A4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94EBF7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5109A3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684" w:type="dxa"/>
            <w:vAlign w:val="center"/>
          </w:tcPr>
          <w:p w14:paraId="79DA1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656" w:type="dxa"/>
            <w:vAlign w:val="center"/>
          </w:tcPr>
          <w:p w14:paraId="3E93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582" w:type="dxa"/>
            <w:vAlign w:val="center"/>
          </w:tcPr>
          <w:p w14:paraId="309B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672" w:type="dxa"/>
            <w:vAlign w:val="center"/>
          </w:tcPr>
          <w:p w14:paraId="51C66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515" w:type="dxa"/>
            <w:vAlign w:val="center"/>
          </w:tcPr>
          <w:p w14:paraId="4367D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15" w:type="dxa"/>
          </w:tcPr>
          <w:p w14:paraId="01573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36AD124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2D13D2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84" w:type="dxa"/>
            <w:vAlign w:val="center"/>
          </w:tcPr>
          <w:p w14:paraId="6C892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1656" w:type="dxa"/>
            <w:vAlign w:val="center"/>
          </w:tcPr>
          <w:p w14:paraId="64A9B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1582" w:type="dxa"/>
            <w:vAlign w:val="center"/>
          </w:tcPr>
          <w:p w14:paraId="5ED96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672" w:type="dxa"/>
            <w:vAlign w:val="center"/>
          </w:tcPr>
          <w:p w14:paraId="5598F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0.0330</w:t>
            </w:r>
          </w:p>
        </w:tc>
        <w:tc>
          <w:tcPr>
            <w:tcW w:w="1515" w:type="dxa"/>
            <w:vAlign w:val="center"/>
          </w:tcPr>
          <w:p w14:paraId="677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1515" w:type="dxa"/>
          </w:tcPr>
          <w:p w14:paraId="044A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</w:tbl>
    <w:p w14:paraId="28A21FBB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LDH</w:t>
      </w:r>
      <w:r>
        <w:rPr>
          <w:rFonts w:hint="eastAsia" w:ascii="Times New Roman" w:hAnsi="Times New Roman" w:cs="Times New Roman"/>
          <w:sz w:val="20"/>
          <w:szCs w:val="20"/>
        </w:rPr>
        <w:t>: L</w:t>
      </w:r>
      <w:r>
        <w:rPr>
          <w:rFonts w:ascii="Times New Roman" w:hAnsi="Times New Roman" w:cs="Times New Roman"/>
          <w:sz w:val="20"/>
          <w:szCs w:val="20"/>
        </w:rPr>
        <w:t>actate dehydrogenase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sz w:val="20"/>
          <w:szCs w:val="20"/>
        </w:rPr>
        <w:t>tertiles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hint="eastAsia" w:ascii="Times New Roman" w:hAnsi="Times New Roman" w:cs="Times New Roman"/>
          <w:szCs w:val="22"/>
        </w:rPr>
        <w:t>T1</w:t>
      </w:r>
      <w:r>
        <w:rPr>
          <w:rFonts w:hint="eastAsia" w:ascii="Times New Roman" w:hAnsi="Times New Roman" w:cs="Times New Roman"/>
          <w:sz w:val="20"/>
          <w:szCs w:val="20"/>
        </w:rPr>
        <w:t>: LDH</w:t>
      </w:r>
      <w:r>
        <w:rPr>
          <w:rFonts w:ascii="Times New Roman" w:hAnsi="Times New Roman" w:cs="Times New Roman"/>
          <w:sz w:val="20"/>
          <w:szCs w:val="20"/>
        </w:rPr>
        <w:t>&lt;216,</w:t>
      </w:r>
      <w:r>
        <w:rPr>
          <w:rFonts w:hint="eastAsia" w:ascii="Times New Roman" w:hAnsi="Times New Roman" w:cs="Times New Roman"/>
          <w:sz w:val="20"/>
          <w:szCs w:val="20"/>
        </w:rPr>
        <w:t xml:space="preserve"> T2:</w:t>
      </w:r>
      <w:r>
        <w:rPr>
          <w:rFonts w:ascii="Times New Roman" w:hAnsi="Times New Roman" w:cs="Times New Roman"/>
          <w:sz w:val="20"/>
          <w:szCs w:val="20"/>
        </w:rPr>
        <w:t xml:space="preserve"> 216</w:t>
      </w:r>
      <w:r>
        <w:rPr>
          <w:rFonts w:hint="eastAsia" w:ascii="Times New Roman" w:hAnsi="Times New Roman" w:cs="Times New Roman"/>
          <w:sz w:val="20"/>
          <w:szCs w:val="20"/>
        </w:rPr>
        <w:t>≤LDH&lt;</w:t>
      </w:r>
      <w:r>
        <w:rPr>
          <w:rFonts w:ascii="Times New Roman" w:hAnsi="Times New Roman" w:cs="Times New Roman"/>
          <w:sz w:val="20"/>
          <w:szCs w:val="20"/>
        </w:rPr>
        <w:t>35</w:t>
      </w:r>
      <w:r>
        <w:rPr>
          <w:rFonts w:hint="eastAsia"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and T3: LDH</w:t>
      </w:r>
      <w:r>
        <w:rPr>
          <w:rFonts w:ascii="Times New Roman" w:hAnsi="Times New Roman" w:cs="Times New Roman"/>
          <w:sz w:val="20"/>
          <w:szCs w:val="20"/>
        </w:rPr>
        <w:t>≥352 IU/L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 Dxy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Somers’ D rank correlation; R²</w:t>
      </w:r>
      <w:r>
        <w:rPr>
          <w:rFonts w:hint="eastAsia" w:ascii="Times New Roman" w:hAnsi="Times New Roman" w:cs="Times New Roman"/>
          <w:sz w:val="20"/>
          <w:szCs w:val="20"/>
        </w:rPr>
        <w:t>: M</w:t>
      </w:r>
      <w:r>
        <w:rPr>
          <w:rFonts w:ascii="Times New Roman" w:hAnsi="Times New Roman" w:cs="Times New Roman"/>
          <w:sz w:val="20"/>
          <w:szCs w:val="20"/>
        </w:rPr>
        <w:t>odel explained variation (approximate); D</w:t>
      </w:r>
      <w:r>
        <w:rPr>
          <w:rFonts w:hint="eastAsia" w:ascii="Times New Roman" w:hAnsi="Times New Roman" w:cs="Times New Roman"/>
          <w:sz w:val="20"/>
          <w:szCs w:val="20"/>
        </w:rPr>
        <w:t>: D</w:t>
      </w:r>
      <w:r>
        <w:rPr>
          <w:rFonts w:ascii="Times New Roman" w:hAnsi="Times New Roman" w:cs="Times New Roman"/>
          <w:sz w:val="20"/>
          <w:szCs w:val="20"/>
        </w:rPr>
        <w:t>iscrimination index; U</w:t>
      </w:r>
      <w:r>
        <w:rPr>
          <w:rFonts w:hint="eastAsia" w:ascii="Times New Roman" w:hAnsi="Times New Roman" w:cs="Times New Roman"/>
          <w:sz w:val="20"/>
          <w:szCs w:val="20"/>
        </w:rPr>
        <w:t>: U</w:t>
      </w:r>
      <w:r>
        <w:rPr>
          <w:rFonts w:ascii="Times New Roman" w:hAnsi="Times New Roman" w:cs="Times New Roman"/>
          <w:sz w:val="20"/>
          <w:szCs w:val="20"/>
        </w:rPr>
        <w:t>nreliability index; Q</w:t>
      </w:r>
      <w:r>
        <w:rPr>
          <w:rFonts w:hint="eastAsia" w:ascii="Times New Roman" w:hAnsi="Times New Roman" w:cs="Times New Roman"/>
          <w:sz w:val="20"/>
          <w:szCs w:val="20"/>
        </w:rPr>
        <w:t>: Q</w:t>
      </w:r>
      <w:r>
        <w:rPr>
          <w:rFonts w:ascii="Times New Roman" w:hAnsi="Times New Roman" w:cs="Times New Roman"/>
          <w:sz w:val="20"/>
          <w:szCs w:val="20"/>
        </w:rPr>
        <w:t>uality index (D−U); g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Gini coefficient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7508B4DB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A813C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S14.</w:t>
      </w:r>
      <w:r>
        <w:rPr>
          <w:rFonts w:hint="eastAsia" w:ascii="Times New Roman" w:hAnsi="Times New Roman" w:cs="Times New Roman"/>
          <w:sz w:val="20"/>
          <w:szCs w:val="20"/>
        </w:rPr>
        <w:t xml:space="preserve"> Optimism-corrected performance metrics for ln(LDH) predicting 30-day mortality.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525"/>
        <w:gridCol w:w="1467"/>
        <w:gridCol w:w="1354"/>
        <w:gridCol w:w="1509"/>
        <w:gridCol w:w="1503"/>
        <w:gridCol w:w="1266"/>
      </w:tblGrid>
      <w:tr w14:paraId="560FD9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0BF1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16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3B4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ndex.orig</w:t>
            </w:r>
          </w:p>
        </w:tc>
        <w:tc>
          <w:tcPr>
            <w:tcW w:w="16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39B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158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3AE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67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D60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ptimism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DB5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ndex.corrected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</w:tcPr>
          <w:p w14:paraId="14748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</w:tr>
      <w:tr w14:paraId="743091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tcBorders>
              <w:top w:val="single" w:color="auto" w:sz="6" w:space="0"/>
            </w:tcBorders>
            <w:vAlign w:val="center"/>
          </w:tcPr>
          <w:p w14:paraId="3928C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Dxy</w:t>
            </w:r>
          </w:p>
        </w:tc>
        <w:tc>
          <w:tcPr>
            <w:tcW w:w="1684" w:type="dxa"/>
            <w:tcBorders>
              <w:top w:val="single" w:color="auto" w:sz="6" w:space="0"/>
            </w:tcBorders>
            <w:vAlign w:val="center"/>
          </w:tcPr>
          <w:p w14:paraId="6B69F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656" w:type="dxa"/>
            <w:tcBorders>
              <w:top w:val="single" w:color="auto" w:sz="6" w:space="0"/>
            </w:tcBorders>
            <w:vAlign w:val="center"/>
          </w:tcPr>
          <w:p w14:paraId="5C5CA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 w14:paraId="6A613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672" w:type="dxa"/>
            <w:tcBorders>
              <w:top w:val="single" w:color="auto" w:sz="6" w:space="0"/>
            </w:tcBorders>
            <w:vAlign w:val="center"/>
          </w:tcPr>
          <w:p w14:paraId="2EDBA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515" w:type="dxa"/>
            <w:tcBorders>
              <w:top w:val="single" w:color="auto" w:sz="6" w:space="0"/>
            </w:tcBorders>
            <w:vAlign w:val="center"/>
          </w:tcPr>
          <w:p w14:paraId="3C8F3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515" w:type="dxa"/>
            <w:tcBorders>
              <w:top w:val="single" w:color="auto" w:sz="6" w:space="0"/>
            </w:tcBorders>
          </w:tcPr>
          <w:p w14:paraId="5D28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532B92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vAlign w:val="center"/>
          </w:tcPr>
          <w:p w14:paraId="064252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vAlign w:val="center"/>
          </w:tcPr>
          <w:p w14:paraId="3966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656" w:type="dxa"/>
            <w:vAlign w:val="center"/>
          </w:tcPr>
          <w:p w14:paraId="2ABA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582" w:type="dxa"/>
            <w:vAlign w:val="center"/>
          </w:tcPr>
          <w:p w14:paraId="402F9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672" w:type="dxa"/>
            <w:vAlign w:val="center"/>
          </w:tcPr>
          <w:p w14:paraId="7DA0B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0.0014</w:t>
            </w:r>
          </w:p>
        </w:tc>
        <w:tc>
          <w:tcPr>
            <w:tcW w:w="1515" w:type="dxa"/>
            <w:vAlign w:val="center"/>
          </w:tcPr>
          <w:p w14:paraId="18F1B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515" w:type="dxa"/>
          </w:tcPr>
          <w:p w14:paraId="0B4AE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5A3E3D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14" w:type="dxa"/>
            <w:vAlign w:val="center"/>
          </w:tcPr>
          <w:p w14:paraId="49A320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</w:p>
        </w:tc>
        <w:tc>
          <w:tcPr>
            <w:tcW w:w="1684" w:type="dxa"/>
            <w:vAlign w:val="center"/>
          </w:tcPr>
          <w:p w14:paraId="1220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656" w:type="dxa"/>
            <w:vAlign w:val="center"/>
          </w:tcPr>
          <w:p w14:paraId="7EF7B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582" w:type="dxa"/>
            <w:vAlign w:val="center"/>
          </w:tcPr>
          <w:p w14:paraId="7FE4B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672" w:type="dxa"/>
            <w:vAlign w:val="center"/>
          </w:tcPr>
          <w:p w14:paraId="03D19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-0.0170</w:t>
            </w:r>
          </w:p>
        </w:tc>
        <w:tc>
          <w:tcPr>
            <w:tcW w:w="1515" w:type="dxa"/>
            <w:vAlign w:val="center"/>
          </w:tcPr>
          <w:p w14:paraId="1BB89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1515" w:type="dxa"/>
          </w:tcPr>
          <w:p w14:paraId="13310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23D9C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vAlign w:val="center"/>
          </w:tcPr>
          <w:p w14:paraId="20BE59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84" w:type="dxa"/>
            <w:vAlign w:val="center"/>
          </w:tcPr>
          <w:p w14:paraId="41887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656" w:type="dxa"/>
            <w:vAlign w:val="center"/>
          </w:tcPr>
          <w:p w14:paraId="2B8A3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82" w:type="dxa"/>
            <w:vAlign w:val="center"/>
          </w:tcPr>
          <w:p w14:paraId="7199A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672" w:type="dxa"/>
            <w:vAlign w:val="center"/>
          </w:tcPr>
          <w:p w14:paraId="2FCB0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515" w:type="dxa"/>
            <w:vAlign w:val="center"/>
          </w:tcPr>
          <w:p w14:paraId="1B396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515" w:type="dxa"/>
          </w:tcPr>
          <w:p w14:paraId="055EE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0C3A4B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vAlign w:val="center"/>
          </w:tcPr>
          <w:p w14:paraId="75424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4" w:type="dxa"/>
            <w:vAlign w:val="center"/>
          </w:tcPr>
          <w:p w14:paraId="0A7C2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656" w:type="dxa"/>
            <w:vAlign w:val="center"/>
          </w:tcPr>
          <w:p w14:paraId="58EB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582" w:type="dxa"/>
            <w:vAlign w:val="center"/>
          </w:tcPr>
          <w:p w14:paraId="5693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72" w:type="dxa"/>
            <w:vAlign w:val="center"/>
          </w:tcPr>
          <w:p w14:paraId="72CCD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-0.0011</w:t>
            </w:r>
          </w:p>
        </w:tc>
        <w:tc>
          <w:tcPr>
            <w:tcW w:w="1515" w:type="dxa"/>
            <w:vAlign w:val="center"/>
          </w:tcPr>
          <w:p w14:paraId="376CA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15" w:type="dxa"/>
          </w:tcPr>
          <w:p w14:paraId="5DBBE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544A5E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vAlign w:val="center"/>
          </w:tcPr>
          <w:p w14:paraId="336228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684" w:type="dxa"/>
            <w:vAlign w:val="center"/>
          </w:tcPr>
          <w:p w14:paraId="57A58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656" w:type="dxa"/>
            <w:vAlign w:val="center"/>
          </w:tcPr>
          <w:p w14:paraId="050AD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582" w:type="dxa"/>
            <w:vAlign w:val="center"/>
          </w:tcPr>
          <w:p w14:paraId="0CD47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672" w:type="dxa"/>
            <w:vAlign w:val="center"/>
          </w:tcPr>
          <w:p w14:paraId="4DAB6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1515" w:type="dxa"/>
            <w:vAlign w:val="center"/>
          </w:tcPr>
          <w:p w14:paraId="42956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515" w:type="dxa"/>
          </w:tcPr>
          <w:p w14:paraId="77BE2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4D12C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vAlign w:val="center"/>
          </w:tcPr>
          <w:p w14:paraId="4409E6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84" w:type="dxa"/>
            <w:vAlign w:val="center"/>
          </w:tcPr>
          <w:p w14:paraId="4ADA3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656" w:type="dxa"/>
            <w:vAlign w:val="center"/>
          </w:tcPr>
          <w:p w14:paraId="308A1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582" w:type="dxa"/>
            <w:vAlign w:val="center"/>
          </w:tcPr>
          <w:p w14:paraId="3BB8F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672" w:type="dxa"/>
            <w:vAlign w:val="center"/>
          </w:tcPr>
          <w:p w14:paraId="41BF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1515" w:type="dxa"/>
            <w:vAlign w:val="center"/>
          </w:tcPr>
          <w:p w14:paraId="5D88C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1515" w:type="dxa"/>
          </w:tcPr>
          <w:p w14:paraId="6419C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</w:tbl>
    <w:p w14:paraId="63E2497B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ln(LDH)</w:t>
      </w:r>
      <w:r>
        <w:rPr>
          <w:rFonts w:hint="eastAsia" w:ascii="Times New Roman" w:hAnsi="Times New Roman" w:cs="Times New Roman"/>
          <w:sz w:val="20"/>
          <w:szCs w:val="20"/>
        </w:rPr>
        <w:t>: N</w:t>
      </w:r>
      <w:r>
        <w:rPr>
          <w:rFonts w:ascii="Times New Roman" w:hAnsi="Times New Roman" w:cs="Times New Roman"/>
          <w:sz w:val="20"/>
          <w:szCs w:val="20"/>
        </w:rPr>
        <w:t>atural log–transformed lactate dehydrogenase; Dxy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Somers’ D rank correlation; R²</w:t>
      </w:r>
      <w:r>
        <w:rPr>
          <w:rFonts w:hint="eastAsia" w:ascii="Times New Roman" w:hAnsi="Times New Roman" w:cs="Times New Roman"/>
          <w:sz w:val="20"/>
          <w:szCs w:val="20"/>
        </w:rPr>
        <w:t>: M</w:t>
      </w:r>
      <w:r>
        <w:rPr>
          <w:rFonts w:ascii="Times New Roman" w:hAnsi="Times New Roman" w:cs="Times New Roman"/>
          <w:sz w:val="20"/>
          <w:szCs w:val="20"/>
        </w:rPr>
        <w:t>odel explained variation (approximate); D</w:t>
      </w:r>
      <w:r>
        <w:rPr>
          <w:rFonts w:hint="eastAsia" w:ascii="Times New Roman" w:hAnsi="Times New Roman" w:cs="Times New Roman"/>
          <w:sz w:val="20"/>
          <w:szCs w:val="20"/>
        </w:rPr>
        <w:t>: D</w:t>
      </w:r>
      <w:r>
        <w:rPr>
          <w:rFonts w:ascii="Times New Roman" w:hAnsi="Times New Roman" w:cs="Times New Roman"/>
          <w:sz w:val="20"/>
          <w:szCs w:val="20"/>
        </w:rPr>
        <w:t>iscrimination index; U</w:t>
      </w:r>
      <w:r>
        <w:rPr>
          <w:rFonts w:hint="eastAsia" w:ascii="Times New Roman" w:hAnsi="Times New Roman" w:cs="Times New Roman"/>
          <w:sz w:val="20"/>
          <w:szCs w:val="20"/>
        </w:rPr>
        <w:t>: U</w:t>
      </w:r>
      <w:r>
        <w:rPr>
          <w:rFonts w:ascii="Times New Roman" w:hAnsi="Times New Roman" w:cs="Times New Roman"/>
          <w:sz w:val="20"/>
          <w:szCs w:val="20"/>
        </w:rPr>
        <w:t>nreliability index; Q</w:t>
      </w:r>
      <w:r>
        <w:rPr>
          <w:rFonts w:hint="eastAsia" w:ascii="Times New Roman" w:hAnsi="Times New Roman" w:cs="Times New Roman"/>
          <w:sz w:val="20"/>
          <w:szCs w:val="20"/>
        </w:rPr>
        <w:t>: Q</w:t>
      </w:r>
      <w:r>
        <w:rPr>
          <w:rFonts w:ascii="Times New Roman" w:hAnsi="Times New Roman" w:cs="Times New Roman"/>
          <w:sz w:val="20"/>
          <w:szCs w:val="20"/>
        </w:rPr>
        <w:t>uality index (D−U); g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Gini coefficient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29D9B87A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29E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S15.</w:t>
      </w:r>
      <w:r>
        <w:rPr>
          <w:rFonts w:hint="eastAsia" w:ascii="Times New Roman" w:hAnsi="Times New Roman" w:cs="Times New Roman"/>
          <w:sz w:val="20"/>
          <w:szCs w:val="20"/>
        </w:rPr>
        <w:t xml:space="preserve"> Optimism-corrected performance metrics for LDH tertiles predicting 30-day mortality.</w:t>
      </w:r>
    </w:p>
    <w:tbl>
      <w:tblPr>
        <w:tblStyle w:val="16"/>
        <w:tblW w:w="0" w:type="auto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21"/>
        <w:gridCol w:w="1463"/>
        <w:gridCol w:w="1374"/>
        <w:gridCol w:w="1505"/>
        <w:gridCol w:w="1503"/>
        <w:gridCol w:w="1261"/>
      </w:tblGrid>
      <w:tr w14:paraId="7765537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A6D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16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99F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ndex.orig</w:t>
            </w:r>
          </w:p>
        </w:tc>
        <w:tc>
          <w:tcPr>
            <w:tcW w:w="16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38F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158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E65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167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D3A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ptimism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223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ndex.corrected</w:t>
            </w:r>
          </w:p>
        </w:tc>
        <w:tc>
          <w:tcPr>
            <w:tcW w:w="1515" w:type="dxa"/>
            <w:tcBorders>
              <w:top w:val="single" w:color="auto" w:sz="6" w:space="0"/>
              <w:bottom w:val="single" w:color="auto" w:sz="6" w:space="0"/>
            </w:tcBorders>
          </w:tcPr>
          <w:p w14:paraId="4D0C9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N</w:t>
            </w:r>
          </w:p>
        </w:tc>
      </w:tr>
      <w:tr w14:paraId="71B04AA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tcBorders>
              <w:top w:val="single" w:color="auto" w:sz="6" w:space="0"/>
            </w:tcBorders>
            <w:vAlign w:val="center"/>
          </w:tcPr>
          <w:p w14:paraId="0540CB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Dxy</w:t>
            </w:r>
          </w:p>
        </w:tc>
        <w:tc>
          <w:tcPr>
            <w:tcW w:w="1684" w:type="dxa"/>
            <w:tcBorders>
              <w:top w:val="single" w:color="auto" w:sz="6" w:space="0"/>
            </w:tcBorders>
            <w:vAlign w:val="center"/>
          </w:tcPr>
          <w:p w14:paraId="21BEB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1656" w:type="dxa"/>
            <w:tcBorders>
              <w:top w:val="single" w:color="auto" w:sz="6" w:space="0"/>
            </w:tcBorders>
            <w:vAlign w:val="center"/>
          </w:tcPr>
          <w:p w14:paraId="2D25A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0.260</w:t>
            </w:r>
          </w:p>
        </w:tc>
        <w:tc>
          <w:tcPr>
            <w:tcW w:w="1582" w:type="dxa"/>
            <w:tcBorders>
              <w:top w:val="single" w:color="auto" w:sz="6" w:space="0"/>
            </w:tcBorders>
            <w:vAlign w:val="center"/>
          </w:tcPr>
          <w:p w14:paraId="19221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1672" w:type="dxa"/>
            <w:tcBorders>
              <w:top w:val="single" w:color="auto" w:sz="6" w:space="0"/>
            </w:tcBorders>
            <w:vAlign w:val="center"/>
          </w:tcPr>
          <w:p w14:paraId="4B8BC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0.0029</w:t>
            </w:r>
          </w:p>
        </w:tc>
        <w:tc>
          <w:tcPr>
            <w:tcW w:w="1515" w:type="dxa"/>
            <w:tcBorders>
              <w:top w:val="single" w:color="auto" w:sz="6" w:space="0"/>
            </w:tcBorders>
            <w:vAlign w:val="center"/>
          </w:tcPr>
          <w:p w14:paraId="4CC8E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515" w:type="dxa"/>
            <w:tcBorders>
              <w:top w:val="single" w:color="auto" w:sz="6" w:space="0"/>
            </w:tcBorders>
          </w:tcPr>
          <w:p w14:paraId="53474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728AC0B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132D2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84" w:type="dxa"/>
            <w:vAlign w:val="center"/>
          </w:tcPr>
          <w:p w14:paraId="45D5F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656" w:type="dxa"/>
            <w:vAlign w:val="center"/>
          </w:tcPr>
          <w:p w14:paraId="3D830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582" w:type="dxa"/>
            <w:vAlign w:val="center"/>
          </w:tcPr>
          <w:p w14:paraId="672D7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672" w:type="dxa"/>
            <w:vAlign w:val="center"/>
          </w:tcPr>
          <w:p w14:paraId="554B4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1515" w:type="dxa"/>
            <w:vAlign w:val="center"/>
          </w:tcPr>
          <w:p w14:paraId="444A9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515" w:type="dxa"/>
          </w:tcPr>
          <w:p w14:paraId="7B8D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609868E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514" w:type="dxa"/>
            <w:vAlign w:val="center"/>
          </w:tcPr>
          <w:p w14:paraId="50103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</w:p>
        </w:tc>
        <w:tc>
          <w:tcPr>
            <w:tcW w:w="1684" w:type="dxa"/>
            <w:vAlign w:val="center"/>
          </w:tcPr>
          <w:p w14:paraId="1904B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656" w:type="dxa"/>
            <w:vAlign w:val="center"/>
          </w:tcPr>
          <w:p w14:paraId="64DA7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582" w:type="dxa"/>
            <w:vAlign w:val="center"/>
          </w:tcPr>
          <w:p w14:paraId="2CAAF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1672" w:type="dxa"/>
            <w:vAlign w:val="center"/>
          </w:tcPr>
          <w:p w14:paraId="35DCE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0.0144</w:t>
            </w:r>
          </w:p>
        </w:tc>
        <w:tc>
          <w:tcPr>
            <w:tcW w:w="1515" w:type="dxa"/>
            <w:vAlign w:val="center"/>
          </w:tcPr>
          <w:p w14:paraId="75A6A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1515" w:type="dxa"/>
          </w:tcPr>
          <w:p w14:paraId="15906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49870F9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51FDE5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84" w:type="dxa"/>
            <w:vAlign w:val="center"/>
          </w:tcPr>
          <w:p w14:paraId="144BC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56" w:type="dxa"/>
            <w:vAlign w:val="center"/>
          </w:tcPr>
          <w:p w14:paraId="3A86B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582" w:type="dxa"/>
            <w:vAlign w:val="center"/>
          </w:tcPr>
          <w:p w14:paraId="5DBC7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72" w:type="dxa"/>
            <w:vAlign w:val="center"/>
          </w:tcPr>
          <w:p w14:paraId="229D2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515" w:type="dxa"/>
            <w:vAlign w:val="center"/>
          </w:tcPr>
          <w:p w14:paraId="01194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515" w:type="dxa"/>
          </w:tcPr>
          <w:p w14:paraId="410A7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149186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5D6EB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684" w:type="dxa"/>
            <w:vAlign w:val="center"/>
          </w:tcPr>
          <w:p w14:paraId="7B173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656" w:type="dxa"/>
            <w:vAlign w:val="center"/>
          </w:tcPr>
          <w:p w14:paraId="45F93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582" w:type="dxa"/>
            <w:vAlign w:val="center"/>
          </w:tcPr>
          <w:p w14:paraId="047C0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672" w:type="dxa"/>
            <w:vAlign w:val="center"/>
          </w:tcPr>
          <w:p w14:paraId="25B34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-0.0010</w:t>
            </w:r>
          </w:p>
        </w:tc>
        <w:tc>
          <w:tcPr>
            <w:tcW w:w="1515" w:type="dxa"/>
            <w:vAlign w:val="center"/>
          </w:tcPr>
          <w:p w14:paraId="6AE84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515" w:type="dxa"/>
          </w:tcPr>
          <w:p w14:paraId="6CBFC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2F5A9D0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2DD99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684" w:type="dxa"/>
            <w:vAlign w:val="center"/>
          </w:tcPr>
          <w:p w14:paraId="1020F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656" w:type="dxa"/>
            <w:vAlign w:val="center"/>
          </w:tcPr>
          <w:p w14:paraId="5BB3E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582" w:type="dxa"/>
            <w:vAlign w:val="center"/>
          </w:tcPr>
          <w:p w14:paraId="1F99D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672" w:type="dxa"/>
            <w:vAlign w:val="center"/>
          </w:tcPr>
          <w:p w14:paraId="6B52F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515" w:type="dxa"/>
            <w:vAlign w:val="center"/>
          </w:tcPr>
          <w:p w14:paraId="67F53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515" w:type="dxa"/>
          </w:tcPr>
          <w:p w14:paraId="4542D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14:paraId="7A11977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vAlign w:val="center"/>
          </w:tcPr>
          <w:p w14:paraId="42466C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684" w:type="dxa"/>
            <w:vAlign w:val="center"/>
          </w:tcPr>
          <w:p w14:paraId="22B3F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1656" w:type="dxa"/>
            <w:vAlign w:val="center"/>
          </w:tcPr>
          <w:p w14:paraId="6D07F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1582" w:type="dxa"/>
            <w:vAlign w:val="center"/>
          </w:tcPr>
          <w:p w14:paraId="66AE3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1672" w:type="dxa"/>
            <w:vAlign w:val="center"/>
          </w:tcPr>
          <w:p w14:paraId="444DE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0.0192</w:t>
            </w:r>
          </w:p>
        </w:tc>
        <w:tc>
          <w:tcPr>
            <w:tcW w:w="1515" w:type="dxa"/>
            <w:vAlign w:val="center"/>
          </w:tcPr>
          <w:p w14:paraId="7C67E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1515" w:type="dxa"/>
          </w:tcPr>
          <w:p w14:paraId="39DD4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500</w:t>
            </w:r>
          </w:p>
        </w:tc>
      </w:tr>
    </w:tbl>
    <w:p w14:paraId="0FEDAD78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>LDH</w:t>
      </w:r>
      <w:r>
        <w:rPr>
          <w:rFonts w:hint="eastAsia" w:ascii="Times New Roman" w:hAnsi="Times New Roman" w:cs="Times New Roman"/>
          <w:sz w:val="20"/>
          <w:szCs w:val="20"/>
        </w:rPr>
        <w:t>: L</w:t>
      </w:r>
      <w:r>
        <w:rPr>
          <w:rFonts w:ascii="Times New Roman" w:hAnsi="Times New Roman" w:cs="Times New Roman"/>
          <w:sz w:val="20"/>
          <w:szCs w:val="20"/>
        </w:rPr>
        <w:t>actate dehydrogenase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Cs w:val="22"/>
        </w:rPr>
        <w:t>(</w:t>
      </w:r>
      <w:r>
        <w:rPr>
          <w:rFonts w:ascii="Times New Roman" w:hAnsi="Times New Roman" w:cs="Times New Roman"/>
          <w:sz w:val="20"/>
          <w:szCs w:val="20"/>
        </w:rPr>
        <w:t>tertiles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Cs w:val="22"/>
        </w:rPr>
        <w:t>T1</w:t>
      </w:r>
      <w:r>
        <w:rPr>
          <w:rFonts w:ascii="Times New Roman" w:hAnsi="Times New Roman" w:cs="Times New Roman"/>
          <w:sz w:val="20"/>
          <w:szCs w:val="20"/>
        </w:rPr>
        <w:t>: LDH&lt;216, T2: 216≤LDH&lt;352, and T3: LDH≥352 IU/L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 Dxy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Somers’ D rank correlation; R²</w:t>
      </w:r>
      <w:r>
        <w:rPr>
          <w:rFonts w:hint="eastAsia" w:ascii="Times New Roman" w:hAnsi="Times New Roman" w:cs="Times New Roman"/>
          <w:sz w:val="20"/>
          <w:szCs w:val="20"/>
        </w:rPr>
        <w:t>: M</w:t>
      </w:r>
      <w:r>
        <w:rPr>
          <w:rFonts w:ascii="Times New Roman" w:hAnsi="Times New Roman" w:cs="Times New Roman"/>
          <w:sz w:val="20"/>
          <w:szCs w:val="20"/>
        </w:rPr>
        <w:t>odel explained variation (approximate); D</w:t>
      </w:r>
      <w:r>
        <w:rPr>
          <w:rFonts w:hint="eastAsia" w:ascii="Times New Roman" w:hAnsi="Times New Roman" w:cs="Times New Roman"/>
          <w:sz w:val="20"/>
          <w:szCs w:val="20"/>
        </w:rPr>
        <w:t>: D</w:t>
      </w:r>
      <w:r>
        <w:rPr>
          <w:rFonts w:ascii="Times New Roman" w:hAnsi="Times New Roman" w:cs="Times New Roman"/>
          <w:sz w:val="20"/>
          <w:szCs w:val="20"/>
        </w:rPr>
        <w:t>iscrimination index; U</w:t>
      </w:r>
      <w:r>
        <w:rPr>
          <w:rFonts w:hint="eastAsia" w:ascii="Times New Roman" w:hAnsi="Times New Roman" w:cs="Times New Roman"/>
          <w:sz w:val="20"/>
          <w:szCs w:val="20"/>
        </w:rPr>
        <w:t>: U</w:t>
      </w:r>
      <w:r>
        <w:rPr>
          <w:rFonts w:ascii="Times New Roman" w:hAnsi="Times New Roman" w:cs="Times New Roman"/>
          <w:sz w:val="20"/>
          <w:szCs w:val="20"/>
        </w:rPr>
        <w:t>nreliability index; Q</w:t>
      </w:r>
      <w:r>
        <w:rPr>
          <w:rFonts w:hint="eastAsia" w:ascii="Times New Roman" w:hAnsi="Times New Roman" w:cs="Times New Roman"/>
          <w:sz w:val="20"/>
          <w:szCs w:val="20"/>
        </w:rPr>
        <w:t>: Q</w:t>
      </w:r>
      <w:r>
        <w:rPr>
          <w:rFonts w:ascii="Times New Roman" w:hAnsi="Times New Roman" w:cs="Times New Roman"/>
          <w:sz w:val="20"/>
          <w:szCs w:val="20"/>
        </w:rPr>
        <w:t>uality index (D−U); g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Gini coefficient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3CF0E643">
      <w:pPr>
        <w:spacing w:after="120" w:afterLines="5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248F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S16.</w:t>
      </w:r>
      <w:r>
        <w:rPr>
          <w:rFonts w:hint="eastAsia" w:ascii="Times New Roman" w:hAnsi="Times New Roman" w:cs="Times New Roman"/>
          <w:sz w:val="20"/>
          <w:szCs w:val="20"/>
        </w:rPr>
        <w:t xml:space="preserve"> Brier scores </w:t>
      </w:r>
      <w:r>
        <w:rPr>
          <w:rFonts w:ascii="Times New Roman" w:hAnsi="Times New Roman" w:cs="Times New Roman"/>
          <w:sz w:val="20"/>
          <w:szCs w:val="20"/>
        </w:rPr>
        <w:t>for LDH-based models</w:t>
      </w:r>
      <w:r>
        <w:rPr>
          <w:rFonts w:hint="eastAsia" w:ascii="Times New Roman" w:hAnsi="Times New Roman" w:cs="Times New Roman"/>
          <w:sz w:val="20"/>
          <w:szCs w:val="20"/>
        </w:rPr>
        <w:t xml:space="preserve"> predicting in-hospital death and 30-day mortality.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1762"/>
        <w:gridCol w:w="1766"/>
        <w:gridCol w:w="1783"/>
        <w:gridCol w:w="1736"/>
      </w:tblGrid>
      <w:tr w14:paraId="5B17E0B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tcBorders>
              <w:top w:val="single" w:color="auto" w:sz="6" w:space="0"/>
              <w:bottom w:val="single" w:color="auto" w:sz="6" w:space="0"/>
            </w:tcBorders>
          </w:tcPr>
          <w:p w14:paraId="1198DF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979" w:type="dxa"/>
            <w:tcBorders>
              <w:top w:val="single" w:color="auto" w:sz="6" w:space="0"/>
              <w:bottom w:val="single" w:color="auto" w:sz="6" w:space="0"/>
            </w:tcBorders>
          </w:tcPr>
          <w:p w14:paraId="30CE62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Brier score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78A607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147766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1929" w:type="dxa"/>
            <w:tcBorders>
              <w:top w:val="single" w:color="auto" w:sz="6" w:space="0"/>
              <w:bottom w:val="single" w:color="auto" w:sz="6" w:space="0"/>
            </w:tcBorders>
          </w:tcPr>
          <w:p w14:paraId="43B03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</w:tr>
      <w:tr w14:paraId="49AB6B6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tcBorders>
              <w:top w:val="single" w:color="auto" w:sz="6" w:space="0"/>
            </w:tcBorders>
            <w:vAlign w:val="center"/>
          </w:tcPr>
          <w:p w14:paraId="3E142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In-hospital mortality</w:t>
            </w:r>
          </w:p>
        </w:tc>
        <w:tc>
          <w:tcPr>
            <w:tcW w:w="1979" w:type="dxa"/>
            <w:tcBorders>
              <w:top w:val="single" w:color="auto" w:sz="6" w:space="0"/>
            </w:tcBorders>
          </w:tcPr>
          <w:p w14:paraId="26380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985" w:type="dxa"/>
            <w:tcBorders>
              <w:top w:val="single" w:color="auto" w:sz="6" w:space="0"/>
            </w:tcBorders>
          </w:tcPr>
          <w:p w14:paraId="4E12F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984" w:type="dxa"/>
            <w:tcBorders>
              <w:top w:val="single" w:color="auto" w:sz="6" w:space="0"/>
            </w:tcBorders>
          </w:tcPr>
          <w:p w14:paraId="491FD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929" w:type="dxa"/>
            <w:tcBorders>
              <w:top w:val="single" w:color="auto" w:sz="6" w:space="0"/>
            </w:tcBorders>
          </w:tcPr>
          <w:p w14:paraId="6509F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14:paraId="05463BC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vAlign w:val="center"/>
          </w:tcPr>
          <w:p w14:paraId="50446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tertiles + In-hospital mortality</w:t>
            </w:r>
          </w:p>
        </w:tc>
        <w:tc>
          <w:tcPr>
            <w:tcW w:w="1979" w:type="dxa"/>
          </w:tcPr>
          <w:p w14:paraId="6A3AD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985" w:type="dxa"/>
          </w:tcPr>
          <w:p w14:paraId="6F25F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984" w:type="dxa"/>
          </w:tcPr>
          <w:p w14:paraId="1D87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929" w:type="dxa"/>
          </w:tcPr>
          <w:p w14:paraId="65E46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0.140</w:t>
            </w:r>
          </w:p>
        </w:tc>
      </w:tr>
      <w:tr w14:paraId="7A92093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vAlign w:val="center"/>
          </w:tcPr>
          <w:p w14:paraId="726F0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  <w:tc>
          <w:tcPr>
            <w:tcW w:w="1979" w:type="dxa"/>
          </w:tcPr>
          <w:p w14:paraId="28FFC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985" w:type="dxa"/>
          </w:tcPr>
          <w:p w14:paraId="78B4C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984" w:type="dxa"/>
          </w:tcPr>
          <w:p w14:paraId="4B4BD2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1929" w:type="dxa"/>
          </w:tcPr>
          <w:p w14:paraId="36D3E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0.209</w:t>
            </w:r>
          </w:p>
        </w:tc>
      </w:tr>
      <w:tr w14:paraId="1F2B838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1" w:type="dxa"/>
            <w:vAlign w:val="center"/>
          </w:tcPr>
          <w:p w14:paraId="4F78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tertiles + 30-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  <w:tc>
          <w:tcPr>
            <w:tcW w:w="1979" w:type="dxa"/>
          </w:tcPr>
          <w:p w14:paraId="5A95D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1985" w:type="dxa"/>
          </w:tcPr>
          <w:p w14:paraId="40D10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984" w:type="dxa"/>
          </w:tcPr>
          <w:p w14:paraId="2DE41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929" w:type="dxa"/>
          </w:tcPr>
          <w:p w14:paraId="23200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0.205</w:t>
            </w:r>
          </w:p>
        </w:tc>
      </w:tr>
    </w:tbl>
    <w:p w14:paraId="6361A55D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ln(LDH)</w:t>
      </w:r>
      <w:r>
        <w:rPr>
          <w:rFonts w:hint="eastAsia" w:ascii="Times New Roman" w:hAnsi="Times New Roman" w:cs="Times New Roman"/>
          <w:sz w:val="20"/>
          <w:szCs w:val="20"/>
        </w:rPr>
        <w:t>: N</w:t>
      </w:r>
      <w:r>
        <w:rPr>
          <w:rFonts w:ascii="Times New Roman" w:hAnsi="Times New Roman" w:cs="Times New Roman"/>
          <w:sz w:val="20"/>
          <w:szCs w:val="20"/>
        </w:rPr>
        <w:t>atural log–transformed lactate dehydrogenase</w:t>
      </w:r>
      <w:r>
        <w:rPr>
          <w:rFonts w:hint="eastAsia"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tertiles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T1: LDH&lt;216, T2: 216≤LDH&lt;352, and T3: LDH≥352 IU/L</w:t>
      </w:r>
      <w:r>
        <w:rPr>
          <w:rFonts w:hint="eastAsia"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 SE</w:t>
      </w:r>
      <w:r>
        <w:rPr>
          <w:rFonts w:hint="eastAsia" w:ascii="Times New Roman" w:hAnsi="Times New Roman" w:cs="Times New Roman"/>
          <w:sz w:val="20"/>
          <w:szCs w:val="20"/>
        </w:rPr>
        <w:t>: S</w:t>
      </w:r>
      <w:r>
        <w:rPr>
          <w:rFonts w:ascii="Times New Roman" w:hAnsi="Times New Roman" w:cs="Times New Roman"/>
          <w:sz w:val="20"/>
          <w:szCs w:val="20"/>
        </w:rPr>
        <w:t xml:space="preserve">tandard error. </w:t>
      </w:r>
    </w:p>
    <w:p w14:paraId="5B00CBBC">
      <w:pPr>
        <w:rPr>
          <w:rFonts w:ascii="Times New Roman" w:hAnsi="Times New Roman" w:cs="Times New Roman"/>
          <w:b/>
          <w:bCs/>
          <w:szCs w:val="22"/>
        </w:rPr>
      </w:pPr>
    </w:p>
    <w:p w14:paraId="0E55E1A6">
      <w:pPr>
        <w:rPr>
          <w:rFonts w:ascii="Times New Roman" w:hAnsi="Times New Roman" w:cs="Times New Roman"/>
          <w:b/>
          <w:bCs/>
          <w:szCs w:val="22"/>
        </w:rPr>
      </w:pPr>
    </w:p>
    <w:p w14:paraId="50EF6A80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S17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EE0000"/>
          <w:sz w:val="20"/>
          <w:szCs w:val="20"/>
        </w:rPr>
        <w:t>Predictive performance of LDH for short-term mortality among critically ill patients with IS.</w:t>
      </w:r>
    </w:p>
    <w:tbl>
      <w:tblPr>
        <w:tblStyle w:val="16"/>
        <w:tblW w:w="8363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973"/>
        <w:gridCol w:w="1028"/>
        <w:gridCol w:w="1047"/>
        <w:gridCol w:w="1217"/>
        <w:gridCol w:w="1276"/>
      </w:tblGrid>
      <w:tr w14:paraId="570E606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2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D59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Variables and outcome</w:t>
            </w: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s</w:t>
            </w:r>
          </w:p>
        </w:tc>
        <w:tc>
          <w:tcPr>
            <w:tcW w:w="97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E65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AUC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2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A65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C-index</w:t>
            </w:r>
          </w:p>
        </w:tc>
        <w:tc>
          <w:tcPr>
            <w:tcW w:w="1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DE5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C-index*</w:t>
            </w:r>
          </w:p>
        </w:tc>
        <w:tc>
          <w:tcPr>
            <w:tcW w:w="121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008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Brier score</w:t>
            </w:r>
          </w:p>
        </w:tc>
        <w:tc>
          <w:tcPr>
            <w:tcW w:w="127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3EB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alibration slope</w:t>
            </w:r>
          </w:p>
        </w:tc>
      </w:tr>
      <w:tr w14:paraId="628DF8C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22" w:type="dxa"/>
            <w:tcBorders>
              <w:top w:val="single" w:color="auto" w:sz="6" w:space="0"/>
            </w:tcBorders>
            <w:vAlign w:val="center"/>
          </w:tcPr>
          <w:p w14:paraId="5D9630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+ In-hospital mortality</w:t>
            </w:r>
          </w:p>
        </w:tc>
        <w:tc>
          <w:tcPr>
            <w:tcW w:w="973" w:type="dxa"/>
            <w:tcBorders>
              <w:top w:val="single" w:color="auto" w:sz="6" w:space="0"/>
            </w:tcBorders>
            <w:vAlign w:val="center"/>
          </w:tcPr>
          <w:p w14:paraId="65DA33C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0.642</w:t>
            </w:r>
          </w:p>
        </w:tc>
        <w:tc>
          <w:tcPr>
            <w:tcW w:w="1028" w:type="dxa"/>
            <w:tcBorders>
              <w:top w:val="single" w:color="auto" w:sz="6" w:space="0"/>
            </w:tcBorders>
            <w:vAlign w:val="center"/>
          </w:tcPr>
          <w:p w14:paraId="7F026D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0.657</w:t>
            </w:r>
          </w:p>
        </w:tc>
        <w:tc>
          <w:tcPr>
            <w:tcW w:w="1047" w:type="dxa"/>
            <w:tcBorders>
              <w:top w:val="single" w:color="auto" w:sz="6" w:space="0"/>
            </w:tcBorders>
            <w:vAlign w:val="center"/>
          </w:tcPr>
          <w:p w14:paraId="1B22730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0.659</w:t>
            </w:r>
          </w:p>
        </w:tc>
        <w:tc>
          <w:tcPr>
            <w:tcW w:w="1217" w:type="dxa"/>
            <w:tcBorders>
              <w:top w:val="single" w:color="auto" w:sz="6" w:space="0"/>
            </w:tcBorders>
            <w:vAlign w:val="center"/>
          </w:tcPr>
          <w:p w14:paraId="13A3586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0.121</w:t>
            </w:r>
          </w:p>
        </w:tc>
        <w:tc>
          <w:tcPr>
            <w:tcW w:w="1276" w:type="dxa"/>
            <w:tcBorders>
              <w:top w:val="single" w:color="auto" w:sz="6" w:space="0"/>
            </w:tcBorders>
            <w:vAlign w:val="center"/>
          </w:tcPr>
          <w:p w14:paraId="7C83AC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1.008</w:t>
            </w:r>
          </w:p>
        </w:tc>
      </w:tr>
      <w:tr w14:paraId="7364D94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22" w:type="dxa"/>
            <w:vAlign w:val="center"/>
          </w:tcPr>
          <w:p w14:paraId="7B8EE8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tertiles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+ In-hospital mortality</w:t>
            </w:r>
          </w:p>
        </w:tc>
        <w:tc>
          <w:tcPr>
            <w:tcW w:w="973" w:type="dxa"/>
            <w:vAlign w:val="center"/>
          </w:tcPr>
          <w:p w14:paraId="3480252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0.622</w:t>
            </w:r>
          </w:p>
        </w:tc>
        <w:tc>
          <w:tcPr>
            <w:tcW w:w="1028" w:type="dxa"/>
            <w:vAlign w:val="center"/>
          </w:tcPr>
          <w:p w14:paraId="331D7AD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0.632</w:t>
            </w:r>
          </w:p>
        </w:tc>
        <w:tc>
          <w:tcPr>
            <w:tcW w:w="1047" w:type="dxa"/>
            <w:vAlign w:val="center"/>
          </w:tcPr>
          <w:p w14:paraId="0CFF779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0.635</w:t>
            </w:r>
          </w:p>
        </w:tc>
        <w:tc>
          <w:tcPr>
            <w:tcW w:w="1217" w:type="dxa"/>
            <w:vAlign w:val="center"/>
          </w:tcPr>
          <w:p w14:paraId="3F9C50C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0.121</w:t>
            </w:r>
          </w:p>
        </w:tc>
        <w:tc>
          <w:tcPr>
            <w:tcW w:w="1276" w:type="dxa"/>
            <w:vAlign w:val="center"/>
          </w:tcPr>
          <w:p w14:paraId="6AD473A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0.984</w:t>
            </w:r>
          </w:p>
        </w:tc>
      </w:tr>
      <w:tr w14:paraId="2490F71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22" w:type="dxa"/>
            <w:vAlign w:val="center"/>
          </w:tcPr>
          <w:p w14:paraId="7EF15B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ln(LDH)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+ 30-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ay mortality</w:t>
            </w:r>
          </w:p>
        </w:tc>
        <w:tc>
          <w:tcPr>
            <w:tcW w:w="973" w:type="dxa"/>
            <w:vAlign w:val="center"/>
          </w:tcPr>
          <w:p w14:paraId="0C5E98C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0.668</w:t>
            </w:r>
          </w:p>
        </w:tc>
        <w:tc>
          <w:tcPr>
            <w:tcW w:w="1028" w:type="dxa"/>
            <w:vAlign w:val="center"/>
          </w:tcPr>
          <w:p w14:paraId="24182CF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0.652</w:t>
            </w:r>
          </w:p>
        </w:tc>
        <w:tc>
          <w:tcPr>
            <w:tcW w:w="1047" w:type="dxa"/>
            <w:vAlign w:val="center"/>
          </w:tcPr>
          <w:p w14:paraId="4E81C05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0.653</w:t>
            </w:r>
          </w:p>
        </w:tc>
        <w:tc>
          <w:tcPr>
            <w:tcW w:w="1217" w:type="dxa"/>
            <w:vAlign w:val="center"/>
          </w:tcPr>
          <w:p w14:paraId="62BBD34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0.195</w:t>
            </w:r>
          </w:p>
        </w:tc>
        <w:tc>
          <w:tcPr>
            <w:tcW w:w="1276" w:type="dxa"/>
            <w:vAlign w:val="center"/>
          </w:tcPr>
          <w:p w14:paraId="5AA5C55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1.017</w:t>
            </w:r>
          </w:p>
        </w:tc>
      </w:tr>
      <w:tr w14:paraId="4382F2A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822" w:type="dxa"/>
            <w:vAlign w:val="center"/>
          </w:tcPr>
          <w:p w14:paraId="686529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LDH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tertiles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+ 30-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ay mortality</w:t>
            </w:r>
          </w:p>
        </w:tc>
        <w:tc>
          <w:tcPr>
            <w:tcW w:w="973" w:type="dxa"/>
            <w:vAlign w:val="center"/>
          </w:tcPr>
          <w:p w14:paraId="0BF785B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0.643</w:t>
            </w:r>
          </w:p>
        </w:tc>
        <w:tc>
          <w:tcPr>
            <w:tcW w:w="1028" w:type="dxa"/>
            <w:vAlign w:val="center"/>
          </w:tcPr>
          <w:p w14:paraId="31D0F37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0.629</w:t>
            </w:r>
          </w:p>
        </w:tc>
        <w:tc>
          <w:tcPr>
            <w:tcW w:w="1047" w:type="dxa"/>
            <w:vAlign w:val="center"/>
          </w:tcPr>
          <w:p w14:paraId="3818714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0.629</w:t>
            </w:r>
          </w:p>
        </w:tc>
        <w:tc>
          <w:tcPr>
            <w:tcW w:w="1217" w:type="dxa"/>
            <w:vAlign w:val="center"/>
          </w:tcPr>
          <w:p w14:paraId="1CBF476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0.192</w:t>
            </w:r>
          </w:p>
        </w:tc>
        <w:tc>
          <w:tcPr>
            <w:tcW w:w="1276" w:type="dxa"/>
            <w:vAlign w:val="center"/>
          </w:tcPr>
          <w:p w14:paraId="712214C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0.986</w:t>
            </w:r>
          </w:p>
        </w:tc>
      </w:tr>
    </w:tbl>
    <w:p w14:paraId="11A3AF89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color w:val="EE0000"/>
          <w:sz w:val="20"/>
          <w:szCs w:val="20"/>
        </w:rPr>
        <w:t>: The time point for in-hospital mortality was 9.28 days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p w14:paraId="4F91DD75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color w:val="EE0000"/>
          <w:sz w:val="20"/>
          <w:szCs w:val="20"/>
        </w:rPr>
        <w:t>*: Bootstrap-corrected (500 resamples)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p w14:paraId="29E99E4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color w:val="EE0000"/>
          <w:sz w:val="20"/>
          <w:szCs w:val="20"/>
        </w:rPr>
        <w:t>LDH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Lactate dehydrogenase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(</w:t>
      </w:r>
      <w:r>
        <w:rPr>
          <w:rFonts w:ascii="Times New Roman" w:hAnsi="Times New Roman" w:cs="Times New Roman"/>
          <w:color w:val="EE0000"/>
          <w:sz w:val="20"/>
          <w:szCs w:val="20"/>
        </w:rPr>
        <w:t>tertiles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T1: LDH&lt;216, T2: 216≤LDH&lt;352, and T3: LDH≥352 IU/L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)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IS: Ischemic stroke; </w:t>
      </w:r>
      <w:r>
        <w:rPr>
          <w:rFonts w:ascii="Times New Roman" w:hAnsi="Times New Roman" w:cs="Times New Roman"/>
          <w:color w:val="EE0000"/>
          <w:sz w:val="20"/>
          <w:szCs w:val="20"/>
        </w:rPr>
        <w:t>AUC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Area under the curve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; SE: Standard error; </w:t>
      </w:r>
      <w:r>
        <w:rPr>
          <w:rFonts w:ascii="Times New Roman" w:hAnsi="Times New Roman" w:cs="Times New Roman"/>
          <w:color w:val="EE0000"/>
          <w:sz w:val="20"/>
          <w:szCs w:val="20"/>
        </w:rPr>
        <w:t>ln(LDH)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N</w:t>
      </w:r>
      <w:r>
        <w:rPr>
          <w:rFonts w:ascii="Times New Roman" w:hAnsi="Times New Roman" w:cs="Times New Roman"/>
          <w:color w:val="EE0000"/>
          <w:sz w:val="20"/>
          <w:szCs w:val="20"/>
        </w:rPr>
        <w:t>atural log–transformed lactate dehydrogenase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. </w:t>
      </w:r>
    </w:p>
    <w:p w14:paraId="6F65491F">
      <w:pPr>
        <w:rPr>
          <w:rFonts w:ascii="Times New Roman" w:hAnsi="Times New Roman" w:cs="Times New Roman"/>
          <w:b/>
          <w:bCs/>
          <w:szCs w:val="22"/>
        </w:rPr>
        <w:sectPr>
          <w:pgSz w:w="13325" w:h="16840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4DB7E935">
      <w:pPr>
        <w:rPr>
          <w:rFonts w:ascii="Times New Roman" w:hAnsi="Times New Roman" w:cs="Times New Roman"/>
          <w:b/>
          <w:bCs/>
          <w:szCs w:val="22"/>
        </w:rPr>
      </w:pPr>
    </w:p>
    <w:p w14:paraId="105A5D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18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Key variables selected by LASSO regression.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2816"/>
        <w:gridCol w:w="2888"/>
      </w:tblGrid>
      <w:tr w14:paraId="09AA78E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tcBorders>
              <w:top w:val="single" w:color="auto" w:sz="6" w:space="0"/>
              <w:bottom w:val="single" w:color="auto" w:sz="6" w:space="0"/>
            </w:tcBorders>
          </w:tcPr>
          <w:p w14:paraId="42BD9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come</w:t>
            </w:r>
          </w:p>
        </w:tc>
        <w:tc>
          <w:tcPr>
            <w:tcW w:w="3146" w:type="dxa"/>
            <w:tcBorders>
              <w:top w:val="single" w:color="auto" w:sz="6" w:space="0"/>
              <w:bottom w:val="single" w:color="auto" w:sz="6" w:space="0"/>
            </w:tcBorders>
          </w:tcPr>
          <w:p w14:paraId="7E5F4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 selected (n)</w:t>
            </w:r>
          </w:p>
        </w:tc>
        <w:tc>
          <w:tcPr>
            <w:tcW w:w="3146" w:type="dxa"/>
            <w:tcBorders>
              <w:top w:val="single" w:color="auto" w:sz="6" w:space="0"/>
              <w:bottom w:val="single" w:color="auto" w:sz="6" w:space="0"/>
            </w:tcBorders>
          </w:tcPr>
          <w:p w14:paraId="289F7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Detailed variables</w:t>
            </w:r>
          </w:p>
        </w:tc>
      </w:tr>
      <w:tr w14:paraId="69328E2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tcBorders>
              <w:top w:val="single" w:color="auto" w:sz="6" w:space="0"/>
            </w:tcBorders>
            <w:vAlign w:val="center"/>
          </w:tcPr>
          <w:p w14:paraId="6C197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In-hospital mortality</w:t>
            </w:r>
          </w:p>
        </w:tc>
        <w:tc>
          <w:tcPr>
            <w:tcW w:w="3146" w:type="dxa"/>
            <w:tcBorders>
              <w:top w:val="single" w:color="auto" w:sz="6" w:space="0"/>
            </w:tcBorders>
            <w:vAlign w:val="center"/>
          </w:tcPr>
          <w:p w14:paraId="2856D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6" w:type="dxa"/>
            <w:tcBorders>
              <w:top w:val="single" w:color="auto" w:sz="6" w:space="0"/>
            </w:tcBorders>
            <w:vAlign w:val="center"/>
          </w:tcPr>
          <w:p w14:paraId="26962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spirin, congestive heart failure, anion gap, I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T, norepinephrine, SAPSII, statin, and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invasive ventilation</w:t>
            </w:r>
          </w:p>
        </w:tc>
      </w:tr>
      <w:tr w14:paraId="084F63A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5" w:type="dxa"/>
            <w:vAlign w:val="center"/>
          </w:tcPr>
          <w:p w14:paraId="4C56E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  <w:tc>
          <w:tcPr>
            <w:tcW w:w="3146" w:type="dxa"/>
            <w:vAlign w:val="center"/>
          </w:tcPr>
          <w:p w14:paraId="3CA2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46" w:type="dxa"/>
            <w:vAlign w:val="center"/>
          </w:tcPr>
          <w:p w14:paraId="3B9CC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yocardial infarct, Charlson comorbidity index, anion gap, hemoglobin, RDW, total calcium,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Heart rate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I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T, norepinephrine, phenylephrine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SAPS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II, SIRS, statin,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invasive ventilation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and age</w:t>
            </w:r>
          </w:p>
        </w:tc>
      </w:tr>
    </w:tbl>
    <w:p w14:paraId="6FF8BC34">
      <w:pPr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hint="eastAsia"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Intravenous thrombolysis; </w:t>
      </w:r>
      <w:r>
        <w:rPr>
          <w:rFonts w:hint="eastAsia" w:ascii="Times New Roman" w:hAnsi="Times New Roman" w:cs="Times New Roman"/>
          <w:sz w:val="20"/>
          <w:szCs w:val="20"/>
        </w:rPr>
        <w:t>SAPS II:</w:t>
      </w:r>
      <w:bookmarkStart w:id="2" w:name="_Hlk210845579"/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Simplified Acute Physiology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II</w:t>
      </w:r>
      <w:bookmarkEnd w:id="2"/>
      <w:r>
        <w:rPr>
          <w:rFonts w:hint="eastAsia" w:ascii="Times New Roman" w:hAnsi="Times New Roman" w:cs="Times New Roman"/>
          <w:sz w:val="20"/>
          <w:szCs w:val="20"/>
        </w:rPr>
        <w:t xml:space="preserve">; RDW: </w:t>
      </w:r>
      <w:r>
        <w:rPr>
          <w:rFonts w:ascii="Times New Roman" w:hAnsi="Times New Roman" w:cs="Times New Roman"/>
          <w:sz w:val="20"/>
          <w:szCs w:val="20"/>
        </w:rPr>
        <w:t>Red blood cell </w:t>
      </w:r>
      <w:r>
        <w:rPr>
          <w:rFonts w:hint="eastAsia"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istribution </w:t>
      </w:r>
      <w:r>
        <w:rPr>
          <w:rFonts w:hint="eastAsia"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idth</w:t>
      </w:r>
      <w:r>
        <w:rPr>
          <w:rFonts w:hint="eastAsia" w:ascii="Times New Roman" w:hAnsi="Times New Roman" w:cs="Times New Roman"/>
          <w:sz w:val="20"/>
          <w:szCs w:val="20"/>
        </w:rPr>
        <w:t xml:space="preserve">; SIRS: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Systemic Inflammatory Response Syndrome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19EB3CE0">
      <w:pPr>
        <w:rPr>
          <w:rFonts w:ascii="Times New Roman" w:hAnsi="Times New Roman" w:cs="Times New Roman"/>
          <w:b/>
          <w:bCs/>
          <w:szCs w:val="22"/>
        </w:rPr>
      </w:pPr>
    </w:p>
    <w:p w14:paraId="40D37619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2DED8AD0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Table S19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EE0000"/>
          <w:sz w:val="20"/>
          <w:szCs w:val="20"/>
        </w:rPr>
        <w:t>Coefficients of variables selected by LASSO (outcome: in-hospital mortality)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268"/>
      </w:tblGrid>
      <w:tr w14:paraId="431C3FB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47" w:type="dxa"/>
            <w:tcBorders>
              <w:top w:val="single" w:color="auto" w:sz="6" w:space="0"/>
              <w:bottom w:val="single" w:color="auto" w:sz="6" w:space="0"/>
            </w:tcBorders>
          </w:tcPr>
          <w:p w14:paraId="0CF309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Variables</w:t>
            </w:r>
          </w:p>
        </w:tc>
        <w:tc>
          <w:tcPr>
            <w:tcW w:w="2268" w:type="dxa"/>
            <w:tcBorders>
              <w:top w:val="single" w:color="auto" w:sz="6" w:space="0"/>
              <w:bottom w:val="single" w:color="auto" w:sz="6" w:space="0"/>
            </w:tcBorders>
          </w:tcPr>
          <w:p w14:paraId="62B7E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Coefficient</w:t>
            </w:r>
          </w:p>
        </w:tc>
      </w:tr>
      <w:tr w14:paraId="29D402F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6" w:space="0"/>
            </w:tcBorders>
          </w:tcPr>
          <w:p w14:paraId="2DC4871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spirin</w:t>
            </w:r>
          </w:p>
        </w:tc>
        <w:tc>
          <w:tcPr>
            <w:tcW w:w="2268" w:type="dxa"/>
            <w:tcBorders>
              <w:top w:val="single" w:color="auto" w:sz="6" w:space="0"/>
            </w:tcBorders>
          </w:tcPr>
          <w:p w14:paraId="677FB8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-0.104</w:t>
            </w:r>
          </w:p>
        </w:tc>
      </w:tr>
      <w:tr w14:paraId="2623997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582D33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ongestive heart failure</w:t>
            </w:r>
          </w:p>
        </w:tc>
        <w:tc>
          <w:tcPr>
            <w:tcW w:w="2268" w:type="dxa"/>
          </w:tcPr>
          <w:p w14:paraId="46EDA6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0.114</w:t>
            </w:r>
          </w:p>
        </w:tc>
      </w:tr>
      <w:tr w14:paraId="53C588B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EC3A2DB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nion gap</w:t>
            </w:r>
          </w:p>
        </w:tc>
        <w:tc>
          <w:tcPr>
            <w:tcW w:w="2268" w:type="dxa"/>
          </w:tcPr>
          <w:p w14:paraId="724B74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0.0002</w:t>
            </w:r>
          </w:p>
        </w:tc>
      </w:tr>
      <w:tr w14:paraId="5238A21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C19F09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</w:t>
            </w:r>
          </w:p>
        </w:tc>
        <w:tc>
          <w:tcPr>
            <w:tcW w:w="2268" w:type="dxa"/>
          </w:tcPr>
          <w:p w14:paraId="6A3018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-0.316</w:t>
            </w:r>
          </w:p>
        </w:tc>
      </w:tr>
      <w:tr w14:paraId="7461CFC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1AF71CC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orepinephrine</w:t>
            </w:r>
          </w:p>
        </w:tc>
        <w:tc>
          <w:tcPr>
            <w:tcW w:w="2268" w:type="dxa"/>
          </w:tcPr>
          <w:p w14:paraId="22AD7B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0.261</w:t>
            </w:r>
          </w:p>
        </w:tc>
      </w:tr>
      <w:tr w14:paraId="6F9B9DC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76E272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SAPS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II</w:t>
            </w:r>
          </w:p>
        </w:tc>
        <w:tc>
          <w:tcPr>
            <w:tcW w:w="2268" w:type="dxa"/>
          </w:tcPr>
          <w:p w14:paraId="07E176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0.015</w:t>
            </w:r>
          </w:p>
        </w:tc>
      </w:tr>
      <w:tr w14:paraId="07976B1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00028D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tatin</w:t>
            </w:r>
          </w:p>
        </w:tc>
        <w:tc>
          <w:tcPr>
            <w:tcW w:w="2268" w:type="dxa"/>
          </w:tcPr>
          <w:p w14:paraId="612C9D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-0.335</w:t>
            </w:r>
          </w:p>
        </w:tc>
      </w:tr>
      <w:tr w14:paraId="7CFC33F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6F5439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Invasive ventilation</w:t>
            </w:r>
          </w:p>
        </w:tc>
        <w:tc>
          <w:tcPr>
            <w:tcW w:w="2268" w:type="dxa"/>
          </w:tcPr>
          <w:p w14:paraId="1A2E4A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0.249</w:t>
            </w:r>
          </w:p>
        </w:tc>
      </w:tr>
    </w:tbl>
    <w:p w14:paraId="72637A53">
      <w:pPr>
        <w:spacing w:after="120" w:afterLines="5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Abbreviations: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LASSO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Least absolute shrinkage and selection operator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EE0000"/>
          <w:sz w:val="20"/>
          <w:szCs w:val="20"/>
        </w:rPr>
        <w:t>IVT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</w:t>
      </w:r>
      <w:r>
        <w:rPr>
          <w:rFonts w:ascii="Times New Roman" w:hAnsi="Times New Roman" w:cs="Times New Roman"/>
          <w:color w:val="EE0000"/>
          <w:sz w:val="20"/>
          <w:szCs w:val="20"/>
        </w:rPr>
        <w:t>ntravenous thrombolysis; SAPS II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Simplified Acute Physiology Score II.</w:t>
      </w:r>
    </w:p>
    <w:p w14:paraId="6D58C773">
      <w:pPr>
        <w:spacing w:after="120" w:afterLines="50" w:line="360" w:lineRule="auto"/>
        <w:rPr>
          <w:rFonts w:ascii="Times New Roman" w:hAnsi="Times New Roman" w:cs="Times New Roman"/>
          <w:color w:val="EE0000"/>
          <w:sz w:val="20"/>
          <w:szCs w:val="20"/>
        </w:rPr>
      </w:pPr>
    </w:p>
    <w:p w14:paraId="01E86604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Table S20.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EE0000"/>
          <w:sz w:val="20"/>
          <w:szCs w:val="20"/>
        </w:rPr>
        <w:t>Coefficients of variables selected by LASSO (outcome: 30-day mortality)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268"/>
      </w:tblGrid>
      <w:tr w14:paraId="51299E2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6" w:space="0"/>
              <w:bottom w:val="single" w:color="auto" w:sz="6" w:space="0"/>
            </w:tcBorders>
          </w:tcPr>
          <w:p w14:paraId="4B9E5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Variables</w:t>
            </w:r>
          </w:p>
        </w:tc>
        <w:tc>
          <w:tcPr>
            <w:tcW w:w="2268" w:type="dxa"/>
            <w:tcBorders>
              <w:top w:val="single" w:color="auto" w:sz="6" w:space="0"/>
              <w:bottom w:val="single" w:color="auto" w:sz="6" w:space="0"/>
            </w:tcBorders>
          </w:tcPr>
          <w:p w14:paraId="144FB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Coefficient</w:t>
            </w:r>
          </w:p>
        </w:tc>
      </w:tr>
      <w:tr w14:paraId="1EDB53F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single" w:color="auto" w:sz="6" w:space="0"/>
            </w:tcBorders>
          </w:tcPr>
          <w:p w14:paraId="44A61CC2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Myocardial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infarct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ion</w:t>
            </w:r>
          </w:p>
        </w:tc>
        <w:tc>
          <w:tcPr>
            <w:tcW w:w="2268" w:type="dxa"/>
            <w:tcBorders>
              <w:top w:val="single" w:color="auto" w:sz="6" w:space="0"/>
            </w:tcBorders>
          </w:tcPr>
          <w:p w14:paraId="33AA14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0.182</w:t>
            </w:r>
          </w:p>
        </w:tc>
      </w:tr>
      <w:tr w14:paraId="294E294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F308544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Charlson comorbidity index</w:t>
            </w:r>
          </w:p>
        </w:tc>
        <w:tc>
          <w:tcPr>
            <w:tcW w:w="2268" w:type="dxa"/>
          </w:tcPr>
          <w:p w14:paraId="63756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0.021</w:t>
            </w:r>
          </w:p>
        </w:tc>
      </w:tr>
      <w:tr w14:paraId="2BA65E2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69219F4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nion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gap</w:t>
            </w:r>
          </w:p>
        </w:tc>
        <w:tc>
          <w:tcPr>
            <w:tcW w:w="2268" w:type="dxa"/>
          </w:tcPr>
          <w:p w14:paraId="1DFA6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0.025</w:t>
            </w:r>
          </w:p>
        </w:tc>
      </w:tr>
      <w:tr w14:paraId="3BF2B9B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875D415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emoglobin</w:t>
            </w:r>
          </w:p>
        </w:tc>
        <w:tc>
          <w:tcPr>
            <w:tcW w:w="2268" w:type="dxa"/>
          </w:tcPr>
          <w:p w14:paraId="4B55F7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-0.012</w:t>
            </w:r>
          </w:p>
        </w:tc>
      </w:tr>
      <w:tr w14:paraId="5BA6C46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9CC343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RDW</w:t>
            </w:r>
          </w:p>
        </w:tc>
        <w:tc>
          <w:tcPr>
            <w:tcW w:w="2268" w:type="dxa"/>
          </w:tcPr>
          <w:p w14:paraId="59FD0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0.009</w:t>
            </w:r>
          </w:p>
        </w:tc>
      </w:tr>
      <w:tr w14:paraId="5AE65D0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7C9E8A2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Total calcium</w:t>
            </w:r>
          </w:p>
        </w:tc>
        <w:tc>
          <w:tcPr>
            <w:tcW w:w="2268" w:type="dxa"/>
          </w:tcPr>
          <w:p w14:paraId="07EE45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-0.047</w:t>
            </w:r>
          </w:p>
        </w:tc>
      </w:tr>
      <w:tr w14:paraId="5429E80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28B3074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Heart rate</w:t>
            </w:r>
          </w:p>
        </w:tc>
        <w:tc>
          <w:tcPr>
            <w:tcW w:w="2268" w:type="dxa"/>
          </w:tcPr>
          <w:p w14:paraId="40CEA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0.002</w:t>
            </w:r>
          </w:p>
        </w:tc>
      </w:tr>
      <w:tr w14:paraId="5F668F3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6B78107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IVT</w:t>
            </w:r>
          </w:p>
        </w:tc>
        <w:tc>
          <w:tcPr>
            <w:tcW w:w="2268" w:type="dxa"/>
          </w:tcPr>
          <w:p w14:paraId="28DDC8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-0.098</w:t>
            </w:r>
          </w:p>
        </w:tc>
      </w:tr>
      <w:tr w14:paraId="543823A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C91432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orepinephrine</w:t>
            </w:r>
          </w:p>
        </w:tc>
        <w:tc>
          <w:tcPr>
            <w:tcW w:w="2268" w:type="dxa"/>
          </w:tcPr>
          <w:p w14:paraId="6BCA8A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0.114</w:t>
            </w:r>
          </w:p>
        </w:tc>
      </w:tr>
      <w:tr w14:paraId="0194C55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8BDDA01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henylephrine</w:t>
            </w:r>
          </w:p>
        </w:tc>
        <w:tc>
          <w:tcPr>
            <w:tcW w:w="2268" w:type="dxa"/>
          </w:tcPr>
          <w:p w14:paraId="7660FB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0.039</w:t>
            </w:r>
          </w:p>
        </w:tc>
      </w:tr>
      <w:tr w14:paraId="151F030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36429EC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SAPS II</w:t>
            </w:r>
          </w:p>
        </w:tc>
        <w:tc>
          <w:tcPr>
            <w:tcW w:w="2268" w:type="dxa"/>
          </w:tcPr>
          <w:p w14:paraId="74A911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0.022</w:t>
            </w:r>
          </w:p>
        </w:tc>
      </w:tr>
      <w:tr w14:paraId="518768F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61C4292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SIRS</w:t>
            </w:r>
          </w:p>
        </w:tc>
        <w:tc>
          <w:tcPr>
            <w:tcW w:w="2268" w:type="dxa"/>
          </w:tcPr>
          <w:p w14:paraId="3D6B1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0.011</w:t>
            </w:r>
          </w:p>
        </w:tc>
      </w:tr>
      <w:tr w14:paraId="11C6221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2D2B4E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tatin</w:t>
            </w:r>
          </w:p>
        </w:tc>
        <w:tc>
          <w:tcPr>
            <w:tcW w:w="2268" w:type="dxa"/>
          </w:tcPr>
          <w:p w14:paraId="7873E9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-0.554</w:t>
            </w:r>
          </w:p>
        </w:tc>
      </w:tr>
      <w:tr w14:paraId="2DA2DCE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916C12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Invasive ventilation</w:t>
            </w:r>
          </w:p>
        </w:tc>
        <w:tc>
          <w:tcPr>
            <w:tcW w:w="2268" w:type="dxa"/>
          </w:tcPr>
          <w:p w14:paraId="78FD6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0.400</w:t>
            </w:r>
          </w:p>
        </w:tc>
      </w:tr>
      <w:tr w14:paraId="0609A9E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C02136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Admission age</w:t>
            </w:r>
          </w:p>
        </w:tc>
        <w:tc>
          <w:tcPr>
            <w:tcW w:w="2268" w:type="dxa"/>
          </w:tcPr>
          <w:p w14:paraId="56AEA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0.011</w:t>
            </w:r>
          </w:p>
        </w:tc>
      </w:tr>
    </w:tbl>
    <w:p w14:paraId="3BC819AD">
      <w:pPr>
        <w:spacing w:after="120" w:afterLines="5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Abbreviations: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LASSO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Least absolute shrinkage and selection operator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EE0000"/>
          <w:sz w:val="20"/>
          <w:szCs w:val="20"/>
        </w:rPr>
        <w:t>RDW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>ed cell distribution width; SIRS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Systemic Inflammatory Response Syndrome; IVT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</w:t>
      </w:r>
      <w:r>
        <w:rPr>
          <w:rFonts w:ascii="Times New Roman" w:hAnsi="Times New Roman" w:cs="Times New Roman"/>
          <w:color w:val="EE0000"/>
          <w:sz w:val="20"/>
          <w:szCs w:val="20"/>
        </w:rPr>
        <w:t>ntravenous thrombolysis; SAPS II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Simplified Acute Physiology Score II.</w:t>
      </w:r>
    </w:p>
    <w:p w14:paraId="2C1AA813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3C780C0A">
      <w:pPr>
        <w:rPr>
          <w:rFonts w:ascii="Times New Roman" w:hAnsi="Times New Roman" w:cs="Times New Roman"/>
          <w:b/>
          <w:bCs/>
          <w:szCs w:val="22"/>
        </w:rPr>
        <w:sectPr>
          <w:pgSz w:w="11907" w:h="16840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041A9D4D">
      <w:pPr>
        <w:rPr>
          <w:rFonts w:ascii="Times New Roman" w:hAnsi="Times New Roman" w:cs="Times New Roman"/>
          <w:b/>
          <w:bCs/>
          <w:szCs w:val="22"/>
        </w:rPr>
      </w:pPr>
    </w:p>
    <w:p w14:paraId="13F5C96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S21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Multivariable Cox regression models for in-hospital and 30-day mortality by LDH tertile</w:t>
      </w:r>
      <w:r>
        <w:rPr>
          <w:rFonts w:hint="eastAsia" w:ascii="Times New Roman" w:hAnsi="Times New Roman" w:cs="Times New Roman"/>
          <w:sz w:val="20"/>
          <w:szCs w:val="20"/>
        </w:rPr>
        <w:t xml:space="preserve">s </w:t>
      </w:r>
      <w:r>
        <w:rPr>
          <w:rFonts w:ascii="Times New Roman" w:hAnsi="Times New Roman" w:cs="Times New Roman"/>
          <w:sz w:val="20"/>
          <w:szCs w:val="20"/>
        </w:rPr>
        <w:t xml:space="preserve">(LASSO-adjusted Model 3). </w:t>
      </w:r>
    </w:p>
    <w:tbl>
      <w:tblPr>
        <w:tblStyle w:val="16"/>
        <w:tblW w:w="11404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628"/>
        <w:gridCol w:w="1628"/>
        <w:gridCol w:w="1133"/>
        <w:gridCol w:w="1536"/>
        <w:gridCol w:w="986"/>
        <w:gridCol w:w="1621"/>
        <w:gridCol w:w="992"/>
      </w:tblGrid>
      <w:tr w14:paraId="16B99EC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573D6C6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28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3D7ED61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Event rate</w:t>
            </w:r>
          </w:p>
        </w:tc>
        <w:tc>
          <w:tcPr>
            <w:tcW w:w="2761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6A74BDC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1BA0652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7354C94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14:paraId="4E7B36F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continue"/>
            <w:tcBorders>
              <w:top w:val="nil"/>
              <w:bottom w:val="single" w:color="auto" w:sz="6" w:space="0"/>
            </w:tcBorders>
          </w:tcPr>
          <w:p w14:paraId="6A0CFBF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auto" w:sz="6" w:space="0"/>
            </w:tcBorders>
          </w:tcPr>
          <w:p w14:paraId="653A23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color="auto" w:sz="6" w:space="0"/>
              <w:bottom w:val="single" w:color="auto" w:sz="6" w:space="0"/>
            </w:tcBorders>
          </w:tcPr>
          <w:p w14:paraId="0F2A9A4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</w:tcPr>
          <w:p w14:paraId="706E73E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bottom w:val="single" w:color="auto" w:sz="6" w:space="0"/>
            </w:tcBorders>
          </w:tcPr>
          <w:p w14:paraId="58626A3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bottom w:val="single" w:color="auto" w:sz="6" w:space="0"/>
            </w:tcBorders>
          </w:tcPr>
          <w:p w14:paraId="5292C5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bottom w:val="single" w:color="auto" w:sz="6" w:space="0"/>
            </w:tcBorders>
          </w:tcPr>
          <w:p w14:paraId="63A55A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59813FD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14:paraId="3615F28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single" w:color="auto" w:sz="6" w:space="0"/>
            </w:tcBorders>
          </w:tcPr>
          <w:p w14:paraId="67F827A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In-hospital mortality</w:t>
            </w:r>
          </w:p>
        </w:tc>
      </w:tr>
      <w:tr w14:paraId="4208D25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030716F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 (</w:t>
            </w:r>
            <w:bookmarkStart w:id="3" w:name="_Hlk193922453"/>
            <w:r>
              <w:rPr>
                <w:rFonts w:ascii="Times New Roman" w:hAnsi="Times New Roman" w:cs="Times New Roman"/>
                <w:sz w:val="20"/>
                <w:szCs w:val="20"/>
              </w:rPr>
              <w:t>categorical</w:t>
            </w:r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14:paraId="7B6C7BE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677AB19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2EAC83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19/271</w:t>
            </w:r>
          </w:p>
        </w:tc>
        <w:tc>
          <w:tcPr>
            <w:tcW w:w="2761" w:type="dxa"/>
            <w:gridSpan w:val="2"/>
          </w:tcPr>
          <w:p w14:paraId="68FCF2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4B0184C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1450D0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38DE934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0BDB0CC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1A5E1C6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55/274</w:t>
            </w:r>
          </w:p>
        </w:tc>
        <w:tc>
          <w:tcPr>
            <w:tcW w:w="1628" w:type="dxa"/>
          </w:tcPr>
          <w:p w14:paraId="6D8665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 (1.41-4.02)</w:t>
            </w:r>
          </w:p>
        </w:tc>
        <w:tc>
          <w:tcPr>
            <w:tcW w:w="1133" w:type="dxa"/>
          </w:tcPr>
          <w:p w14:paraId="57E4F16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36" w:type="dxa"/>
          </w:tcPr>
          <w:p w14:paraId="050DC5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 (1.36-3.90)</w:t>
            </w:r>
          </w:p>
        </w:tc>
        <w:tc>
          <w:tcPr>
            <w:tcW w:w="986" w:type="dxa"/>
          </w:tcPr>
          <w:p w14:paraId="7C6910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21" w:type="dxa"/>
          </w:tcPr>
          <w:p w14:paraId="659B80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1.83 (1.08-3.11)</w:t>
            </w:r>
          </w:p>
        </w:tc>
        <w:tc>
          <w:tcPr>
            <w:tcW w:w="992" w:type="dxa"/>
          </w:tcPr>
          <w:p w14:paraId="19A70E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14:paraId="63BDB40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4DC4B29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5BBA8F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100/273</w:t>
            </w:r>
          </w:p>
        </w:tc>
        <w:tc>
          <w:tcPr>
            <w:tcW w:w="1628" w:type="dxa"/>
          </w:tcPr>
          <w:p w14:paraId="0E03C2E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3.57 (2.18-5.84)</w:t>
            </w:r>
          </w:p>
        </w:tc>
        <w:tc>
          <w:tcPr>
            <w:tcW w:w="1133" w:type="dxa"/>
          </w:tcPr>
          <w:p w14:paraId="41595B1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1C08FB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3.62 (2.22-5.93)</w:t>
            </w:r>
          </w:p>
        </w:tc>
        <w:tc>
          <w:tcPr>
            <w:tcW w:w="986" w:type="dxa"/>
          </w:tcPr>
          <w:p w14:paraId="1F9E2A7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11D001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 (1.33-3.71)</w:t>
            </w:r>
          </w:p>
        </w:tc>
        <w:tc>
          <w:tcPr>
            <w:tcW w:w="992" w:type="dxa"/>
          </w:tcPr>
          <w:p w14:paraId="73D594E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2DC94B9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7FB19D5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4D34CB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5BEE9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B9E975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3E20549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795943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709186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E6294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14:paraId="4D1F373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1E66142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 mortality</w:t>
            </w:r>
          </w:p>
        </w:tc>
      </w:tr>
      <w:tr w14:paraId="59C110D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419705A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LDH (categorical)</w:t>
            </w:r>
          </w:p>
        </w:tc>
      </w:tr>
      <w:tr w14:paraId="5B94336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EAEF56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007840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40/271</w:t>
            </w:r>
          </w:p>
        </w:tc>
        <w:tc>
          <w:tcPr>
            <w:tcW w:w="2761" w:type="dxa"/>
            <w:gridSpan w:val="2"/>
          </w:tcPr>
          <w:p w14:paraId="79090A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6AF2C5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7E7EA5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6D16C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F85A25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031BEF8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81/271</w:t>
            </w:r>
          </w:p>
        </w:tc>
        <w:tc>
          <w:tcPr>
            <w:tcW w:w="1628" w:type="dxa"/>
          </w:tcPr>
          <w:p w14:paraId="24B25B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 (1.51-3.21)</w:t>
            </w:r>
          </w:p>
        </w:tc>
        <w:tc>
          <w:tcPr>
            <w:tcW w:w="1133" w:type="dxa"/>
          </w:tcPr>
          <w:p w14:paraId="695AA01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54BD557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 (1.37-2.94)</w:t>
            </w:r>
          </w:p>
        </w:tc>
        <w:tc>
          <w:tcPr>
            <w:tcW w:w="986" w:type="dxa"/>
          </w:tcPr>
          <w:p w14:paraId="7E83D9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23320F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 (0.90-1.95)</w:t>
            </w:r>
          </w:p>
        </w:tc>
        <w:tc>
          <w:tcPr>
            <w:tcW w:w="992" w:type="dxa"/>
          </w:tcPr>
          <w:p w14:paraId="5293AF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</w:tr>
      <w:tr w14:paraId="56BE66C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2B4D42D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4A9AB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112/273</w:t>
            </w:r>
          </w:p>
        </w:tc>
        <w:tc>
          <w:tcPr>
            <w:tcW w:w="1628" w:type="dxa"/>
          </w:tcPr>
          <w:p w14:paraId="4E097A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 (2.37-4.89)</w:t>
            </w:r>
          </w:p>
        </w:tc>
        <w:tc>
          <w:tcPr>
            <w:tcW w:w="1133" w:type="dxa"/>
          </w:tcPr>
          <w:p w14:paraId="5CA7EF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31A9E6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 (2.32-4.78)</w:t>
            </w:r>
          </w:p>
        </w:tc>
        <w:tc>
          <w:tcPr>
            <w:tcW w:w="986" w:type="dxa"/>
          </w:tcPr>
          <w:p w14:paraId="5DF5CD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39D3C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1.45 (0.97-2.17)</w:t>
            </w:r>
          </w:p>
        </w:tc>
        <w:tc>
          <w:tcPr>
            <w:tcW w:w="992" w:type="dxa"/>
          </w:tcPr>
          <w:p w14:paraId="0DC4EC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14:paraId="4A1F747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617960AA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7843E8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87E56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1C6EA1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77105C2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49AC740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77EBF00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6350C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</w:tbl>
    <w:p w14:paraId="71D9DAB3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1: Unadjusted.</w:t>
      </w:r>
    </w:p>
    <w:p w14:paraId="41D7BA70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2: Adjusted for admission age, sex, and race.</w:t>
      </w:r>
    </w:p>
    <w:p w14:paraId="762B3EE5">
      <w:pPr>
        <w:spacing w:after="120" w:afterLines="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3: Adjusted for covariates selected via LASSO regression. For in-hospital mortality: Aspirin, congestive heart failure, anion gap, IVT, norepinephrine, SAPSII, statin, invasive ventilation. For 30-day mortality: Myocardial infarction, Charlson comorbidity index, anion gap, hemoglobin, RDW, calcium, heart rate, IVT, norepinephrine, phenylephrine, SAPS II, SIRS, statin, invasive ventilation, age.</w:t>
      </w:r>
    </w:p>
    <w:p w14:paraId="08A8FF8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T1: LDH&lt;216, T2: 216≤LDH&lt;352, and T3: LDH≥352 IU/L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062C9459">
      <w:pPr>
        <w:spacing w:line="240" w:lineRule="auto"/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LDH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bookmarkStart w:id="4" w:name="_Hlk212670565"/>
      <w:r>
        <w:rPr>
          <w:rFonts w:ascii="Times New Roman" w:hAnsi="Times New Roman" w:cs="Times New Roman"/>
          <w:sz w:val="20"/>
          <w:szCs w:val="20"/>
        </w:rPr>
        <w:t>Lactate dehydrogenase; HR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Hazard ratio; CI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Confidence interval</w:t>
      </w:r>
      <w:bookmarkEnd w:id="4"/>
      <w:r>
        <w:rPr>
          <w:rFonts w:hint="eastAsia" w:ascii="Times New Roman" w:hAnsi="Times New Roman" w:cs="Times New Roman"/>
          <w:sz w:val="20"/>
          <w:szCs w:val="20"/>
        </w:rPr>
        <w:t xml:space="preserve">; RDW: </w:t>
      </w:r>
      <w:r>
        <w:rPr>
          <w:rFonts w:ascii="Times New Roman" w:hAnsi="Times New Roman" w:cs="Times New Roman"/>
          <w:sz w:val="20"/>
          <w:szCs w:val="20"/>
        </w:rPr>
        <w:t>Red blood cell </w:t>
      </w:r>
      <w:r>
        <w:rPr>
          <w:rFonts w:hint="eastAsia"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istribution </w:t>
      </w:r>
      <w:r>
        <w:rPr>
          <w:rFonts w:hint="eastAsia"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>idth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hint="eastAsia"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Intravenous thrombolysis; </w:t>
      </w:r>
      <w:r>
        <w:rPr>
          <w:rFonts w:hint="eastAsia" w:ascii="Times New Roman" w:hAnsi="Times New Roman" w:cs="Times New Roman"/>
          <w:sz w:val="20"/>
          <w:szCs w:val="20"/>
        </w:rPr>
        <w:t xml:space="preserve">SAPS II: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Simplified Acute Physiology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II</w:t>
      </w:r>
      <w:r>
        <w:rPr>
          <w:rFonts w:hint="eastAsia" w:ascii="Times New Roman" w:hAnsi="Times New Roman" w:cs="Times New Roman"/>
          <w:sz w:val="20"/>
          <w:szCs w:val="20"/>
        </w:rPr>
        <w:t xml:space="preserve">; SIRS: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Systemic Inflammatory Response Syndrome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33C377E2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70AC4CD6">
      <w:pPr>
        <w:rPr>
          <w:rFonts w:ascii="Times New Roman" w:hAnsi="Times New Roman" w:cs="Times New Roman"/>
          <w:sz w:val="20"/>
          <w:szCs w:val="20"/>
        </w:rPr>
      </w:pPr>
    </w:p>
    <w:p w14:paraId="577C4D48">
      <w:pPr>
        <w:rPr>
          <w:rFonts w:ascii="Times New Roman" w:hAnsi="Times New Roman" w:cs="Times New Roman"/>
          <w:sz w:val="20"/>
          <w:szCs w:val="20"/>
        </w:rPr>
      </w:pPr>
    </w:p>
    <w:p w14:paraId="088F0671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S22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Multivariable Cox regression models for in-hospital and 30-day mortality by LDH tertiles—pooled estimates from multiple imputation (Rubin’s rules). </w:t>
      </w:r>
    </w:p>
    <w:tbl>
      <w:tblPr>
        <w:tblStyle w:val="16"/>
        <w:tblW w:w="11404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628"/>
        <w:gridCol w:w="1628"/>
        <w:gridCol w:w="1133"/>
        <w:gridCol w:w="1536"/>
        <w:gridCol w:w="986"/>
        <w:gridCol w:w="1621"/>
        <w:gridCol w:w="992"/>
      </w:tblGrid>
      <w:tr w14:paraId="781F2DD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71F6C66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28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23268E2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Event rate</w:t>
            </w:r>
          </w:p>
        </w:tc>
        <w:tc>
          <w:tcPr>
            <w:tcW w:w="2761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19291A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58F25AB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648FB4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14:paraId="4E96A2A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continue"/>
            <w:tcBorders>
              <w:top w:val="nil"/>
              <w:bottom w:val="single" w:color="auto" w:sz="6" w:space="0"/>
            </w:tcBorders>
          </w:tcPr>
          <w:p w14:paraId="5F2D97F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auto" w:sz="6" w:space="0"/>
            </w:tcBorders>
          </w:tcPr>
          <w:p w14:paraId="732B03D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color="auto" w:sz="6" w:space="0"/>
              <w:bottom w:val="single" w:color="auto" w:sz="6" w:space="0"/>
            </w:tcBorders>
          </w:tcPr>
          <w:p w14:paraId="543F42A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</w:tcPr>
          <w:p w14:paraId="19EC91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bottom w:val="single" w:color="auto" w:sz="6" w:space="0"/>
            </w:tcBorders>
          </w:tcPr>
          <w:p w14:paraId="2391FD1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bottom w:val="single" w:color="auto" w:sz="6" w:space="0"/>
            </w:tcBorders>
          </w:tcPr>
          <w:p w14:paraId="32A861A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bottom w:val="single" w:color="auto" w:sz="6" w:space="0"/>
            </w:tcBorders>
          </w:tcPr>
          <w:p w14:paraId="00B74A3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12A7E8B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14:paraId="7AC22F4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single" w:color="auto" w:sz="6" w:space="0"/>
            </w:tcBorders>
          </w:tcPr>
          <w:p w14:paraId="03EB73B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In-hospital mortality</w:t>
            </w:r>
          </w:p>
        </w:tc>
      </w:tr>
      <w:tr w14:paraId="6B01F2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069DB3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LDH (categorical)</w:t>
            </w:r>
          </w:p>
        </w:tc>
      </w:tr>
      <w:tr w14:paraId="529408E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44B925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0DD7DC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19/271</w:t>
            </w:r>
          </w:p>
        </w:tc>
        <w:tc>
          <w:tcPr>
            <w:tcW w:w="2761" w:type="dxa"/>
            <w:gridSpan w:val="2"/>
          </w:tcPr>
          <w:p w14:paraId="2D2D2E1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394D96C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709D034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BCB7F5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142713E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3A32B04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55/274</w:t>
            </w:r>
          </w:p>
        </w:tc>
        <w:tc>
          <w:tcPr>
            <w:tcW w:w="1628" w:type="dxa"/>
          </w:tcPr>
          <w:p w14:paraId="45A0575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2.38 (1.41-4.02)</w:t>
            </w:r>
          </w:p>
        </w:tc>
        <w:tc>
          <w:tcPr>
            <w:tcW w:w="1133" w:type="dxa"/>
          </w:tcPr>
          <w:p w14:paraId="3343D1D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36" w:type="dxa"/>
          </w:tcPr>
          <w:p w14:paraId="4BD5FD2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2.30(1.36-3.89)</w:t>
            </w:r>
          </w:p>
        </w:tc>
        <w:tc>
          <w:tcPr>
            <w:tcW w:w="986" w:type="dxa"/>
          </w:tcPr>
          <w:p w14:paraId="6B5D5EB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21" w:type="dxa"/>
          </w:tcPr>
          <w:p w14:paraId="7806758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2.77 (1.49-5.17)</w:t>
            </w:r>
          </w:p>
        </w:tc>
        <w:tc>
          <w:tcPr>
            <w:tcW w:w="992" w:type="dxa"/>
          </w:tcPr>
          <w:p w14:paraId="2AD6C1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4BF1C39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18E1B70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2638444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100/273</w:t>
            </w:r>
          </w:p>
        </w:tc>
        <w:tc>
          <w:tcPr>
            <w:tcW w:w="1628" w:type="dxa"/>
          </w:tcPr>
          <w:p w14:paraId="579FB6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3.57 (2.18-5.84)</w:t>
            </w:r>
          </w:p>
        </w:tc>
        <w:tc>
          <w:tcPr>
            <w:tcW w:w="1133" w:type="dxa"/>
          </w:tcPr>
          <w:p w14:paraId="252FD9C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37C1587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3.58 (2.19-5.86)</w:t>
            </w:r>
          </w:p>
        </w:tc>
        <w:tc>
          <w:tcPr>
            <w:tcW w:w="986" w:type="dxa"/>
          </w:tcPr>
          <w:p w14:paraId="0F6CA70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5650756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2.83 (1.43-5.58)</w:t>
            </w:r>
          </w:p>
        </w:tc>
        <w:tc>
          <w:tcPr>
            <w:tcW w:w="992" w:type="dxa"/>
          </w:tcPr>
          <w:p w14:paraId="67B5FE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14:paraId="3E23412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14E9C6E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677FA11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265308A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A7EE13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509264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1B18107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053C943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0E42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14:paraId="2645961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6988202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30-day mortality</w:t>
            </w:r>
          </w:p>
        </w:tc>
      </w:tr>
      <w:tr w14:paraId="2D3F04A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569BACB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LDH (categorical)</w:t>
            </w:r>
          </w:p>
        </w:tc>
      </w:tr>
      <w:tr w14:paraId="680CBAB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65A2A91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2C3E1E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40/271</w:t>
            </w:r>
          </w:p>
        </w:tc>
        <w:tc>
          <w:tcPr>
            <w:tcW w:w="2761" w:type="dxa"/>
            <w:gridSpan w:val="2"/>
          </w:tcPr>
          <w:p w14:paraId="6633DF8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6F1227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26716A6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07F2835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4B6457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6376D84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81/271</w:t>
            </w:r>
          </w:p>
        </w:tc>
        <w:tc>
          <w:tcPr>
            <w:tcW w:w="1628" w:type="dxa"/>
          </w:tcPr>
          <w:p w14:paraId="61530BE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2.22 (1.51-3.21)</w:t>
            </w:r>
          </w:p>
        </w:tc>
        <w:tc>
          <w:tcPr>
            <w:tcW w:w="1133" w:type="dxa"/>
          </w:tcPr>
          <w:p w14:paraId="49FD8C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1F12E2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2.02 (1.38-2.96)</w:t>
            </w:r>
          </w:p>
        </w:tc>
        <w:tc>
          <w:tcPr>
            <w:tcW w:w="986" w:type="dxa"/>
          </w:tcPr>
          <w:p w14:paraId="32786F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51540E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1.91 (1.23-2.97)</w:t>
            </w:r>
          </w:p>
        </w:tc>
        <w:tc>
          <w:tcPr>
            <w:tcW w:w="992" w:type="dxa"/>
          </w:tcPr>
          <w:p w14:paraId="20AC2A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14:paraId="7E0D11F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7DA47E8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2A972BE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112/273</w:t>
            </w:r>
          </w:p>
        </w:tc>
        <w:tc>
          <w:tcPr>
            <w:tcW w:w="1628" w:type="dxa"/>
          </w:tcPr>
          <w:p w14:paraId="047B35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3.40 (2.37-4.89)</w:t>
            </w:r>
          </w:p>
        </w:tc>
        <w:tc>
          <w:tcPr>
            <w:tcW w:w="1133" w:type="dxa"/>
          </w:tcPr>
          <w:p w14:paraId="05D2662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73A4BD3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3.32 (2.31-4.78)</w:t>
            </w:r>
          </w:p>
        </w:tc>
        <w:tc>
          <w:tcPr>
            <w:tcW w:w="986" w:type="dxa"/>
          </w:tcPr>
          <w:p w14:paraId="11FB5D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732F161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2.06 (1.22-3.48)</w:t>
            </w:r>
          </w:p>
        </w:tc>
        <w:tc>
          <w:tcPr>
            <w:tcW w:w="992" w:type="dxa"/>
          </w:tcPr>
          <w:p w14:paraId="706F6F4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14:paraId="60D934C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67737D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36A586A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72C59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B6C24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0ECD20F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E76A9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593F50B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07D73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0.009</w:t>
            </w:r>
          </w:p>
        </w:tc>
      </w:tr>
    </w:tbl>
    <w:p w14:paraId="631A4A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Model 1: </w:t>
      </w:r>
      <w:r>
        <w:rPr>
          <w:rFonts w:ascii="Times New Roman" w:hAnsi="Times New Roman" w:cs="Times New Roman"/>
          <w:sz w:val="20"/>
          <w:szCs w:val="20"/>
        </w:rPr>
        <w:t>Unadjusted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1ECF63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2: Adjusted for admission age, sex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and race.</w:t>
      </w:r>
    </w:p>
    <w:p w14:paraId="1517C79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Model 3: Fully adjusted for </w:t>
      </w:r>
      <w:r>
        <w:rPr>
          <w:rFonts w:ascii="Times New Roman" w:hAnsi="Times New Roman" w:cs="Times New Roman"/>
          <w:sz w:val="20"/>
          <w:szCs w:val="20"/>
        </w:rPr>
        <w:t>admission age</w:t>
      </w:r>
      <w:r>
        <w:rPr>
          <w:rFonts w:hint="eastAsia" w:ascii="Times New Roman" w:hAnsi="Times New Roman" w:cs="Times New Roman"/>
          <w:sz w:val="20"/>
          <w:szCs w:val="20"/>
        </w:rPr>
        <w:t>, sex, race, random glucose, hypertension, diabetes, AF, MT, CHF, MI, SLD, CCI, albumin, anion gap, AST, bicarbonate, BUN, creatinine, potassium, RBC, WBC, PLT, GCS, heart rate, MAP, RR, RRT, invasive ventilation, SpO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>, weight, IVT and EVT.</w:t>
      </w:r>
    </w:p>
    <w:p w14:paraId="5E336B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Estimates were pooled across five imputed datasets using Rubin’s rules.</w:t>
      </w:r>
    </w:p>
    <w:p w14:paraId="080E0C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T1: LDH&lt;216, T2: 216≤LDH&lt;352, and T3: LDH≥352 IU/L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4C5176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20"/>
          <w:szCs w:val="20"/>
        </w:rPr>
        <w:t xml:space="preserve">LDH: Lactate dehydrogenase; AF: Atrial fibrillation; MT: Malignant tumor; CHF: Congestive heart failure; MI: Myocardial infarction; SLD: Severe liver </w:t>
      </w:r>
      <w:r>
        <w:rPr>
          <w:rFonts w:ascii="Times New Roman" w:hAnsi="Times New Roman" w:cs="Times New Roman"/>
          <w:sz w:val="20"/>
          <w:szCs w:val="20"/>
        </w:rPr>
        <w:t>disease</w:t>
      </w:r>
      <w:r>
        <w:rPr>
          <w:rFonts w:hint="eastAsia" w:ascii="Times New Roman" w:hAnsi="Times New Roman" w:cs="Times New Roman"/>
          <w:sz w:val="20"/>
          <w:szCs w:val="20"/>
        </w:rPr>
        <w:t>; CCI: Charlson comorbidity index; AST: Aspartate aminotransferase; BUN: Blood urea nitrogen; RBC: Red blood cell; WBC: White blood cell; PLT: Platelet; GCS: Glasgow Coma Scale; MAP: Mean arterial pressure; RR: Respiratory rate; RRT: Renal replacement therapy; SpO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 xml:space="preserve">: Saturation of peripheral oxygen; IVT: Intravenous thrombolysis; EVT: Endovascular thrombectomy; </w:t>
      </w:r>
      <w:r>
        <w:rPr>
          <w:rFonts w:ascii="Times New Roman" w:hAnsi="Times New Roman" w:cs="Times New Roman"/>
          <w:sz w:val="20"/>
          <w:szCs w:val="20"/>
        </w:rPr>
        <w:t>HR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hint="eastAsia" w:ascii="Times New Roman" w:hAnsi="Times New Roman" w:cs="Times New Roman"/>
          <w:sz w:val="20"/>
          <w:szCs w:val="20"/>
        </w:rPr>
        <w:t>I: C</w:t>
      </w:r>
      <w:r>
        <w:rPr>
          <w:rFonts w:ascii="Times New Roman" w:hAnsi="Times New Roman" w:cs="Times New Roman"/>
          <w:sz w:val="20"/>
          <w:szCs w:val="20"/>
        </w:rPr>
        <w:t>onfidence interval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563921BE">
      <w:pPr>
        <w:rPr>
          <w:rFonts w:ascii="Times New Roman" w:hAnsi="Times New Roman" w:cs="Times New Roman"/>
          <w:sz w:val="20"/>
          <w:szCs w:val="20"/>
        </w:rPr>
      </w:pPr>
    </w:p>
    <w:p w14:paraId="1D544619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S23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Multivariable Cox regression models for in-hospital and 30-day mortality by LDH tertiles—sensitivity analysis excluding putative mediators from Model 3.</w:t>
      </w:r>
    </w:p>
    <w:tbl>
      <w:tblPr>
        <w:tblStyle w:val="16"/>
        <w:tblW w:w="11404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628"/>
        <w:gridCol w:w="1628"/>
        <w:gridCol w:w="1133"/>
        <w:gridCol w:w="1536"/>
        <w:gridCol w:w="986"/>
        <w:gridCol w:w="1621"/>
        <w:gridCol w:w="992"/>
      </w:tblGrid>
      <w:tr w14:paraId="76C3516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4511E95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628" w:type="dxa"/>
            <w:vMerge w:val="restart"/>
            <w:tcBorders>
              <w:top w:val="single" w:color="auto" w:sz="6" w:space="0"/>
              <w:bottom w:val="nil"/>
            </w:tcBorders>
            <w:vAlign w:val="center"/>
          </w:tcPr>
          <w:p w14:paraId="5B30F07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Event rate</w:t>
            </w:r>
          </w:p>
        </w:tc>
        <w:tc>
          <w:tcPr>
            <w:tcW w:w="2761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7F86D5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72B3FE1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 w14:paraId="7E289AB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14:paraId="2AD3118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continue"/>
            <w:tcBorders>
              <w:top w:val="nil"/>
              <w:bottom w:val="single" w:color="auto" w:sz="6" w:space="0"/>
            </w:tcBorders>
          </w:tcPr>
          <w:p w14:paraId="3E16421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vMerge w:val="continue"/>
            <w:tcBorders>
              <w:top w:val="nil"/>
              <w:bottom w:val="single" w:color="auto" w:sz="6" w:space="0"/>
            </w:tcBorders>
          </w:tcPr>
          <w:p w14:paraId="76F35C2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color="auto" w:sz="6" w:space="0"/>
              <w:bottom w:val="single" w:color="auto" w:sz="6" w:space="0"/>
            </w:tcBorders>
          </w:tcPr>
          <w:p w14:paraId="71241E0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</w:tcPr>
          <w:p w14:paraId="11A12A7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bottom w:val="single" w:color="auto" w:sz="6" w:space="0"/>
            </w:tcBorders>
          </w:tcPr>
          <w:p w14:paraId="6EE7FA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bottom w:val="single" w:color="auto" w:sz="6" w:space="0"/>
            </w:tcBorders>
          </w:tcPr>
          <w:p w14:paraId="5491C65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bottom w:val="single" w:color="auto" w:sz="6" w:space="0"/>
            </w:tcBorders>
          </w:tcPr>
          <w:p w14:paraId="7773B2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2C89501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14:paraId="77FED98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single" w:color="auto" w:sz="6" w:space="0"/>
            </w:tcBorders>
          </w:tcPr>
          <w:p w14:paraId="7E5402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In-hospital mortality</w:t>
            </w:r>
          </w:p>
        </w:tc>
      </w:tr>
      <w:tr w14:paraId="30E07A6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06EC43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LDH (categorical)</w:t>
            </w:r>
          </w:p>
        </w:tc>
      </w:tr>
      <w:tr w14:paraId="4A3814F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2EC5CAA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74FBD90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19/271</w:t>
            </w:r>
          </w:p>
        </w:tc>
        <w:tc>
          <w:tcPr>
            <w:tcW w:w="2761" w:type="dxa"/>
            <w:gridSpan w:val="2"/>
          </w:tcPr>
          <w:p w14:paraId="7CC0FCF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12B6590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7882BA7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20CF725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64880D8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527C0C2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55/274</w:t>
            </w:r>
          </w:p>
        </w:tc>
        <w:tc>
          <w:tcPr>
            <w:tcW w:w="1628" w:type="dxa"/>
          </w:tcPr>
          <w:p w14:paraId="7BEADD4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2.38 (1.41-4.02)</w:t>
            </w:r>
          </w:p>
        </w:tc>
        <w:tc>
          <w:tcPr>
            <w:tcW w:w="1133" w:type="dxa"/>
          </w:tcPr>
          <w:p w14:paraId="7C38C87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36" w:type="dxa"/>
          </w:tcPr>
          <w:p w14:paraId="296F298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2.30(1.36-3.89)</w:t>
            </w:r>
          </w:p>
        </w:tc>
        <w:tc>
          <w:tcPr>
            <w:tcW w:w="986" w:type="dxa"/>
          </w:tcPr>
          <w:p w14:paraId="28986D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21" w:type="dxa"/>
          </w:tcPr>
          <w:p w14:paraId="7ABD96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2.65 (1.44-4.86)</w:t>
            </w:r>
          </w:p>
        </w:tc>
        <w:tc>
          <w:tcPr>
            <w:tcW w:w="992" w:type="dxa"/>
          </w:tcPr>
          <w:p w14:paraId="563DED8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55EF6E8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16198C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282F77E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100/273</w:t>
            </w:r>
          </w:p>
        </w:tc>
        <w:tc>
          <w:tcPr>
            <w:tcW w:w="1628" w:type="dxa"/>
          </w:tcPr>
          <w:p w14:paraId="40173EF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3.57 (2.18-5.84)</w:t>
            </w:r>
          </w:p>
        </w:tc>
        <w:tc>
          <w:tcPr>
            <w:tcW w:w="1133" w:type="dxa"/>
          </w:tcPr>
          <w:p w14:paraId="56D875F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4932101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3.58 (2.19-5.86)</w:t>
            </w:r>
          </w:p>
        </w:tc>
        <w:tc>
          <w:tcPr>
            <w:tcW w:w="986" w:type="dxa"/>
          </w:tcPr>
          <w:p w14:paraId="20A1401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652583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2.83 (1.47-5.43)</w:t>
            </w:r>
          </w:p>
        </w:tc>
        <w:tc>
          <w:tcPr>
            <w:tcW w:w="992" w:type="dxa"/>
          </w:tcPr>
          <w:p w14:paraId="6B4520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145FE0C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D7117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569102C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1424C2E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15597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2BB1EC3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63BFA54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4A34E14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B308A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14:paraId="402CF98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3D3F4A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30-day mortality</w:t>
            </w:r>
          </w:p>
        </w:tc>
      </w:tr>
      <w:tr w14:paraId="3103E26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</w:tcPr>
          <w:p w14:paraId="186D37D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LDH (categorical)</w:t>
            </w:r>
          </w:p>
        </w:tc>
      </w:tr>
      <w:tr w14:paraId="3EB8E45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7D10BB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628" w:type="dxa"/>
          </w:tcPr>
          <w:p w14:paraId="05E46EF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40/271</w:t>
            </w:r>
          </w:p>
        </w:tc>
        <w:tc>
          <w:tcPr>
            <w:tcW w:w="2761" w:type="dxa"/>
            <w:gridSpan w:val="2"/>
          </w:tcPr>
          <w:p w14:paraId="2782993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</w:tcPr>
          <w:p w14:paraId="583D448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</w:tcPr>
          <w:p w14:paraId="417BA01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Ref.</w:t>
            </w:r>
          </w:p>
        </w:tc>
      </w:tr>
      <w:tr w14:paraId="60ECBF2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561D164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628" w:type="dxa"/>
          </w:tcPr>
          <w:p w14:paraId="34ED7E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81/271</w:t>
            </w:r>
          </w:p>
        </w:tc>
        <w:tc>
          <w:tcPr>
            <w:tcW w:w="1628" w:type="dxa"/>
          </w:tcPr>
          <w:p w14:paraId="161568F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2.22 (1.51-3.21)</w:t>
            </w:r>
          </w:p>
        </w:tc>
        <w:tc>
          <w:tcPr>
            <w:tcW w:w="1133" w:type="dxa"/>
          </w:tcPr>
          <w:p w14:paraId="4E6881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1A3E01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2.02 (1.38-2.96)</w:t>
            </w:r>
          </w:p>
        </w:tc>
        <w:tc>
          <w:tcPr>
            <w:tcW w:w="986" w:type="dxa"/>
          </w:tcPr>
          <w:p w14:paraId="57DC611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3C85D5E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1.99 (1.29-3.08)</w:t>
            </w:r>
          </w:p>
        </w:tc>
        <w:tc>
          <w:tcPr>
            <w:tcW w:w="992" w:type="dxa"/>
          </w:tcPr>
          <w:p w14:paraId="756C906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14:paraId="3C0B16F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756EC94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628" w:type="dxa"/>
          </w:tcPr>
          <w:p w14:paraId="362CC83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112/273</w:t>
            </w:r>
          </w:p>
        </w:tc>
        <w:tc>
          <w:tcPr>
            <w:tcW w:w="1628" w:type="dxa"/>
          </w:tcPr>
          <w:p w14:paraId="6F0ABA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3.40 (2.37-4.89)</w:t>
            </w:r>
          </w:p>
        </w:tc>
        <w:tc>
          <w:tcPr>
            <w:tcW w:w="1133" w:type="dxa"/>
          </w:tcPr>
          <w:p w14:paraId="099CFC8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668F654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3.32 (2.31-4.78)</w:t>
            </w:r>
          </w:p>
        </w:tc>
        <w:tc>
          <w:tcPr>
            <w:tcW w:w="986" w:type="dxa"/>
          </w:tcPr>
          <w:p w14:paraId="262D707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38417CD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2.00 (1.21-3.32)</w:t>
            </w:r>
          </w:p>
        </w:tc>
        <w:tc>
          <w:tcPr>
            <w:tcW w:w="992" w:type="dxa"/>
          </w:tcPr>
          <w:p w14:paraId="435F59F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14:paraId="3C05677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 w14:paraId="107E0C4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1628" w:type="dxa"/>
          </w:tcPr>
          <w:p w14:paraId="4EAAD3B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0A89FD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ADBBE1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36" w:type="dxa"/>
          </w:tcPr>
          <w:p w14:paraId="0B18D09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14:paraId="52075F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21" w:type="dxa"/>
          </w:tcPr>
          <w:p w14:paraId="7FF38D6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85406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0.010</w:t>
            </w:r>
          </w:p>
        </w:tc>
      </w:tr>
    </w:tbl>
    <w:p w14:paraId="36603B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Model 1: </w:t>
      </w:r>
      <w:r>
        <w:rPr>
          <w:rFonts w:ascii="Times New Roman" w:hAnsi="Times New Roman" w:cs="Times New Roman"/>
          <w:sz w:val="20"/>
          <w:szCs w:val="20"/>
        </w:rPr>
        <w:t>Unadjusted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24C6E36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2: Adjusted for admission age, sex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and race.</w:t>
      </w:r>
    </w:p>
    <w:p w14:paraId="7D0EB34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Model 3: Same covariates as the fully adjusted model (see Table S16) except removal of potential mediators (IVT, EVT, invasive ventilation, vasoactive agents).</w:t>
      </w:r>
    </w:p>
    <w:p w14:paraId="23E2C9D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T1: LDH&lt;216, T2: 216≤LDH&lt;352, and T3: LDH≥352 IU/L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38012C0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LDH: Lactate dehydrogenase; IVT: Intravenous thrombolysis; EVT: Endovascular thrombectomy; </w:t>
      </w:r>
      <w:r>
        <w:rPr>
          <w:rFonts w:ascii="Times New Roman" w:hAnsi="Times New Roman" w:cs="Times New Roman"/>
          <w:sz w:val="20"/>
          <w:szCs w:val="20"/>
        </w:rPr>
        <w:t>HR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hint="eastAsia" w:ascii="Times New Roman" w:hAnsi="Times New Roman" w:cs="Times New Roman"/>
          <w:sz w:val="20"/>
          <w:szCs w:val="20"/>
        </w:rPr>
        <w:t>I: C</w:t>
      </w:r>
      <w:r>
        <w:rPr>
          <w:rFonts w:ascii="Times New Roman" w:hAnsi="Times New Roman" w:cs="Times New Roman"/>
          <w:sz w:val="20"/>
          <w:szCs w:val="20"/>
        </w:rPr>
        <w:t>onfidence interval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22E199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D199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E182B1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>Table S24.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Results of IPTW.</w:t>
      </w:r>
    </w:p>
    <w:tbl>
      <w:tblPr>
        <w:tblStyle w:val="16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534BAD8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6" w:space="0"/>
              <w:bottom w:val="single" w:color="auto" w:sz="6" w:space="0"/>
            </w:tcBorders>
          </w:tcPr>
          <w:p w14:paraId="5A5F6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Outcome</w:t>
            </w:r>
          </w:p>
        </w:tc>
        <w:tc>
          <w:tcPr>
            <w:tcW w:w="2765" w:type="dxa"/>
            <w:tcBorders>
              <w:top w:val="single" w:color="auto" w:sz="6" w:space="0"/>
              <w:bottom w:val="single" w:color="auto" w:sz="6" w:space="0"/>
            </w:tcBorders>
          </w:tcPr>
          <w:p w14:paraId="18A4C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HR (95% CI)</w:t>
            </w:r>
          </w:p>
        </w:tc>
        <w:tc>
          <w:tcPr>
            <w:tcW w:w="2766" w:type="dxa"/>
            <w:tcBorders>
              <w:top w:val="single" w:color="auto" w:sz="6" w:space="0"/>
              <w:bottom w:val="single" w:color="auto" w:sz="6" w:space="0"/>
            </w:tcBorders>
          </w:tcPr>
          <w:p w14:paraId="0429D1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38517D2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6" w:space="0"/>
            </w:tcBorders>
          </w:tcPr>
          <w:p w14:paraId="194CF4A1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In-hospital mortality</w:t>
            </w:r>
          </w:p>
        </w:tc>
      </w:tr>
      <w:tr w14:paraId="40A0A3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293A677B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LDH Category</w:t>
            </w:r>
          </w:p>
        </w:tc>
      </w:tr>
      <w:tr w14:paraId="1953713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6DA4296A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T1</w:t>
            </w:r>
          </w:p>
        </w:tc>
        <w:tc>
          <w:tcPr>
            <w:tcW w:w="5531" w:type="dxa"/>
            <w:gridSpan w:val="2"/>
          </w:tcPr>
          <w:p w14:paraId="4DD5ACCF">
            <w:pPr>
              <w:spacing w:after="0" w:line="240" w:lineRule="auto"/>
              <w:ind w:firstLine="700" w:firstLineChars="35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</w:tr>
      <w:tr w14:paraId="573BAD1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312B3A07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T2</w:t>
            </w:r>
          </w:p>
        </w:tc>
        <w:tc>
          <w:tcPr>
            <w:tcW w:w="2765" w:type="dxa"/>
          </w:tcPr>
          <w:p w14:paraId="625DD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1.81 (1.04-3.13)</w:t>
            </w:r>
          </w:p>
        </w:tc>
        <w:tc>
          <w:tcPr>
            <w:tcW w:w="2766" w:type="dxa"/>
          </w:tcPr>
          <w:p w14:paraId="45688E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0.035</w:t>
            </w:r>
          </w:p>
        </w:tc>
      </w:tr>
      <w:tr w14:paraId="382B29D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76BF192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T3</w:t>
            </w:r>
          </w:p>
        </w:tc>
        <w:tc>
          <w:tcPr>
            <w:tcW w:w="2765" w:type="dxa"/>
          </w:tcPr>
          <w:p w14:paraId="731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2.14 (1.30-3.55)</w:t>
            </w:r>
          </w:p>
        </w:tc>
        <w:tc>
          <w:tcPr>
            <w:tcW w:w="2766" w:type="dxa"/>
          </w:tcPr>
          <w:p w14:paraId="0FFEAC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0.003</w:t>
            </w:r>
          </w:p>
        </w:tc>
      </w:tr>
      <w:tr w14:paraId="668D09C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6AF22547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30-day mortality</w:t>
            </w:r>
          </w:p>
        </w:tc>
      </w:tr>
      <w:tr w14:paraId="0B1C205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4BBC1FC8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LDH Category</w:t>
            </w:r>
          </w:p>
        </w:tc>
      </w:tr>
      <w:tr w14:paraId="086B4C7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5112480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T1</w:t>
            </w:r>
          </w:p>
        </w:tc>
        <w:tc>
          <w:tcPr>
            <w:tcW w:w="5531" w:type="dxa"/>
            <w:gridSpan w:val="2"/>
          </w:tcPr>
          <w:p w14:paraId="45632ABC">
            <w:pPr>
              <w:spacing w:after="0" w:line="240" w:lineRule="auto"/>
              <w:ind w:firstLine="700" w:firstLineChars="35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</w:tr>
      <w:tr w14:paraId="084113A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1761F0E3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T2</w:t>
            </w:r>
          </w:p>
        </w:tc>
        <w:tc>
          <w:tcPr>
            <w:tcW w:w="2765" w:type="dxa"/>
          </w:tcPr>
          <w:p w14:paraId="236305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1.99 (1.09-3.64)</w:t>
            </w:r>
          </w:p>
        </w:tc>
        <w:tc>
          <w:tcPr>
            <w:tcW w:w="2766" w:type="dxa"/>
          </w:tcPr>
          <w:p w14:paraId="28C42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0.025</w:t>
            </w:r>
          </w:p>
        </w:tc>
      </w:tr>
      <w:tr w14:paraId="1497BAB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439C99FB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T3</w:t>
            </w:r>
          </w:p>
        </w:tc>
        <w:tc>
          <w:tcPr>
            <w:tcW w:w="2765" w:type="dxa"/>
          </w:tcPr>
          <w:p w14:paraId="69CC0C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2.11 (1.17-3.81)</w:t>
            </w:r>
          </w:p>
        </w:tc>
        <w:tc>
          <w:tcPr>
            <w:tcW w:w="2766" w:type="dxa"/>
          </w:tcPr>
          <w:p w14:paraId="540D12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0.014</w:t>
            </w:r>
          </w:p>
        </w:tc>
      </w:tr>
    </w:tbl>
    <w:p w14:paraId="1BE2A958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IPTW: Inverse probability of treatment weighting; LDH: Lactate dehydrogenase; HR: Hazard ratio; CI: Confidence interval.</w:t>
      </w:r>
    </w:p>
    <w:p w14:paraId="2161AC79">
      <w:pPr>
        <w:spacing w:after="0" w:line="240" w:lineRule="auto"/>
        <w:rPr>
          <w:rFonts w:ascii="Times New Roman" w:hAnsi="Times New Roman" w:cs="Times New Roman"/>
          <w:color w:val="EE0000"/>
          <w:sz w:val="20"/>
          <w:szCs w:val="20"/>
        </w:rPr>
      </w:pPr>
    </w:p>
    <w:p w14:paraId="30472DBA">
      <w:pPr>
        <w:spacing w:after="0" w:line="240" w:lineRule="auto"/>
        <w:rPr>
          <w:rFonts w:hint="eastAsia" w:ascii="Times New Roman" w:hAnsi="Times New Roman" w:cs="Times New Roman"/>
          <w:color w:val="EE0000"/>
          <w:sz w:val="20"/>
          <w:szCs w:val="20"/>
        </w:rPr>
      </w:pPr>
    </w:p>
    <w:p w14:paraId="7E59F83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646D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Table</w:t>
      </w: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 S25</w:t>
      </w: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EE0000"/>
          <w:sz w:val="20"/>
          <w:szCs w:val="20"/>
        </w:rPr>
        <w:t>Multivariable Cox regression models for in-hospital and 30-day mortality by LDH tertiles—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Patients with LDH tests within 6 hours following ICU admission (N=401)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. </w:t>
      </w:r>
    </w:p>
    <w:tbl>
      <w:tblPr>
        <w:tblStyle w:val="16"/>
        <w:tblW w:w="11404" w:type="dxa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628"/>
        <w:gridCol w:w="1628"/>
        <w:gridCol w:w="1133"/>
        <w:gridCol w:w="1536"/>
        <w:gridCol w:w="986"/>
        <w:gridCol w:w="1621"/>
        <w:gridCol w:w="992"/>
      </w:tblGrid>
      <w:tr w14:paraId="02EB1D5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FDCAA26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Variables</w:t>
            </w:r>
          </w:p>
        </w:tc>
        <w:tc>
          <w:tcPr>
            <w:tcW w:w="1628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4F785DD4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Event rate</w:t>
            </w:r>
          </w:p>
        </w:tc>
        <w:tc>
          <w:tcPr>
            <w:tcW w:w="276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7B468C1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 1</w:t>
            </w:r>
          </w:p>
        </w:tc>
        <w:tc>
          <w:tcPr>
            <w:tcW w:w="25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3F238CAE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 2</w:t>
            </w:r>
          </w:p>
        </w:tc>
        <w:tc>
          <w:tcPr>
            <w:tcW w:w="261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1D8BD83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Model 3</w:t>
            </w:r>
          </w:p>
        </w:tc>
      </w:tr>
      <w:tr w14:paraId="651BFCA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0D04DEC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24A11A2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0E93357E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HR (95% CI)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4077DABF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  <w:tc>
          <w:tcPr>
            <w:tcW w:w="153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10F9F29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HR (95% CI)</w:t>
            </w:r>
          </w:p>
        </w:tc>
        <w:tc>
          <w:tcPr>
            <w:tcW w:w="98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F59D690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  <w:tc>
          <w:tcPr>
            <w:tcW w:w="1621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14893705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6F107316">
            <w:pPr>
              <w:spacing w:after="16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-value</w:t>
            </w:r>
          </w:p>
        </w:tc>
      </w:tr>
      <w:tr w14:paraId="1694C7C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DB7FDE9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In-hospital mortality</w:t>
            </w:r>
          </w:p>
        </w:tc>
      </w:tr>
      <w:tr w14:paraId="62BA3E9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C13279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LDH (categorical)</w:t>
            </w:r>
          </w:p>
        </w:tc>
      </w:tr>
      <w:tr w14:paraId="6586EC5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1E0049FA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C22BFDC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10/134</w:t>
            </w:r>
          </w:p>
        </w:tc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70BB4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8B561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344E6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</w:tr>
      <w:tr w14:paraId="6797E7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0426B090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B5032B1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28/132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EB59ADA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2.66 (1.29-5.49)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8025BEA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D8CD4C1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2.56 (1.22-5.33)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ECAEB84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49BA2D60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3.99 (1.69-9.37)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6B909F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0.002</w:t>
            </w:r>
          </w:p>
        </w:tc>
      </w:tr>
      <w:tr w14:paraId="69E4C3A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49AA13FE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CCDD264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51/135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F0CF503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3.41 (1.73-6.74)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F202DC9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0894C9E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3.65 (1.84-7.24)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E4CFFA5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AF84A42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5.74 (2.52-13.07)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5C6B5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</w:tr>
      <w:tr w14:paraId="0DCE45B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0831C1F9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for trend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7EB0FB2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FC6203F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ECFB8AD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1EC89A2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A68DBF4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3CAD9CA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11CC0F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</w:tr>
      <w:tr w14:paraId="74869C0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54AD3C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30-day mortality</w:t>
            </w:r>
          </w:p>
        </w:tc>
      </w:tr>
      <w:tr w14:paraId="46F6D3F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1CB273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LDH (categorical)</w:t>
            </w:r>
          </w:p>
        </w:tc>
      </w:tr>
      <w:tr w14:paraId="076AF57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062FBEF9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0BE080F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19/134</w:t>
            </w:r>
          </w:p>
        </w:tc>
        <w:tc>
          <w:tcPr>
            <w:tcW w:w="2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80ABB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07555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23013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Ref.</w:t>
            </w:r>
          </w:p>
        </w:tc>
      </w:tr>
      <w:tr w14:paraId="0D5062F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2D5872CF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5394418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38/132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0F61ED6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2.20 (1.27-3.82)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D09FAF1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2ECCB7C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2.06 (1.18-3.60)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1474F62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0.011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7BD157B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1.91 (1.03-3.52)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EDCFFA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0.039</w:t>
            </w:r>
          </w:p>
        </w:tc>
      </w:tr>
      <w:tr w14:paraId="4C289AC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5FF10484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T3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C47244B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56/135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048156F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3.58 (2.13-6.03)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86B020A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C3A14BE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 xml:space="preserve">3.59 (2.13-6.06)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B3AB86E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6C23417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2.58 (1.37-4.87)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555849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0.004</w:t>
            </w:r>
          </w:p>
        </w:tc>
      </w:tr>
      <w:tr w14:paraId="25508A7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CC75961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EE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for trend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16BCACD7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5F3F7C56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2191CCFB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71717593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28B871AE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&lt;0.001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6EDDBA1">
            <w:pPr>
              <w:spacing w:after="160" w:line="240" w:lineRule="auto"/>
              <w:jc w:val="both"/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2E0F8AE7">
            <w:pPr>
              <w:spacing w:after="16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EE0000"/>
                <w:sz w:val="20"/>
                <w:szCs w:val="20"/>
              </w:rPr>
              <w:t>0.004</w:t>
            </w:r>
          </w:p>
        </w:tc>
      </w:tr>
    </w:tbl>
    <w:p w14:paraId="1DDD1389">
      <w:pPr>
        <w:spacing w:line="240" w:lineRule="auto"/>
        <w:jc w:val="both"/>
        <w:rPr>
          <w:rFonts w:hint="eastAsia"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Model 1: </w:t>
      </w:r>
      <w:r>
        <w:rPr>
          <w:rFonts w:ascii="Times New Roman" w:hAnsi="Times New Roman" w:cs="Times New Roman"/>
          <w:color w:val="EE0000"/>
          <w:sz w:val="20"/>
          <w:szCs w:val="20"/>
        </w:rPr>
        <w:t>Unadjusted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p w14:paraId="45431E80">
      <w:pPr>
        <w:spacing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color w:val="EE0000"/>
          <w:sz w:val="20"/>
          <w:szCs w:val="20"/>
        </w:rPr>
        <w:t>Model 2: Adjusted for admission age, sex</w:t>
      </w:r>
      <w:r>
        <w:rPr>
          <w:rFonts w:ascii="Times New Roman" w:hAnsi="Times New Roman" w:cs="Times New Roman"/>
          <w:color w:val="EE0000"/>
          <w:sz w:val="20"/>
          <w:szCs w:val="20"/>
        </w:rPr>
        <w:t>,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and race.</w:t>
      </w:r>
    </w:p>
    <w:p w14:paraId="3AF5E307">
      <w:pPr>
        <w:spacing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Model 3: Fully adjusted for </w:t>
      </w:r>
      <w:r>
        <w:rPr>
          <w:rFonts w:ascii="Times New Roman" w:hAnsi="Times New Roman" w:cs="Times New Roman"/>
          <w:color w:val="EE0000"/>
          <w:sz w:val="20"/>
          <w:szCs w:val="20"/>
        </w:rPr>
        <w:t>admission age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, sex, race, random glucose, hypertension, diabetes, AF, MT, CHF, MI, SLD, CCI, albumin, anion gap, AST, bicarbonate, BUN, creatinine, potassium, RBC, WBC, PLT, GCS, </w:t>
      </w:r>
      <w:r>
        <w:rPr>
          <w:rFonts w:hint="eastAsia" w:ascii="Times New Roman" w:hAnsi="Times New Roman" w:cs="Times New Roman"/>
          <w:color w:val="EE0000"/>
          <w:sz w:val="20"/>
          <w:szCs w:val="20"/>
          <w:lang w:val="en-US" w:eastAsia="zh-CN"/>
        </w:rPr>
        <w:t>heart rate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, MAP, RR, RRT, invasive ventilation, SpO</w:t>
      </w:r>
      <w:r>
        <w:rPr>
          <w:rFonts w:hint="eastAsia" w:ascii="Times New Roman" w:hAnsi="Times New Roman" w:cs="Times New Roman"/>
          <w:color w:val="EE0000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, weight, IVT and EVT.</w:t>
      </w:r>
    </w:p>
    <w:p w14:paraId="061344CF">
      <w:pPr>
        <w:spacing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color w:val="EE0000"/>
          <w:sz w:val="20"/>
          <w:szCs w:val="20"/>
        </w:rPr>
        <w:t>T1: LDH&lt;21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3</w:t>
      </w:r>
      <w:r>
        <w:rPr>
          <w:rFonts w:ascii="Times New Roman" w:hAnsi="Times New Roman" w:cs="Times New Roman"/>
          <w:color w:val="EE0000"/>
          <w:sz w:val="20"/>
          <w:szCs w:val="20"/>
        </w:rPr>
        <w:t>, T2: 21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3</w:t>
      </w:r>
      <w:r>
        <w:rPr>
          <w:rFonts w:ascii="Times New Roman" w:hAnsi="Times New Roman" w:cs="Times New Roman"/>
          <w:color w:val="EE0000"/>
          <w:sz w:val="20"/>
          <w:szCs w:val="20"/>
        </w:rPr>
        <w:t>≤LDH&lt;3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66</w:t>
      </w:r>
      <w:r>
        <w:rPr>
          <w:rFonts w:ascii="Times New Roman" w:hAnsi="Times New Roman" w:cs="Times New Roman"/>
          <w:color w:val="EE0000"/>
          <w:sz w:val="20"/>
          <w:szCs w:val="20"/>
        </w:rPr>
        <w:t>, and T3: LDH≥3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66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IU/L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p w14:paraId="2C4374B2">
      <w:pPr>
        <w:spacing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Abbreviations: LDH: Lactate dehydrogenase; AF: Atrial fibrillation; MT: Malignant tumor; CHF: Congestive heart failure; MI: Myocardial infarction; SLD: Severe liver </w:t>
      </w:r>
      <w:r>
        <w:rPr>
          <w:rFonts w:ascii="Times New Roman" w:hAnsi="Times New Roman" w:cs="Times New Roman"/>
          <w:color w:val="EE0000"/>
          <w:sz w:val="20"/>
          <w:szCs w:val="20"/>
        </w:rPr>
        <w:t>disease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; CCI: Charlson comorbidity index; AST: Aspartate aminotransferase; BUN: Blood urea nitrogen; RBC: Red blood cell; WBC: White blood cell; PLT: Platelet; GCS: Glasgow Coma Scale;</w:t>
      </w:r>
      <w:bookmarkStart w:id="6" w:name="_GoBack"/>
      <w:bookmarkEnd w:id="6"/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MAP: Mean arterial pressure; RR: Respiratory rate; RRT: Renal replacement therapy; SpO</w:t>
      </w:r>
      <w:r>
        <w:rPr>
          <w:rFonts w:hint="eastAsia" w:ascii="Times New Roman" w:hAnsi="Times New Roman" w:cs="Times New Roman"/>
          <w:color w:val="EE0000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Saturation of peripheral oxygen; IVT: Intravenous thrombolysis; EVT: Endovascular thrombectomy; </w:t>
      </w:r>
      <w:r>
        <w:rPr>
          <w:rFonts w:ascii="Times New Roman" w:hAnsi="Times New Roman" w:cs="Times New Roman"/>
          <w:color w:val="EE0000"/>
          <w:sz w:val="20"/>
          <w:szCs w:val="20"/>
        </w:rPr>
        <w:t>HR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EE0000"/>
          <w:sz w:val="20"/>
          <w:szCs w:val="20"/>
        </w:rPr>
        <w:t>Hazard ratio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EE0000"/>
          <w:sz w:val="20"/>
          <w:szCs w:val="20"/>
        </w:rPr>
        <w:t>C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I: C</w:t>
      </w:r>
      <w:r>
        <w:rPr>
          <w:rFonts w:ascii="Times New Roman" w:hAnsi="Times New Roman" w:cs="Times New Roman"/>
          <w:color w:val="EE0000"/>
          <w:sz w:val="20"/>
          <w:szCs w:val="20"/>
        </w:rPr>
        <w:t>onfidence interval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.</w:t>
      </w:r>
    </w:p>
    <w:p w14:paraId="59C565D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02ABB0">
      <w:pPr>
        <w:spacing w:after="120" w:afterLines="50" w:line="360" w:lineRule="auto"/>
        <w:rPr>
          <w:rFonts w:ascii="Times New Roman" w:hAnsi="Times New Roman" w:cs="Times New Roman"/>
          <w:sz w:val="20"/>
          <w:szCs w:val="20"/>
        </w:rPr>
      </w:pPr>
    </w:p>
    <w:p w14:paraId="7A779D7D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S26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Baseline </w:t>
      </w:r>
      <w:r>
        <w:rPr>
          <w:rFonts w:hint="eastAsia"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haracteristics of</w:t>
      </w:r>
      <w:r>
        <w:rPr>
          <w:rFonts w:hint="eastAsia" w:ascii="Times New Roman" w:hAnsi="Times New Roman" w:cs="Times New Roman"/>
          <w:sz w:val="20"/>
          <w:szCs w:val="20"/>
        </w:rPr>
        <w:t xml:space="preserve"> patients with or without LDH data.</w:t>
      </w:r>
    </w:p>
    <w:tbl>
      <w:tblPr>
        <w:tblStyle w:val="15"/>
        <w:tblW w:w="11132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2410"/>
        <w:gridCol w:w="2835"/>
        <w:gridCol w:w="2409"/>
        <w:gridCol w:w="934"/>
      </w:tblGrid>
      <w:tr w14:paraId="0B7A8D9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4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E1BC25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241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14876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 Patients (N=1,999)</w:t>
            </w:r>
          </w:p>
        </w:tc>
        <w:tc>
          <w:tcPr>
            <w:tcW w:w="283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9880F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Without LDH data (N=1,181)</w:t>
            </w:r>
          </w:p>
        </w:tc>
        <w:tc>
          <w:tcPr>
            <w:tcW w:w="240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C972C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With LDH data (N=818)</w:t>
            </w:r>
          </w:p>
        </w:tc>
        <w:tc>
          <w:tcPr>
            <w:tcW w:w="9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B944B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-value</w:t>
            </w:r>
          </w:p>
        </w:tc>
      </w:tr>
      <w:tr w14:paraId="436F50F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132" w:type="dxa"/>
            <w:gridSpan w:val="5"/>
            <w:tcBorders>
              <w:top w:val="single" w:color="auto" w:sz="6" w:space="0"/>
            </w:tcBorders>
            <w:vAlign w:val="center"/>
          </w:tcPr>
          <w:p w14:paraId="5DF81BF6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Demographic features</w:t>
            </w:r>
          </w:p>
        </w:tc>
      </w:tr>
      <w:tr w14:paraId="45F7494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208103B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2410" w:type="dxa"/>
            <w:vAlign w:val="center"/>
          </w:tcPr>
          <w:p w14:paraId="3FC887A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72.11 (60.49, 82.26)</w:t>
            </w:r>
          </w:p>
        </w:tc>
        <w:tc>
          <w:tcPr>
            <w:tcW w:w="2835" w:type="dxa"/>
            <w:vAlign w:val="center"/>
          </w:tcPr>
          <w:p w14:paraId="18D19BE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72.93 (60.43, 82.57)</w:t>
            </w:r>
          </w:p>
        </w:tc>
        <w:tc>
          <w:tcPr>
            <w:tcW w:w="2409" w:type="dxa"/>
            <w:vAlign w:val="center"/>
          </w:tcPr>
          <w:p w14:paraId="6A4527B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71.14 (60.58, 81.46)</w:t>
            </w:r>
          </w:p>
        </w:tc>
        <w:tc>
          <w:tcPr>
            <w:tcW w:w="934" w:type="dxa"/>
            <w:vAlign w:val="center"/>
          </w:tcPr>
          <w:p w14:paraId="7727041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0.179</w:t>
            </w:r>
          </w:p>
        </w:tc>
      </w:tr>
      <w:tr w14:paraId="7C41844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3AC325A0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Gender, n (%)</w:t>
            </w:r>
          </w:p>
        </w:tc>
        <w:tc>
          <w:tcPr>
            <w:tcW w:w="2410" w:type="dxa"/>
          </w:tcPr>
          <w:p w14:paraId="73F4413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10406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F929C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14:paraId="62E446B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14:paraId="2CE589E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787C6A4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2410" w:type="dxa"/>
          </w:tcPr>
          <w:p w14:paraId="79DCC82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993 (49.7)</w:t>
            </w:r>
          </w:p>
        </w:tc>
        <w:tc>
          <w:tcPr>
            <w:tcW w:w="2835" w:type="dxa"/>
          </w:tcPr>
          <w:p w14:paraId="4D323882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 (49.1)</w:t>
            </w:r>
          </w:p>
        </w:tc>
        <w:tc>
          <w:tcPr>
            <w:tcW w:w="2409" w:type="dxa"/>
          </w:tcPr>
          <w:p w14:paraId="04AE63C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 (50.5)</w:t>
            </w:r>
          </w:p>
        </w:tc>
        <w:tc>
          <w:tcPr>
            <w:tcW w:w="934" w:type="dxa"/>
          </w:tcPr>
          <w:p w14:paraId="51A9FFC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B5EB6C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7CE7AAB8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2410" w:type="dxa"/>
            <w:vAlign w:val="center"/>
          </w:tcPr>
          <w:p w14:paraId="7808FD5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1006 (50.3)</w:t>
            </w:r>
          </w:p>
        </w:tc>
        <w:tc>
          <w:tcPr>
            <w:tcW w:w="2835" w:type="dxa"/>
            <w:vAlign w:val="center"/>
          </w:tcPr>
          <w:p w14:paraId="3CAA9A65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601 (50.9)</w:t>
            </w:r>
          </w:p>
        </w:tc>
        <w:tc>
          <w:tcPr>
            <w:tcW w:w="2409" w:type="dxa"/>
            <w:vAlign w:val="center"/>
          </w:tcPr>
          <w:p w14:paraId="68B5030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405 (49.5)</w:t>
            </w:r>
          </w:p>
        </w:tc>
        <w:tc>
          <w:tcPr>
            <w:tcW w:w="934" w:type="dxa"/>
          </w:tcPr>
          <w:p w14:paraId="5DEE6A24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85F8BA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6B979C2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Race, n (%)</w:t>
            </w:r>
          </w:p>
        </w:tc>
        <w:tc>
          <w:tcPr>
            <w:tcW w:w="2410" w:type="dxa"/>
          </w:tcPr>
          <w:p w14:paraId="4FC1174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63D18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244330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14:paraId="00977EA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14:paraId="72B2068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47CF16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410" w:type="dxa"/>
            <w:vAlign w:val="center"/>
          </w:tcPr>
          <w:p w14:paraId="6F62C63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1079 (54.0)</w:t>
            </w:r>
          </w:p>
        </w:tc>
        <w:tc>
          <w:tcPr>
            <w:tcW w:w="2835" w:type="dxa"/>
            <w:vAlign w:val="center"/>
          </w:tcPr>
          <w:p w14:paraId="029A292A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664 (56.2)</w:t>
            </w:r>
          </w:p>
        </w:tc>
        <w:tc>
          <w:tcPr>
            <w:tcW w:w="2409" w:type="dxa"/>
            <w:vAlign w:val="center"/>
          </w:tcPr>
          <w:p w14:paraId="09569B7F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415 (50.7)</w:t>
            </w:r>
          </w:p>
        </w:tc>
        <w:tc>
          <w:tcPr>
            <w:tcW w:w="934" w:type="dxa"/>
          </w:tcPr>
          <w:p w14:paraId="3D6406D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34D8E0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2B1A4E4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2410" w:type="dxa"/>
            <w:vAlign w:val="center"/>
          </w:tcPr>
          <w:p w14:paraId="604BB77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920 (46.0)</w:t>
            </w:r>
          </w:p>
        </w:tc>
        <w:tc>
          <w:tcPr>
            <w:tcW w:w="2835" w:type="dxa"/>
            <w:vAlign w:val="center"/>
          </w:tcPr>
          <w:p w14:paraId="34A539E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517 (43.8)</w:t>
            </w:r>
          </w:p>
        </w:tc>
        <w:tc>
          <w:tcPr>
            <w:tcW w:w="2409" w:type="dxa"/>
            <w:vAlign w:val="center"/>
          </w:tcPr>
          <w:p w14:paraId="14AE284A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403 (49.3)</w:t>
            </w:r>
          </w:p>
        </w:tc>
        <w:tc>
          <w:tcPr>
            <w:tcW w:w="934" w:type="dxa"/>
          </w:tcPr>
          <w:p w14:paraId="4796150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8FDD0A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</w:tcPr>
          <w:p w14:paraId="414F893A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Weight (kg)</w:t>
            </w:r>
          </w:p>
        </w:tc>
        <w:tc>
          <w:tcPr>
            <w:tcW w:w="2410" w:type="dxa"/>
            <w:vAlign w:val="center"/>
          </w:tcPr>
          <w:p w14:paraId="7A5E454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77.20 (64.50, 91.85)</w:t>
            </w:r>
          </w:p>
        </w:tc>
        <w:tc>
          <w:tcPr>
            <w:tcW w:w="2835" w:type="dxa"/>
            <w:vAlign w:val="center"/>
          </w:tcPr>
          <w:p w14:paraId="45FEFEB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77.70 (65.80, 91.60)</w:t>
            </w:r>
          </w:p>
        </w:tc>
        <w:tc>
          <w:tcPr>
            <w:tcW w:w="2409" w:type="dxa"/>
            <w:vAlign w:val="center"/>
          </w:tcPr>
          <w:p w14:paraId="248A3361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76.20 (62.70, 92.15)</w:t>
            </w:r>
          </w:p>
        </w:tc>
        <w:tc>
          <w:tcPr>
            <w:tcW w:w="934" w:type="dxa"/>
            <w:vAlign w:val="center"/>
          </w:tcPr>
          <w:p w14:paraId="2EE5524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0.132</w:t>
            </w:r>
          </w:p>
        </w:tc>
      </w:tr>
      <w:tr w14:paraId="174BF80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ABDA974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Vital signs</w:t>
            </w:r>
          </w:p>
        </w:tc>
        <w:tc>
          <w:tcPr>
            <w:tcW w:w="2410" w:type="dxa"/>
          </w:tcPr>
          <w:p w14:paraId="359BB02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</w:tcPr>
          <w:p w14:paraId="48CC6A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09" w:type="dxa"/>
          </w:tcPr>
          <w:p w14:paraId="45B0830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</w:tcPr>
          <w:p w14:paraId="3F1A694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14:paraId="74D4A9D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8763F8A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Temperature (℃)</w:t>
            </w:r>
          </w:p>
        </w:tc>
        <w:tc>
          <w:tcPr>
            <w:tcW w:w="2410" w:type="dxa"/>
            <w:vAlign w:val="center"/>
          </w:tcPr>
          <w:p w14:paraId="37954A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36.87 (36.71, 37.07)</w:t>
            </w:r>
          </w:p>
        </w:tc>
        <w:tc>
          <w:tcPr>
            <w:tcW w:w="2835" w:type="dxa"/>
            <w:vAlign w:val="center"/>
          </w:tcPr>
          <w:p w14:paraId="565BB3E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36.85 (36.70, 37.03)</w:t>
            </w:r>
          </w:p>
        </w:tc>
        <w:tc>
          <w:tcPr>
            <w:tcW w:w="2409" w:type="dxa"/>
            <w:vAlign w:val="center"/>
          </w:tcPr>
          <w:p w14:paraId="610DE28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36.90 (36.71, 37.14)</w:t>
            </w:r>
          </w:p>
        </w:tc>
        <w:tc>
          <w:tcPr>
            <w:tcW w:w="934" w:type="dxa"/>
            <w:vAlign w:val="center"/>
          </w:tcPr>
          <w:p w14:paraId="4708CAE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5071ABD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D85C30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Heart rate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(bpm)</w:t>
            </w:r>
          </w:p>
        </w:tc>
        <w:tc>
          <w:tcPr>
            <w:tcW w:w="2410" w:type="dxa"/>
            <w:vAlign w:val="center"/>
          </w:tcPr>
          <w:p w14:paraId="3EE0FA8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78.61 (69.25, 89.80)</w:t>
            </w:r>
          </w:p>
        </w:tc>
        <w:tc>
          <w:tcPr>
            <w:tcW w:w="2835" w:type="dxa"/>
            <w:vAlign w:val="center"/>
          </w:tcPr>
          <w:p w14:paraId="4319D9B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77.20 (68.32, 87.52)</w:t>
            </w:r>
          </w:p>
        </w:tc>
        <w:tc>
          <w:tcPr>
            <w:tcW w:w="2409" w:type="dxa"/>
            <w:vAlign w:val="center"/>
          </w:tcPr>
          <w:p w14:paraId="2367205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81.11 (70.63, 92.57)</w:t>
            </w:r>
          </w:p>
        </w:tc>
        <w:tc>
          <w:tcPr>
            <w:tcW w:w="934" w:type="dxa"/>
            <w:vAlign w:val="center"/>
          </w:tcPr>
          <w:p w14:paraId="22992BD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57F5D98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3DAF3C2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RR (rpm)</w:t>
            </w:r>
          </w:p>
        </w:tc>
        <w:tc>
          <w:tcPr>
            <w:tcW w:w="2410" w:type="dxa"/>
            <w:vAlign w:val="center"/>
          </w:tcPr>
          <w:p w14:paraId="5F079F4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18.57 (16.78, 20.96)</w:t>
            </w:r>
          </w:p>
        </w:tc>
        <w:tc>
          <w:tcPr>
            <w:tcW w:w="2835" w:type="dxa"/>
            <w:vAlign w:val="center"/>
          </w:tcPr>
          <w:p w14:paraId="2A7A61E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18.16 (16.57, 20.20)</w:t>
            </w:r>
          </w:p>
        </w:tc>
        <w:tc>
          <w:tcPr>
            <w:tcW w:w="2409" w:type="dxa"/>
            <w:vAlign w:val="center"/>
          </w:tcPr>
          <w:p w14:paraId="02F3056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19.32 (17.22, 21.82)</w:t>
            </w:r>
          </w:p>
        </w:tc>
        <w:tc>
          <w:tcPr>
            <w:tcW w:w="934" w:type="dxa"/>
            <w:vAlign w:val="center"/>
          </w:tcPr>
          <w:p w14:paraId="1BC57B4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6A075F0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0DA6EBA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SBP (mmHg)</w:t>
            </w:r>
          </w:p>
        </w:tc>
        <w:tc>
          <w:tcPr>
            <w:tcW w:w="2410" w:type="dxa"/>
            <w:vAlign w:val="center"/>
          </w:tcPr>
          <w:p w14:paraId="29053DD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129.97 (117.40, 143.54)</w:t>
            </w:r>
          </w:p>
        </w:tc>
        <w:tc>
          <w:tcPr>
            <w:tcW w:w="2835" w:type="dxa"/>
            <w:vAlign w:val="center"/>
          </w:tcPr>
          <w:p w14:paraId="0BB0AA5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131.36 (119.60, 144.31)</w:t>
            </w:r>
          </w:p>
        </w:tc>
        <w:tc>
          <w:tcPr>
            <w:tcW w:w="2409" w:type="dxa"/>
            <w:vAlign w:val="center"/>
          </w:tcPr>
          <w:p w14:paraId="1079000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126.92 (115.01, 142.35)</w:t>
            </w:r>
          </w:p>
        </w:tc>
        <w:tc>
          <w:tcPr>
            <w:tcW w:w="934" w:type="dxa"/>
            <w:vAlign w:val="center"/>
          </w:tcPr>
          <w:p w14:paraId="5D3AE63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184DE37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7D6B8FD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DBP (mmHg)</w:t>
            </w:r>
          </w:p>
        </w:tc>
        <w:tc>
          <w:tcPr>
            <w:tcW w:w="2410" w:type="dxa"/>
            <w:vAlign w:val="center"/>
          </w:tcPr>
          <w:p w14:paraId="694C5A2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70.88 (62.05, 80.79)</w:t>
            </w:r>
          </w:p>
        </w:tc>
        <w:tc>
          <w:tcPr>
            <w:tcW w:w="2835" w:type="dxa"/>
            <w:vAlign w:val="center"/>
          </w:tcPr>
          <w:p w14:paraId="23AF751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72.25 (63.19, 81.55)</w:t>
            </w:r>
          </w:p>
        </w:tc>
        <w:tc>
          <w:tcPr>
            <w:tcW w:w="2409" w:type="dxa"/>
            <w:vAlign w:val="center"/>
          </w:tcPr>
          <w:p w14:paraId="160FB85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68.87 (60.85, 79.09)</w:t>
            </w:r>
          </w:p>
        </w:tc>
        <w:tc>
          <w:tcPr>
            <w:tcW w:w="934" w:type="dxa"/>
            <w:vAlign w:val="center"/>
          </w:tcPr>
          <w:p w14:paraId="3ADC131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6D397F0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F1B16AD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P (mmHg)</w:t>
            </w:r>
          </w:p>
        </w:tc>
        <w:tc>
          <w:tcPr>
            <w:tcW w:w="2410" w:type="dxa"/>
            <w:vAlign w:val="center"/>
          </w:tcPr>
          <w:p w14:paraId="66F945C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87.73 (79.39, 97.82)</w:t>
            </w:r>
          </w:p>
        </w:tc>
        <w:tc>
          <w:tcPr>
            <w:tcW w:w="2835" w:type="dxa"/>
            <w:vAlign w:val="center"/>
          </w:tcPr>
          <w:p w14:paraId="60F407E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89.39 (80.89, 99.00)</w:t>
            </w:r>
          </w:p>
        </w:tc>
        <w:tc>
          <w:tcPr>
            <w:tcW w:w="2409" w:type="dxa"/>
            <w:vAlign w:val="center"/>
          </w:tcPr>
          <w:p w14:paraId="6DF40A9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85.52 (77.91, 95.61)</w:t>
            </w:r>
          </w:p>
        </w:tc>
        <w:tc>
          <w:tcPr>
            <w:tcW w:w="934" w:type="dxa"/>
            <w:vAlign w:val="center"/>
          </w:tcPr>
          <w:p w14:paraId="429C894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6753BFB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544" w:type="dxa"/>
            <w:vAlign w:val="center"/>
          </w:tcPr>
          <w:p w14:paraId="51CB8C48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SpO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2410" w:type="dxa"/>
            <w:vAlign w:val="center"/>
          </w:tcPr>
          <w:p w14:paraId="4916C13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96.85 (95.58, 98.11)</w:t>
            </w:r>
          </w:p>
        </w:tc>
        <w:tc>
          <w:tcPr>
            <w:tcW w:w="2835" w:type="dxa"/>
            <w:vAlign w:val="center"/>
          </w:tcPr>
          <w:p w14:paraId="30CFD1C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96.69 (95.43, 97.96)</w:t>
            </w:r>
          </w:p>
        </w:tc>
        <w:tc>
          <w:tcPr>
            <w:tcW w:w="2409" w:type="dxa"/>
            <w:vAlign w:val="center"/>
          </w:tcPr>
          <w:p w14:paraId="116F17A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97.11 (95.84, 98.45)</w:t>
            </w:r>
          </w:p>
        </w:tc>
        <w:tc>
          <w:tcPr>
            <w:tcW w:w="934" w:type="dxa"/>
            <w:vAlign w:val="center"/>
          </w:tcPr>
          <w:p w14:paraId="2109A75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1798667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132" w:type="dxa"/>
            <w:gridSpan w:val="5"/>
            <w:vAlign w:val="center"/>
          </w:tcPr>
          <w:p w14:paraId="57A8700C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Comorbidities, n (%)</w:t>
            </w:r>
          </w:p>
        </w:tc>
      </w:tr>
      <w:tr w14:paraId="4F80B3C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C9FC16A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2410" w:type="dxa"/>
            <w:vAlign w:val="center"/>
          </w:tcPr>
          <w:p w14:paraId="1E2CAD1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1006 (50.3)</w:t>
            </w:r>
          </w:p>
        </w:tc>
        <w:tc>
          <w:tcPr>
            <w:tcW w:w="2835" w:type="dxa"/>
            <w:vAlign w:val="center"/>
          </w:tcPr>
          <w:p w14:paraId="3AB3658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630 (53.3)</w:t>
            </w:r>
          </w:p>
        </w:tc>
        <w:tc>
          <w:tcPr>
            <w:tcW w:w="2409" w:type="dxa"/>
            <w:vAlign w:val="center"/>
          </w:tcPr>
          <w:p w14:paraId="37D1E53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376 (46.0)</w:t>
            </w:r>
          </w:p>
        </w:tc>
        <w:tc>
          <w:tcPr>
            <w:tcW w:w="934" w:type="dxa"/>
          </w:tcPr>
          <w:p w14:paraId="5D16F06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7F72AA0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77E5F3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2410" w:type="dxa"/>
            <w:vAlign w:val="center"/>
          </w:tcPr>
          <w:p w14:paraId="307B8A5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 (32.4)</w:t>
            </w:r>
          </w:p>
        </w:tc>
        <w:tc>
          <w:tcPr>
            <w:tcW w:w="2835" w:type="dxa"/>
            <w:vAlign w:val="center"/>
          </w:tcPr>
          <w:p w14:paraId="4E26FB9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(32.0)</w:t>
            </w:r>
          </w:p>
        </w:tc>
        <w:tc>
          <w:tcPr>
            <w:tcW w:w="2409" w:type="dxa"/>
            <w:vAlign w:val="center"/>
          </w:tcPr>
          <w:p w14:paraId="6415F78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 (33.0)</w:t>
            </w:r>
          </w:p>
        </w:tc>
        <w:tc>
          <w:tcPr>
            <w:tcW w:w="934" w:type="dxa"/>
          </w:tcPr>
          <w:p w14:paraId="16806AA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0.674</w:t>
            </w:r>
          </w:p>
        </w:tc>
      </w:tr>
      <w:tr w14:paraId="1791666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CF21793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Atrial fibrillation</w:t>
            </w:r>
          </w:p>
        </w:tc>
        <w:tc>
          <w:tcPr>
            <w:tcW w:w="2410" w:type="dxa"/>
            <w:vAlign w:val="center"/>
          </w:tcPr>
          <w:p w14:paraId="087D280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720 (36.0)</w:t>
            </w:r>
          </w:p>
        </w:tc>
        <w:tc>
          <w:tcPr>
            <w:tcW w:w="2835" w:type="dxa"/>
            <w:vAlign w:val="center"/>
          </w:tcPr>
          <w:p w14:paraId="038C59D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414 (35.1)</w:t>
            </w:r>
          </w:p>
        </w:tc>
        <w:tc>
          <w:tcPr>
            <w:tcW w:w="2409" w:type="dxa"/>
            <w:vAlign w:val="center"/>
          </w:tcPr>
          <w:p w14:paraId="6B2291B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306 (37.4)</w:t>
            </w:r>
          </w:p>
        </w:tc>
        <w:tc>
          <w:tcPr>
            <w:tcW w:w="934" w:type="dxa"/>
          </w:tcPr>
          <w:p w14:paraId="0A08EB8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0.303</w:t>
            </w:r>
          </w:p>
        </w:tc>
      </w:tr>
      <w:tr w14:paraId="755FA0C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011D076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Congestive heart failure</w:t>
            </w:r>
          </w:p>
        </w:tc>
        <w:tc>
          <w:tcPr>
            <w:tcW w:w="2410" w:type="dxa"/>
            <w:vAlign w:val="center"/>
          </w:tcPr>
          <w:p w14:paraId="08AE3FF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444 (22.2)</w:t>
            </w:r>
          </w:p>
        </w:tc>
        <w:tc>
          <w:tcPr>
            <w:tcW w:w="2835" w:type="dxa"/>
            <w:vAlign w:val="center"/>
          </w:tcPr>
          <w:p w14:paraId="1BF450D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244 (20.7)</w:t>
            </w:r>
          </w:p>
        </w:tc>
        <w:tc>
          <w:tcPr>
            <w:tcW w:w="2409" w:type="dxa"/>
            <w:vAlign w:val="center"/>
          </w:tcPr>
          <w:p w14:paraId="62F40D1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200 (24.4)</w:t>
            </w:r>
          </w:p>
        </w:tc>
        <w:tc>
          <w:tcPr>
            <w:tcW w:w="934" w:type="dxa"/>
          </w:tcPr>
          <w:p w14:paraId="0BB85B3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0.051</w:t>
            </w:r>
          </w:p>
        </w:tc>
      </w:tr>
      <w:tr w14:paraId="3230EEE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0A7086B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Myocardial infarction</w:t>
            </w:r>
          </w:p>
        </w:tc>
        <w:tc>
          <w:tcPr>
            <w:tcW w:w="2410" w:type="dxa"/>
            <w:vAlign w:val="center"/>
          </w:tcPr>
          <w:p w14:paraId="60901FF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323 (16.2)</w:t>
            </w:r>
          </w:p>
        </w:tc>
        <w:tc>
          <w:tcPr>
            <w:tcW w:w="2835" w:type="dxa"/>
            <w:vAlign w:val="center"/>
          </w:tcPr>
          <w:p w14:paraId="5234E5B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152 (12.9)</w:t>
            </w:r>
          </w:p>
        </w:tc>
        <w:tc>
          <w:tcPr>
            <w:tcW w:w="2409" w:type="dxa"/>
            <w:vAlign w:val="center"/>
          </w:tcPr>
          <w:p w14:paraId="134D8D6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171 (20.9)</w:t>
            </w:r>
          </w:p>
        </w:tc>
        <w:tc>
          <w:tcPr>
            <w:tcW w:w="934" w:type="dxa"/>
          </w:tcPr>
          <w:p w14:paraId="2AAEA03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57CE000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A49282C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Peripheral artery disease </w:t>
            </w:r>
          </w:p>
        </w:tc>
        <w:tc>
          <w:tcPr>
            <w:tcW w:w="2410" w:type="dxa"/>
            <w:vAlign w:val="center"/>
          </w:tcPr>
          <w:p w14:paraId="1AF9903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189 (9.5)</w:t>
            </w:r>
          </w:p>
        </w:tc>
        <w:tc>
          <w:tcPr>
            <w:tcW w:w="2835" w:type="dxa"/>
            <w:vAlign w:val="center"/>
          </w:tcPr>
          <w:p w14:paraId="0DADD5B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103 (8.7)</w:t>
            </w:r>
          </w:p>
        </w:tc>
        <w:tc>
          <w:tcPr>
            <w:tcW w:w="2409" w:type="dxa"/>
            <w:vAlign w:val="center"/>
          </w:tcPr>
          <w:p w14:paraId="3968404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86 (10.5)</w:t>
            </w:r>
          </w:p>
        </w:tc>
        <w:tc>
          <w:tcPr>
            <w:tcW w:w="934" w:type="dxa"/>
          </w:tcPr>
          <w:p w14:paraId="3DD4EB1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0.205</w:t>
            </w:r>
          </w:p>
        </w:tc>
      </w:tr>
      <w:tr w14:paraId="451F5AB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4E45953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Chronic pulmonary disease</w:t>
            </w:r>
          </w:p>
        </w:tc>
        <w:tc>
          <w:tcPr>
            <w:tcW w:w="2410" w:type="dxa"/>
            <w:vAlign w:val="center"/>
          </w:tcPr>
          <w:p w14:paraId="7B54B84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275 (13.8)</w:t>
            </w:r>
          </w:p>
        </w:tc>
        <w:tc>
          <w:tcPr>
            <w:tcW w:w="2835" w:type="dxa"/>
            <w:vAlign w:val="center"/>
          </w:tcPr>
          <w:p w14:paraId="5C35BFC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149 (12.6)</w:t>
            </w:r>
          </w:p>
        </w:tc>
        <w:tc>
          <w:tcPr>
            <w:tcW w:w="2409" w:type="dxa"/>
            <w:vAlign w:val="center"/>
          </w:tcPr>
          <w:p w14:paraId="4DC2764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126 (15.4)</w:t>
            </w:r>
          </w:p>
        </w:tc>
        <w:tc>
          <w:tcPr>
            <w:tcW w:w="934" w:type="dxa"/>
          </w:tcPr>
          <w:p w14:paraId="603ACCD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</w:tr>
      <w:tr w14:paraId="12F943C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EE92036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Renal disease</w:t>
            </w:r>
          </w:p>
        </w:tc>
        <w:tc>
          <w:tcPr>
            <w:tcW w:w="2410" w:type="dxa"/>
            <w:vAlign w:val="center"/>
          </w:tcPr>
          <w:p w14:paraId="2C5B15F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367 (18.4)</w:t>
            </w:r>
          </w:p>
        </w:tc>
        <w:tc>
          <w:tcPr>
            <w:tcW w:w="2835" w:type="dxa"/>
            <w:vAlign w:val="center"/>
          </w:tcPr>
          <w:p w14:paraId="075E894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187 (15.8)</w:t>
            </w:r>
          </w:p>
        </w:tc>
        <w:tc>
          <w:tcPr>
            <w:tcW w:w="2409" w:type="dxa"/>
            <w:vAlign w:val="center"/>
          </w:tcPr>
          <w:p w14:paraId="1B6C407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180 (22.0)</w:t>
            </w:r>
          </w:p>
        </w:tc>
        <w:tc>
          <w:tcPr>
            <w:tcW w:w="934" w:type="dxa"/>
          </w:tcPr>
          <w:p w14:paraId="0555CBC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14:paraId="6DF749E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FAB2673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Severe liver disease</w:t>
            </w:r>
          </w:p>
        </w:tc>
        <w:tc>
          <w:tcPr>
            <w:tcW w:w="2410" w:type="dxa"/>
            <w:vAlign w:val="center"/>
          </w:tcPr>
          <w:p w14:paraId="3D72266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28 (1.4)</w:t>
            </w:r>
          </w:p>
        </w:tc>
        <w:tc>
          <w:tcPr>
            <w:tcW w:w="2835" w:type="dxa"/>
            <w:vAlign w:val="center"/>
          </w:tcPr>
          <w:p w14:paraId="2CE7304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 (0.4)</w:t>
            </w:r>
          </w:p>
        </w:tc>
        <w:tc>
          <w:tcPr>
            <w:tcW w:w="2409" w:type="dxa"/>
            <w:vAlign w:val="center"/>
          </w:tcPr>
          <w:p w14:paraId="3992330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23 (2.8)</w:t>
            </w:r>
          </w:p>
        </w:tc>
        <w:tc>
          <w:tcPr>
            <w:tcW w:w="934" w:type="dxa"/>
          </w:tcPr>
          <w:p w14:paraId="66FACA9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3E32061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2DA9834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Malignan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t tumor</w:t>
            </w:r>
          </w:p>
        </w:tc>
        <w:tc>
          <w:tcPr>
            <w:tcW w:w="2410" w:type="dxa"/>
            <w:vAlign w:val="center"/>
          </w:tcPr>
          <w:p w14:paraId="7A3956E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163 (8.2)</w:t>
            </w:r>
          </w:p>
        </w:tc>
        <w:tc>
          <w:tcPr>
            <w:tcW w:w="2835" w:type="dxa"/>
            <w:vAlign w:val="center"/>
          </w:tcPr>
          <w:p w14:paraId="51EDE16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77 (6.5)</w:t>
            </w:r>
          </w:p>
        </w:tc>
        <w:tc>
          <w:tcPr>
            <w:tcW w:w="2409" w:type="dxa"/>
            <w:vAlign w:val="center"/>
          </w:tcPr>
          <w:p w14:paraId="06FAAFB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86 (10.5)</w:t>
            </w:r>
          </w:p>
        </w:tc>
        <w:tc>
          <w:tcPr>
            <w:tcW w:w="934" w:type="dxa"/>
          </w:tcPr>
          <w:p w14:paraId="2426367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14:paraId="1717EF3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2020878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Charlson comorbidity index</w:t>
            </w:r>
          </w:p>
        </w:tc>
        <w:tc>
          <w:tcPr>
            <w:tcW w:w="2410" w:type="dxa"/>
            <w:vAlign w:val="center"/>
          </w:tcPr>
          <w:p w14:paraId="686A0D7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6.00 (4.00, 8.00)</w:t>
            </w:r>
          </w:p>
        </w:tc>
        <w:tc>
          <w:tcPr>
            <w:tcW w:w="2835" w:type="dxa"/>
            <w:vAlign w:val="center"/>
          </w:tcPr>
          <w:p w14:paraId="65AEC31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6.00 (4.00, 8.00)</w:t>
            </w:r>
          </w:p>
        </w:tc>
        <w:tc>
          <w:tcPr>
            <w:tcW w:w="2409" w:type="dxa"/>
            <w:vAlign w:val="center"/>
          </w:tcPr>
          <w:p w14:paraId="22FCAE7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7.00 (5.00, 9.00)</w:t>
            </w:r>
          </w:p>
        </w:tc>
        <w:tc>
          <w:tcPr>
            <w:tcW w:w="934" w:type="dxa"/>
            <w:vAlign w:val="center"/>
          </w:tcPr>
          <w:p w14:paraId="742A8F2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0.002</w:t>
            </w:r>
          </w:p>
        </w:tc>
      </w:tr>
      <w:tr w14:paraId="1AAF32A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132" w:type="dxa"/>
            <w:gridSpan w:val="5"/>
            <w:vAlign w:val="center"/>
          </w:tcPr>
          <w:p w14:paraId="748C7DF3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Laboratory tests</w:t>
            </w:r>
          </w:p>
        </w:tc>
      </w:tr>
      <w:tr w14:paraId="7A6E1D0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E35DDD2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WBC (K/uL)</w:t>
            </w:r>
          </w:p>
        </w:tc>
        <w:tc>
          <w:tcPr>
            <w:tcW w:w="2410" w:type="dxa"/>
            <w:vAlign w:val="center"/>
          </w:tcPr>
          <w:p w14:paraId="58C9250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9.70 (7.40, 13.20)</w:t>
            </w:r>
          </w:p>
        </w:tc>
        <w:tc>
          <w:tcPr>
            <w:tcW w:w="2835" w:type="dxa"/>
            <w:vAlign w:val="center"/>
          </w:tcPr>
          <w:p w14:paraId="42FB99C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9.30 (7.20, 12.40)</w:t>
            </w:r>
          </w:p>
        </w:tc>
        <w:tc>
          <w:tcPr>
            <w:tcW w:w="2409" w:type="dxa"/>
            <w:vAlign w:val="center"/>
          </w:tcPr>
          <w:p w14:paraId="31E0659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10.45 (7.80, 14.60)</w:t>
            </w:r>
          </w:p>
        </w:tc>
        <w:tc>
          <w:tcPr>
            <w:tcW w:w="934" w:type="dxa"/>
            <w:vAlign w:val="center"/>
          </w:tcPr>
          <w:p w14:paraId="4B1EB8C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36A1BF2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D5D57F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RBC (K/uL)</w:t>
            </w:r>
          </w:p>
        </w:tc>
        <w:tc>
          <w:tcPr>
            <w:tcW w:w="2410" w:type="dxa"/>
            <w:vAlign w:val="center"/>
          </w:tcPr>
          <w:p w14:paraId="33848A9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4.01 (3.44, 4.50)</w:t>
            </w:r>
          </w:p>
        </w:tc>
        <w:tc>
          <w:tcPr>
            <w:tcW w:w="2835" w:type="dxa"/>
            <w:vAlign w:val="center"/>
          </w:tcPr>
          <w:p w14:paraId="4C80D3B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4.05 (3.51, 4.53)</w:t>
            </w:r>
          </w:p>
        </w:tc>
        <w:tc>
          <w:tcPr>
            <w:tcW w:w="2409" w:type="dxa"/>
            <w:vAlign w:val="center"/>
          </w:tcPr>
          <w:p w14:paraId="5B20478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3.92 (3.34, 4.48)</w:t>
            </w:r>
          </w:p>
        </w:tc>
        <w:tc>
          <w:tcPr>
            <w:tcW w:w="934" w:type="dxa"/>
            <w:vAlign w:val="center"/>
          </w:tcPr>
          <w:p w14:paraId="41ABEB8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4030AC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62F6FE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PLT (K/uL)</w:t>
            </w:r>
          </w:p>
        </w:tc>
        <w:tc>
          <w:tcPr>
            <w:tcW w:w="2410" w:type="dxa"/>
            <w:vAlign w:val="center"/>
          </w:tcPr>
          <w:p w14:paraId="70B9A45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205.00 (158.00, 259.00)</w:t>
            </w:r>
          </w:p>
        </w:tc>
        <w:tc>
          <w:tcPr>
            <w:tcW w:w="2835" w:type="dxa"/>
            <w:vAlign w:val="center"/>
          </w:tcPr>
          <w:p w14:paraId="73435D6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208.00 (163.00, 258.00)</w:t>
            </w:r>
          </w:p>
        </w:tc>
        <w:tc>
          <w:tcPr>
            <w:tcW w:w="2409" w:type="dxa"/>
            <w:vAlign w:val="center"/>
          </w:tcPr>
          <w:p w14:paraId="3AF8DB3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197.00 (150.00, 261.00)</w:t>
            </w:r>
          </w:p>
        </w:tc>
        <w:tc>
          <w:tcPr>
            <w:tcW w:w="934" w:type="dxa"/>
            <w:vAlign w:val="center"/>
          </w:tcPr>
          <w:p w14:paraId="34430D2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0.018</w:t>
            </w:r>
          </w:p>
        </w:tc>
      </w:tr>
      <w:tr w14:paraId="6A2DBA2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26679CD4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Hematocrit (%)</w:t>
            </w:r>
          </w:p>
        </w:tc>
        <w:tc>
          <w:tcPr>
            <w:tcW w:w="2410" w:type="dxa"/>
            <w:vAlign w:val="center"/>
          </w:tcPr>
          <w:p w14:paraId="5924198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36.50 (31.60, 40.70)</w:t>
            </w:r>
          </w:p>
        </w:tc>
        <w:tc>
          <w:tcPr>
            <w:tcW w:w="2835" w:type="dxa"/>
            <w:vAlign w:val="center"/>
          </w:tcPr>
          <w:p w14:paraId="381E9CB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37.00 (32.40, 41.00)</w:t>
            </w:r>
          </w:p>
        </w:tc>
        <w:tc>
          <w:tcPr>
            <w:tcW w:w="2409" w:type="dxa"/>
            <w:vAlign w:val="center"/>
          </w:tcPr>
          <w:p w14:paraId="1E953E4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35.70 (30.30, 40.10)</w:t>
            </w:r>
          </w:p>
        </w:tc>
        <w:tc>
          <w:tcPr>
            <w:tcW w:w="934" w:type="dxa"/>
            <w:vAlign w:val="center"/>
          </w:tcPr>
          <w:p w14:paraId="534DF04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0B6756B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74A939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Hemoglobin (g/dL)</w:t>
            </w:r>
          </w:p>
        </w:tc>
        <w:tc>
          <w:tcPr>
            <w:tcW w:w="2410" w:type="dxa"/>
            <w:vAlign w:val="center"/>
          </w:tcPr>
          <w:p w14:paraId="2A2E325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12.00 (10.20, 13.50)</w:t>
            </w:r>
          </w:p>
        </w:tc>
        <w:tc>
          <w:tcPr>
            <w:tcW w:w="2835" w:type="dxa"/>
            <w:vAlign w:val="center"/>
          </w:tcPr>
          <w:p w14:paraId="0F2B1A7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12.10 (10.60, 13.60)</w:t>
            </w:r>
          </w:p>
        </w:tc>
        <w:tc>
          <w:tcPr>
            <w:tcW w:w="2409" w:type="dxa"/>
            <w:vAlign w:val="center"/>
          </w:tcPr>
          <w:p w14:paraId="0A4DECF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11.60 (9.70, 13.30)</w:t>
            </w:r>
          </w:p>
        </w:tc>
        <w:tc>
          <w:tcPr>
            <w:tcW w:w="934" w:type="dxa"/>
            <w:vAlign w:val="center"/>
          </w:tcPr>
          <w:p w14:paraId="1A485D1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1559BED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676A16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Glucose (mg/dL)</w:t>
            </w:r>
          </w:p>
        </w:tc>
        <w:tc>
          <w:tcPr>
            <w:tcW w:w="2410" w:type="dxa"/>
            <w:vAlign w:val="center"/>
          </w:tcPr>
          <w:p w14:paraId="2F9A90D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123.00 (101.00, 157.00)</w:t>
            </w:r>
          </w:p>
        </w:tc>
        <w:tc>
          <w:tcPr>
            <w:tcW w:w="2835" w:type="dxa"/>
            <w:vAlign w:val="center"/>
          </w:tcPr>
          <w:p w14:paraId="4C54334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121.00 (100.00, 151.00)</w:t>
            </w:r>
          </w:p>
        </w:tc>
        <w:tc>
          <w:tcPr>
            <w:tcW w:w="2409" w:type="dxa"/>
            <w:vAlign w:val="center"/>
          </w:tcPr>
          <w:p w14:paraId="02AC603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126.00 (103.00, 172.00)</w:t>
            </w:r>
          </w:p>
        </w:tc>
        <w:tc>
          <w:tcPr>
            <w:tcW w:w="934" w:type="dxa"/>
            <w:vAlign w:val="center"/>
          </w:tcPr>
          <w:p w14:paraId="6436EE2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0CB5892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2EFA149E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Anion gap (mmol/L)</w:t>
            </w:r>
          </w:p>
        </w:tc>
        <w:tc>
          <w:tcPr>
            <w:tcW w:w="2410" w:type="dxa"/>
            <w:vAlign w:val="center"/>
          </w:tcPr>
          <w:p w14:paraId="3F5BAA7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14.00 (12.00, 16.00)</w:t>
            </w:r>
          </w:p>
        </w:tc>
        <w:tc>
          <w:tcPr>
            <w:tcW w:w="2835" w:type="dxa"/>
            <w:vAlign w:val="center"/>
          </w:tcPr>
          <w:p w14:paraId="78D8053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13.00 (11.00, 15.00)</w:t>
            </w:r>
          </w:p>
        </w:tc>
        <w:tc>
          <w:tcPr>
            <w:tcW w:w="2409" w:type="dxa"/>
            <w:vAlign w:val="center"/>
          </w:tcPr>
          <w:p w14:paraId="7D23D80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15.00 (12.00, 17.00)</w:t>
            </w:r>
          </w:p>
        </w:tc>
        <w:tc>
          <w:tcPr>
            <w:tcW w:w="934" w:type="dxa"/>
            <w:vAlign w:val="center"/>
          </w:tcPr>
          <w:p w14:paraId="34ED4B1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49434C7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2B5C4CDB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BUN (mmol/L)</w:t>
            </w:r>
          </w:p>
        </w:tc>
        <w:tc>
          <w:tcPr>
            <w:tcW w:w="2410" w:type="dxa"/>
            <w:vAlign w:val="center"/>
          </w:tcPr>
          <w:p w14:paraId="340E307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17.00 (12.00, 24.00)</w:t>
            </w:r>
          </w:p>
        </w:tc>
        <w:tc>
          <w:tcPr>
            <w:tcW w:w="2835" w:type="dxa"/>
            <w:vAlign w:val="center"/>
          </w:tcPr>
          <w:p w14:paraId="46C4588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15.00 (12.00, 21.00)</w:t>
            </w:r>
          </w:p>
        </w:tc>
        <w:tc>
          <w:tcPr>
            <w:tcW w:w="2409" w:type="dxa"/>
            <w:vAlign w:val="center"/>
          </w:tcPr>
          <w:p w14:paraId="5896501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19.00 (13.00, 29.00)</w:t>
            </w:r>
          </w:p>
        </w:tc>
        <w:tc>
          <w:tcPr>
            <w:tcW w:w="934" w:type="dxa"/>
            <w:vAlign w:val="center"/>
          </w:tcPr>
          <w:p w14:paraId="2BEF012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3D70357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5D880D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Creatinine (mg/dL)</w:t>
            </w:r>
          </w:p>
        </w:tc>
        <w:tc>
          <w:tcPr>
            <w:tcW w:w="2410" w:type="dxa"/>
            <w:vAlign w:val="center"/>
          </w:tcPr>
          <w:p w14:paraId="47BB250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0.90 (0.70, 1.20)</w:t>
            </w:r>
          </w:p>
        </w:tc>
        <w:tc>
          <w:tcPr>
            <w:tcW w:w="2835" w:type="dxa"/>
            <w:vAlign w:val="center"/>
          </w:tcPr>
          <w:p w14:paraId="2D85AD1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0.90 (0.70, 1.10)</w:t>
            </w:r>
          </w:p>
        </w:tc>
        <w:tc>
          <w:tcPr>
            <w:tcW w:w="2409" w:type="dxa"/>
            <w:vAlign w:val="center"/>
          </w:tcPr>
          <w:p w14:paraId="098C415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1.00 (0.80, 1.40)</w:t>
            </w:r>
          </w:p>
        </w:tc>
        <w:tc>
          <w:tcPr>
            <w:tcW w:w="934" w:type="dxa"/>
            <w:vAlign w:val="center"/>
          </w:tcPr>
          <w:p w14:paraId="0A3B4EB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78BBE55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4C04830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Bicarbonate (mmol/L)</w:t>
            </w:r>
          </w:p>
        </w:tc>
        <w:tc>
          <w:tcPr>
            <w:tcW w:w="2410" w:type="dxa"/>
            <w:vAlign w:val="center"/>
          </w:tcPr>
          <w:p w14:paraId="46D8500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22.00 (20.00, 24.00)</w:t>
            </w:r>
          </w:p>
        </w:tc>
        <w:tc>
          <w:tcPr>
            <w:tcW w:w="2835" w:type="dxa"/>
            <w:vAlign w:val="center"/>
          </w:tcPr>
          <w:p w14:paraId="6932F3D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23.00 (21.00, 25.00)</w:t>
            </w:r>
          </w:p>
        </w:tc>
        <w:tc>
          <w:tcPr>
            <w:tcW w:w="2409" w:type="dxa"/>
            <w:vAlign w:val="center"/>
          </w:tcPr>
          <w:p w14:paraId="6E21296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22.00 (20.00, 24.00)</w:t>
            </w:r>
          </w:p>
        </w:tc>
        <w:tc>
          <w:tcPr>
            <w:tcW w:w="934" w:type="dxa"/>
            <w:vAlign w:val="center"/>
          </w:tcPr>
          <w:p w14:paraId="7519D4E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66F32CF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B59C7A4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Sodium (mmol/L)</w:t>
            </w:r>
          </w:p>
        </w:tc>
        <w:tc>
          <w:tcPr>
            <w:tcW w:w="2410" w:type="dxa"/>
            <w:vAlign w:val="center"/>
          </w:tcPr>
          <w:p w14:paraId="1903D87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139.00 (137.00, 142.00)</w:t>
            </w:r>
          </w:p>
        </w:tc>
        <w:tc>
          <w:tcPr>
            <w:tcW w:w="2835" w:type="dxa"/>
            <w:vAlign w:val="center"/>
          </w:tcPr>
          <w:p w14:paraId="5BE6829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139.00 (137.00, 142.00)</w:t>
            </w:r>
          </w:p>
        </w:tc>
        <w:tc>
          <w:tcPr>
            <w:tcW w:w="2409" w:type="dxa"/>
            <w:vAlign w:val="center"/>
          </w:tcPr>
          <w:p w14:paraId="357DDDE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139.00 (136.00, 142.00)</w:t>
            </w:r>
          </w:p>
        </w:tc>
        <w:tc>
          <w:tcPr>
            <w:tcW w:w="934" w:type="dxa"/>
            <w:vAlign w:val="center"/>
          </w:tcPr>
          <w:p w14:paraId="4248C43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0.670</w:t>
            </w:r>
          </w:p>
        </w:tc>
      </w:tr>
      <w:tr w14:paraId="7B502FA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A10662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Chloride (mmol/L)</w:t>
            </w:r>
          </w:p>
        </w:tc>
        <w:tc>
          <w:tcPr>
            <w:tcW w:w="2410" w:type="dxa"/>
            <w:vAlign w:val="center"/>
          </w:tcPr>
          <w:p w14:paraId="40C0F74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104.00 (101.00, 107.00)</w:t>
            </w:r>
          </w:p>
        </w:tc>
        <w:tc>
          <w:tcPr>
            <w:tcW w:w="2835" w:type="dxa"/>
            <w:vAlign w:val="center"/>
          </w:tcPr>
          <w:p w14:paraId="1269FC5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104.00 (101.00, 107.00)</w:t>
            </w:r>
          </w:p>
        </w:tc>
        <w:tc>
          <w:tcPr>
            <w:tcW w:w="2409" w:type="dxa"/>
            <w:vAlign w:val="center"/>
          </w:tcPr>
          <w:p w14:paraId="404DBEA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104.00 (100.00, 107.00)</w:t>
            </w:r>
          </w:p>
        </w:tc>
        <w:tc>
          <w:tcPr>
            <w:tcW w:w="934" w:type="dxa"/>
            <w:vAlign w:val="center"/>
          </w:tcPr>
          <w:p w14:paraId="6CEE006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0.042</w:t>
            </w:r>
          </w:p>
        </w:tc>
      </w:tr>
      <w:tr w14:paraId="4678A83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E40398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Potassium (mmol/L)</w:t>
            </w:r>
          </w:p>
        </w:tc>
        <w:tc>
          <w:tcPr>
            <w:tcW w:w="2410" w:type="dxa"/>
            <w:vAlign w:val="center"/>
          </w:tcPr>
          <w:p w14:paraId="0571B80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4.10 (3.80, 4.50)</w:t>
            </w:r>
          </w:p>
        </w:tc>
        <w:tc>
          <w:tcPr>
            <w:tcW w:w="2835" w:type="dxa"/>
            <w:vAlign w:val="center"/>
          </w:tcPr>
          <w:p w14:paraId="5D91EEB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4.10 (3.70, 4.40)</w:t>
            </w:r>
          </w:p>
        </w:tc>
        <w:tc>
          <w:tcPr>
            <w:tcW w:w="2409" w:type="dxa"/>
            <w:vAlign w:val="center"/>
          </w:tcPr>
          <w:p w14:paraId="3BD1B6A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4.20 (3.80, 4.60)</w:t>
            </w:r>
          </w:p>
        </w:tc>
        <w:tc>
          <w:tcPr>
            <w:tcW w:w="934" w:type="dxa"/>
            <w:vAlign w:val="center"/>
          </w:tcPr>
          <w:p w14:paraId="6F9C35C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6DD8DCF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DD905F1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Magnesium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(mmol/L)</w:t>
            </w:r>
          </w:p>
        </w:tc>
        <w:tc>
          <w:tcPr>
            <w:tcW w:w="2410" w:type="dxa"/>
            <w:vAlign w:val="center"/>
          </w:tcPr>
          <w:p w14:paraId="7DEFBB0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1.90 (1.80, 2.10)</w:t>
            </w:r>
          </w:p>
        </w:tc>
        <w:tc>
          <w:tcPr>
            <w:tcW w:w="2835" w:type="dxa"/>
            <w:vAlign w:val="center"/>
          </w:tcPr>
          <w:p w14:paraId="14DECC4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1.90 (1.80, 2.10)</w:t>
            </w:r>
          </w:p>
        </w:tc>
        <w:tc>
          <w:tcPr>
            <w:tcW w:w="2409" w:type="dxa"/>
            <w:vAlign w:val="center"/>
          </w:tcPr>
          <w:p w14:paraId="0C36AE4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1.90 (1.80, 2.10)</w:t>
            </w:r>
          </w:p>
        </w:tc>
        <w:tc>
          <w:tcPr>
            <w:tcW w:w="934" w:type="dxa"/>
            <w:vAlign w:val="center"/>
          </w:tcPr>
          <w:p w14:paraId="4D62BFC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0.932</w:t>
            </w:r>
          </w:p>
        </w:tc>
      </w:tr>
      <w:tr w14:paraId="57F4E1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3A26C7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Calcium (mmol/L)</w:t>
            </w:r>
          </w:p>
        </w:tc>
        <w:tc>
          <w:tcPr>
            <w:tcW w:w="2410" w:type="dxa"/>
            <w:vAlign w:val="center"/>
          </w:tcPr>
          <w:p w14:paraId="3FDCF23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8.70 (8.30, 9.10)</w:t>
            </w:r>
          </w:p>
        </w:tc>
        <w:tc>
          <w:tcPr>
            <w:tcW w:w="2835" w:type="dxa"/>
            <w:vAlign w:val="center"/>
          </w:tcPr>
          <w:p w14:paraId="115E856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8.80 (8.40, 9.20)</w:t>
            </w:r>
          </w:p>
        </w:tc>
        <w:tc>
          <w:tcPr>
            <w:tcW w:w="2409" w:type="dxa"/>
            <w:vAlign w:val="center"/>
          </w:tcPr>
          <w:p w14:paraId="4FE97C4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8.60 (8.10, 9.10)</w:t>
            </w:r>
          </w:p>
        </w:tc>
        <w:tc>
          <w:tcPr>
            <w:tcW w:w="934" w:type="dxa"/>
            <w:vAlign w:val="center"/>
          </w:tcPr>
          <w:p w14:paraId="6413757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3DDE6A3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132" w:type="dxa"/>
            <w:gridSpan w:val="5"/>
            <w:vAlign w:val="center"/>
          </w:tcPr>
          <w:p w14:paraId="355441C0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Treatments and medications, n (%)</w:t>
            </w:r>
          </w:p>
        </w:tc>
      </w:tr>
      <w:tr w14:paraId="7789143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89D035E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Aspirin</w:t>
            </w:r>
          </w:p>
        </w:tc>
        <w:tc>
          <w:tcPr>
            <w:tcW w:w="2410" w:type="dxa"/>
            <w:vAlign w:val="center"/>
          </w:tcPr>
          <w:p w14:paraId="692C85A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1426 (71.3)</w:t>
            </w:r>
          </w:p>
        </w:tc>
        <w:tc>
          <w:tcPr>
            <w:tcW w:w="2835" w:type="dxa"/>
            <w:vAlign w:val="center"/>
          </w:tcPr>
          <w:p w14:paraId="6B47EA5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858 (72.7)</w:t>
            </w:r>
          </w:p>
        </w:tc>
        <w:tc>
          <w:tcPr>
            <w:tcW w:w="2409" w:type="dxa"/>
            <w:vAlign w:val="center"/>
          </w:tcPr>
          <w:p w14:paraId="20C5CB4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568 (69.4)</w:t>
            </w:r>
          </w:p>
        </w:tc>
        <w:tc>
          <w:tcPr>
            <w:tcW w:w="934" w:type="dxa"/>
          </w:tcPr>
          <w:p w14:paraId="38DAE03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0.131</w:t>
            </w:r>
          </w:p>
        </w:tc>
      </w:tr>
      <w:tr w14:paraId="447FA5B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0D8C84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Clopidogrel</w:t>
            </w:r>
          </w:p>
        </w:tc>
        <w:tc>
          <w:tcPr>
            <w:tcW w:w="2410" w:type="dxa"/>
            <w:vAlign w:val="center"/>
          </w:tcPr>
          <w:p w14:paraId="5425C32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409 (20.5)</w:t>
            </w:r>
          </w:p>
        </w:tc>
        <w:tc>
          <w:tcPr>
            <w:tcW w:w="2835" w:type="dxa"/>
            <w:vAlign w:val="center"/>
          </w:tcPr>
          <w:p w14:paraId="497AE5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252 (21.3)</w:t>
            </w:r>
          </w:p>
        </w:tc>
        <w:tc>
          <w:tcPr>
            <w:tcW w:w="2409" w:type="dxa"/>
            <w:vAlign w:val="center"/>
          </w:tcPr>
          <w:p w14:paraId="32C0D64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157 (19.2)</w:t>
            </w:r>
          </w:p>
        </w:tc>
        <w:tc>
          <w:tcPr>
            <w:tcW w:w="934" w:type="dxa"/>
          </w:tcPr>
          <w:p w14:paraId="65332FC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0.266</w:t>
            </w:r>
          </w:p>
        </w:tc>
      </w:tr>
      <w:tr w14:paraId="719E720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006162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Statins</w:t>
            </w:r>
          </w:p>
        </w:tc>
        <w:tc>
          <w:tcPr>
            <w:tcW w:w="2410" w:type="dxa"/>
            <w:vAlign w:val="center"/>
          </w:tcPr>
          <w:p w14:paraId="338B518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1463 (73.2)</w:t>
            </w:r>
          </w:p>
        </w:tc>
        <w:tc>
          <w:tcPr>
            <w:tcW w:w="2835" w:type="dxa"/>
            <w:vAlign w:val="center"/>
          </w:tcPr>
          <w:p w14:paraId="3E1B4CB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887 (75.1)</w:t>
            </w:r>
          </w:p>
        </w:tc>
        <w:tc>
          <w:tcPr>
            <w:tcW w:w="2409" w:type="dxa"/>
            <w:vAlign w:val="center"/>
          </w:tcPr>
          <w:p w14:paraId="3E5F99C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576 (70.4)</w:t>
            </w:r>
          </w:p>
        </w:tc>
        <w:tc>
          <w:tcPr>
            <w:tcW w:w="934" w:type="dxa"/>
          </w:tcPr>
          <w:p w14:paraId="28DEDB3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</w:tr>
      <w:tr w14:paraId="2CFA75A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689A7AC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Epinephrine</w:t>
            </w:r>
          </w:p>
        </w:tc>
        <w:tc>
          <w:tcPr>
            <w:tcW w:w="2410" w:type="dxa"/>
            <w:vAlign w:val="center"/>
          </w:tcPr>
          <w:p w14:paraId="14CCDD5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 (3.5)</w:t>
            </w:r>
          </w:p>
        </w:tc>
        <w:tc>
          <w:tcPr>
            <w:tcW w:w="2835" w:type="dxa"/>
            <w:vAlign w:val="center"/>
          </w:tcPr>
          <w:p w14:paraId="7E33B59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30 (2.5)</w:t>
            </w:r>
          </w:p>
        </w:tc>
        <w:tc>
          <w:tcPr>
            <w:tcW w:w="2409" w:type="dxa"/>
            <w:vAlign w:val="center"/>
          </w:tcPr>
          <w:p w14:paraId="2F228C1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40 (4.9)</w:t>
            </w:r>
          </w:p>
        </w:tc>
        <w:tc>
          <w:tcPr>
            <w:tcW w:w="934" w:type="dxa"/>
          </w:tcPr>
          <w:p w14:paraId="198EF97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14:paraId="54E364A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F80B1AF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Norepinephrine</w:t>
            </w:r>
          </w:p>
        </w:tc>
        <w:tc>
          <w:tcPr>
            <w:tcW w:w="2410" w:type="dxa"/>
            <w:vAlign w:val="center"/>
          </w:tcPr>
          <w:p w14:paraId="5F77295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275 (13.8)</w:t>
            </w:r>
          </w:p>
        </w:tc>
        <w:tc>
          <w:tcPr>
            <w:tcW w:w="2835" w:type="dxa"/>
            <w:vAlign w:val="center"/>
          </w:tcPr>
          <w:p w14:paraId="7EBEC7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102 (8.6)</w:t>
            </w:r>
          </w:p>
        </w:tc>
        <w:tc>
          <w:tcPr>
            <w:tcW w:w="2409" w:type="dxa"/>
            <w:vAlign w:val="center"/>
          </w:tcPr>
          <w:p w14:paraId="2FAFEBD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173 (21.1)</w:t>
            </w:r>
          </w:p>
        </w:tc>
        <w:tc>
          <w:tcPr>
            <w:tcW w:w="934" w:type="dxa"/>
          </w:tcPr>
          <w:p w14:paraId="44B07D8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751A9D3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2995853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Phenylephrine</w:t>
            </w:r>
          </w:p>
        </w:tc>
        <w:tc>
          <w:tcPr>
            <w:tcW w:w="2410" w:type="dxa"/>
            <w:vAlign w:val="center"/>
          </w:tcPr>
          <w:p w14:paraId="3931F64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158 (7.9)</w:t>
            </w:r>
          </w:p>
        </w:tc>
        <w:tc>
          <w:tcPr>
            <w:tcW w:w="2835" w:type="dxa"/>
            <w:vAlign w:val="center"/>
          </w:tcPr>
          <w:p w14:paraId="512CC63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82 (6.9)</w:t>
            </w:r>
          </w:p>
        </w:tc>
        <w:tc>
          <w:tcPr>
            <w:tcW w:w="2409" w:type="dxa"/>
            <w:vAlign w:val="center"/>
          </w:tcPr>
          <w:p w14:paraId="60815B2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76 (9.3)</w:t>
            </w:r>
          </w:p>
        </w:tc>
        <w:tc>
          <w:tcPr>
            <w:tcW w:w="934" w:type="dxa"/>
          </w:tcPr>
          <w:p w14:paraId="05164B5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0.067</w:t>
            </w:r>
          </w:p>
        </w:tc>
      </w:tr>
      <w:tr w14:paraId="6397F36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190DF6A3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Vasopressin</w:t>
            </w:r>
          </w:p>
        </w:tc>
        <w:tc>
          <w:tcPr>
            <w:tcW w:w="2410" w:type="dxa"/>
            <w:vAlign w:val="center"/>
          </w:tcPr>
          <w:p w14:paraId="307E891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99 (5.0)</w:t>
            </w:r>
          </w:p>
        </w:tc>
        <w:tc>
          <w:tcPr>
            <w:tcW w:w="2835" w:type="dxa"/>
            <w:vAlign w:val="center"/>
          </w:tcPr>
          <w:p w14:paraId="0BAE240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30 (2.5)</w:t>
            </w:r>
          </w:p>
        </w:tc>
        <w:tc>
          <w:tcPr>
            <w:tcW w:w="2409" w:type="dxa"/>
            <w:vAlign w:val="center"/>
          </w:tcPr>
          <w:p w14:paraId="479A6B9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69 (8.4)</w:t>
            </w:r>
          </w:p>
        </w:tc>
        <w:tc>
          <w:tcPr>
            <w:tcW w:w="934" w:type="dxa"/>
          </w:tcPr>
          <w:p w14:paraId="3268147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4AE2565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761821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Milrinone</w:t>
            </w:r>
          </w:p>
        </w:tc>
        <w:tc>
          <w:tcPr>
            <w:tcW w:w="2410" w:type="dxa"/>
            <w:vAlign w:val="center"/>
          </w:tcPr>
          <w:p w14:paraId="7030B42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23 (1.2)</w:t>
            </w:r>
          </w:p>
        </w:tc>
        <w:tc>
          <w:tcPr>
            <w:tcW w:w="2835" w:type="dxa"/>
            <w:vAlign w:val="center"/>
          </w:tcPr>
          <w:p w14:paraId="338451C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 (0.6)</w:t>
            </w:r>
          </w:p>
        </w:tc>
        <w:tc>
          <w:tcPr>
            <w:tcW w:w="2409" w:type="dxa"/>
            <w:vAlign w:val="center"/>
          </w:tcPr>
          <w:p w14:paraId="3059B3B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16 (2.0)</w:t>
            </w:r>
          </w:p>
        </w:tc>
        <w:tc>
          <w:tcPr>
            <w:tcW w:w="934" w:type="dxa"/>
          </w:tcPr>
          <w:p w14:paraId="76FEF969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0.009</w:t>
            </w:r>
          </w:p>
        </w:tc>
      </w:tr>
      <w:tr w14:paraId="6BC5577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81650D8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Invasive ventilation</w:t>
            </w:r>
          </w:p>
        </w:tc>
        <w:tc>
          <w:tcPr>
            <w:tcW w:w="2410" w:type="dxa"/>
            <w:vAlign w:val="center"/>
          </w:tcPr>
          <w:p w14:paraId="7B9380C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619 (31.0)</w:t>
            </w:r>
          </w:p>
        </w:tc>
        <w:tc>
          <w:tcPr>
            <w:tcW w:w="2835" w:type="dxa"/>
            <w:vAlign w:val="center"/>
          </w:tcPr>
          <w:p w14:paraId="54EF879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250 (21.2)</w:t>
            </w:r>
          </w:p>
        </w:tc>
        <w:tc>
          <w:tcPr>
            <w:tcW w:w="2409" w:type="dxa"/>
            <w:vAlign w:val="center"/>
          </w:tcPr>
          <w:p w14:paraId="49CB67E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369 (45.1)</w:t>
            </w:r>
          </w:p>
        </w:tc>
        <w:tc>
          <w:tcPr>
            <w:tcW w:w="934" w:type="dxa"/>
          </w:tcPr>
          <w:p w14:paraId="28095CA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3848D55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0CBA081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CRRT</w:t>
            </w:r>
          </w:p>
        </w:tc>
        <w:tc>
          <w:tcPr>
            <w:tcW w:w="2410" w:type="dxa"/>
            <w:vAlign w:val="center"/>
          </w:tcPr>
          <w:p w14:paraId="257642D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63 (3.2)</w:t>
            </w:r>
          </w:p>
        </w:tc>
        <w:tc>
          <w:tcPr>
            <w:tcW w:w="2835" w:type="dxa"/>
            <w:vAlign w:val="center"/>
          </w:tcPr>
          <w:p w14:paraId="7D5B32E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 (0.4)</w:t>
            </w:r>
          </w:p>
        </w:tc>
        <w:tc>
          <w:tcPr>
            <w:tcW w:w="2409" w:type="dxa"/>
            <w:vAlign w:val="center"/>
          </w:tcPr>
          <w:p w14:paraId="038AA52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58 (7.1)</w:t>
            </w:r>
          </w:p>
        </w:tc>
        <w:tc>
          <w:tcPr>
            <w:tcW w:w="934" w:type="dxa"/>
          </w:tcPr>
          <w:p w14:paraId="13A4463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7896AAE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D2E61C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RRT</w:t>
            </w:r>
          </w:p>
        </w:tc>
        <w:tc>
          <w:tcPr>
            <w:tcW w:w="2410" w:type="dxa"/>
            <w:vAlign w:val="center"/>
          </w:tcPr>
          <w:p w14:paraId="38A62BDB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87 (4.4)</w:t>
            </w:r>
          </w:p>
        </w:tc>
        <w:tc>
          <w:tcPr>
            <w:tcW w:w="2835" w:type="dxa"/>
            <w:vAlign w:val="center"/>
          </w:tcPr>
          <w:p w14:paraId="7AE2D4C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 (1.0)</w:t>
            </w:r>
          </w:p>
        </w:tc>
        <w:tc>
          <w:tcPr>
            <w:tcW w:w="2409" w:type="dxa"/>
            <w:vAlign w:val="center"/>
          </w:tcPr>
          <w:p w14:paraId="1327C4E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75 (9.2)</w:t>
            </w:r>
          </w:p>
        </w:tc>
        <w:tc>
          <w:tcPr>
            <w:tcW w:w="934" w:type="dxa"/>
          </w:tcPr>
          <w:p w14:paraId="5160DE6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225CA32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4727464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IVT</w:t>
            </w:r>
          </w:p>
        </w:tc>
        <w:tc>
          <w:tcPr>
            <w:tcW w:w="2410" w:type="dxa"/>
            <w:vAlign w:val="center"/>
          </w:tcPr>
          <w:p w14:paraId="7FD8D663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208 (10.4)</w:t>
            </w:r>
          </w:p>
        </w:tc>
        <w:tc>
          <w:tcPr>
            <w:tcW w:w="2835" w:type="dxa"/>
            <w:vAlign w:val="center"/>
          </w:tcPr>
          <w:p w14:paraId="54875C1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76 (6.4)</w:t>
            </w:r>
          </w:p>
        </w:tc>
        <w:tc>
          <w:tcPr>
            <w:tcW w:w="2409" w:type="dxa"/>
            <w:vAlign w:val="center"/>
          </w:tcPr>
          <w:p w14:paraId="1A7D2A3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132 (16.1)</w:t>
            </w:r>
          </w:p>
        </w:tc>
        <w:tc>
          <w:tcPr>
            <w:tcW w:w="934" w:type="dxa"/>
          </w:tcPr>
          <w:p w14:paraId="2AB5BE6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12E92A4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6ED199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EVT</w:t>
            </w:r>
          </w:p>
        </w:tc>
        <w:tc>
          <w:tcPr>
            <w:tcW w:w="2410" w:type="dxa"/>
            <w:vAlign w:val="center"/>
          </w:tcPr>
          <w:p w14:paraId="359CB9A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140 (7.0)</w:t>
            </w:r>
          </w:p>
        </w:tc>
        <w:tc>
          <w:tcPr>
            <w:tcW w:w="2835" w:type="dxa"/>
            <w:vAlign w:val="center"/>
          </w:tcPr>
          <w:p w14:paraId="5D5E655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115 (9.7)</w:t>
            </w:r>
          </w:p>
        </w:tc>
        <w:tc>
          <w:tcPr>
            <w:tcW w:w="2409" w:type="dxa"/>
            <w:vAlign w:val="center"/>
          </w:tcPr>
          <w:p w14:paraId="3EC4202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25 (3.1)</w:t>
            </w:r>
          </w:p>
        </w:tc>
        <w:tc>
          <w:tcPr>
            <w:tcW w:w="934" w:type="dxa"/>
          </w:tcPr>
          <w:p w14:paraId="0F1FC17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60B79D4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1132" w:type="dxa"/>
            <w:gridSpan w:val="5"/>
            <w:vAlign w:val="center"/>
          </w:tcPr>
          <w:p w14:paraId="4532A623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 scores</w:t>
            </w:r>
          </w:p>
        </w:tc>
      </w:tr>
      <w:tr w14:paraId="3CF3015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7F1ABCFB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APS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Ⅲ</w:t>
            </w:r>
          </w:p>
        </w:tc>
        <w:tc>
          <w:tcPr>
            <w:tcW w:w="2410" w:type="dxa"/>
            <w:vAlign w:val="center"/>
          </w:tcPr>
          <w:p w14:paraId="689E89B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36.00 (26.00, 49.00)</w:t>
            </w:r>
          </w:p>
        </w:tc>
        <w:tc>
          <w:tcPr>
            <w:tcW w:w="2835" w:type="dxa"/>
            <w:vAlign w:val="center"/>
          </w:tcPr>
          <w:p w14:paraId="4024469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33.00 (25.00, 44.00)</w:t>
            </w:r>
          </w:p>
        </w:tc>
        <w:tc>
          <w:tcPr>
            <w:tcW w:w="2409" w:type="dxa"/>
            <w:vAlign w:val="center"/>
          </w:tcPr>
          <w:p w14:paraId="28DBEF7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41.00 (30.00, 54.75)</w:t>
            </w:r>
          </w:p>
        </w:tc>
        <w:tc>
          <w:tcPr>
            <w:tcW w:w="934" w:type="dxa"/>
          </w:tcPr>
          <w:p w14:paraId="328053C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14:paraId="68419AE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5187177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GCS</w:t>
            </w:r>
          </w:p>
        </w:tc>
        <w:tc>
          <w:tcPr>
            <w:tcW w:w="2410" w:type="dxa"/>
            <w:vAlign w:val="center"/>
          </w:tcPr>
          <w:p w14:paraId="0345DC17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15.00 (14.00, 15.00)</w:t>
            </w:r>
          </w:p>
        </w:tc>
        <w:tc>
          <w:tcPr>
            <w:tcW w:w="2835" w:type="dxa"/>
            <w:vAlign w:val="center"/>
          </w:tcPr>
          <w:p w14:paraId="0BA2A3D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15.00 (14.00, 15.00)</w:t>
            </w:r>
          </w:p>
        </w:tc>
        <w:tc>
          <w:tcPr>
            <w:tcW w:w="2409" w:type="dxa"/>
            <w:vAlign w:val="center"/>
          </w:tcPr>
          <w:p w14:paraId="637185C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15.00 (14.00, 15.00)</w:t>
            </w:r>
          </w:p>
        </w:tc>
        <w:tc>
          <w:tcPr>
            <w:tcW w:w="934" w:type="dxa"/>
            <w:vAlign w:val="center"/>
          </w:tcPr>
          <w:p w14:paraId="44F9C8B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0.874</w:t>
            </w:r>
          </w:p>
        </w:tc>
      </w:tr>
      <w:tr w14:paraId="1DB0C28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37E160B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LODS</w:t>
            </w:r>
          </w:p>
        </w:tc>
        <w:tc>
          <w:tcPr>
            <w:tcW w:w="2410" w:type="dxa"/>
            <w:vAlign w:val="center"/>
          </w:tcPr>
          <w:p w14:paraId="1CB4623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3.00 (1.00, 5.00)</w:t>
            </w:r>
          </w:p>
        </w:tc>
        <w:tc>
          <w:tcPr>
            <w:tcW w:w="2835" w:type="dxa"/>
            <w:vAlign w:val="center"/>
          </w:tcPr>
          <w:p w14:paraId="1321401C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2.00 (1.00, 4.00)</w:t>
            </w:r>
          </w:p>
        </w:tc>
        <w:tc>
          <w:tcPr>
            <w:tcW w:w="2409" w:type="dxa"/>
            <w:vAlign w:val="center"/>
          </w:tcPr>
          <w:p w14:paraId="534EBFD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4.00 (2.00, 7.00)</w:t>
            </w:r>
          </w:p>
        </w:tc>
        <w:tc>
          <w:tcPr>
            <w:tcW w:w="934" w:type="dxa"/>
            <w:vAlign w:val="center"/>
          </w:tcPr>
          <w:p w14:paraId="2DBBE2E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29A63B2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21240785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OASIS</w:t>
            </w:r>
          </w:p>
        </w:tc>
        <w:tc>
          <w:tcPr>
            <w:tcW w:w="2410" w:type="dxa"/>
            <w:vAlign w:val="center"/>
          </w:tcPr>
          <w:p w14:paraId="07DBDF2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31.00 (25.00, 37.00)</w:t>
            </w:r>
          </w:p>
        </w:tc>
        <w:tc>
          <w:tcPr>
            <w:tcW w:w="2835" w:type="dxa"/>
            <w:vAlign w:val="center"/>
          </w:tcPr>
          <w:p w14:paraId="4631857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29.00 (24.00, 35.00)</w:t>
            </w:r>
          </w:p>
        </w:tc>
        <w:tc>
          <w:tcPr>
            <w:tcW w:w="2409" w:type="dxa"/>
            <w:vAlign w:val="center"/>
          </w:tcPr>
          <w:p w14:paraId="315305A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33.00 (27.00, 39.00)</w:t>
            </w:r>
          </w:p>
        </w:tc>
        <w:tc>
          <w:tcPr>
            <w:tcW w:w="934" w:type="dxa"/>
            <w:vAlign w:val="center"/>
          </w:tcPr>
          <w:p w14:paraId="67C94E8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17EFFE98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938657D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SOFA</w:t>
            </w:r>
          </w:p>
        </w:tc>
        <w:tc>
          <w:tcPr>
            <w:tcW w:w="2410" w:type="dxa"/>
            <w:vAlign w:val="center"/>
          </w:tcPr>
          <w:p w14:paraId="054131F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1.00 (0.00, 2.00)</w:t>
            </w:r>
          </w:p>
        </w:tc>
        <w:tc>
          <w:tcPr>
            <w:tcW w:w="2835" w:type="dxa"/>
            <w:vAlign w:val="center"/>
          </w:tcPr>
          <w:p w14:paraId="0F9FD5D1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0.00 (0.00, 2.00)</w:t>
            </w:r>
          </w:p>
        </w:tc>
        <w:tc>
          <w:tcPr>
            <w:tcW w:w="2409" w:type="dxa"/>
            <w:vAlign w:val="center"/>
          </w:tcPr>
          <w:p w14:paraId="35645D1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1.00 (0.00, 2.00)</w:t>
            </w:r>
          </w:p>
        </w:tc>
        <w:tc>
          <w:tcPr>
            <w:tcW w:w="934" w:type="dxa"/>
            <w:vAlign w:val="center"/>
          </w:tcPr>
          <w:p w14:paraId="22D3C4B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75BC171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544" w:type="dxa"/>
            <w:vAlign w:val="center"/>
          </w:tcPr>
          <w:p w14:paraId="6D06DC57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SAPS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  <w:tc>
          <w:tcPr>
            <w:tcW w:w="2410" w:type="dxa"/>
            <w:vAlign w:val="center"/>
          </w:tcPr>
          <w:p w14:paraId="102E4A8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33.00 (25.00, 42.00)</w:t>
            </w:r>
          </w:p>
        </w:tc>
        <w:tc>
          <w:tcPr>
            <w:tcW w:w="2835" w:type="dxa"/>
            <w:vAlign w:val="center"/>
          </w:tcPr>
          <w:p w14:paraId="356BAE80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31.00 (24.00, 39.00)</w:t>
            </w:r>
          </w:p>
        </w:tc>
        <w:tc>
          <w:tcPr>
            <w:tcW w:w="2409" w:type="dxa"/>
            <w:vAlign w:val="center"/>
          </w:tcPr>
          <w:p w14:paraId="51BE440E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36.00 (27.00, 46.00)</w:t>
            </w:r>
          </w:p>
        </w:tc>
        <w:tc>
          <w:tcPr>
            <w:tcW w:w="934" w:type="dxa"/>
            <w:vAlign w:val="center"/>
          </w:tcPr>
          <w:p w14:paraId="0A215DC2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56DB83F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44" w:type="dxa"/>
            <w:vAlign w:val="center"/>
          </w:tcPr>
          <w:p w14:paraId="4BCDD279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SIRS</w:t>
            </w:r>
          </w:p>
        </w:tc>
        <w:tc>
          <w:tcPr>
            <w:tcW w:w="2410" w:type="dxa"/>
            <w:vAlign w:val="center"/>
          </w:tcPr>
          <w:p w14:paraId="0217842D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2.00 (2.00, 3.00)</w:t>
            </w:r>
          </w:p>
        </w:tc>
        <w:tc>
          <w:tcPr>
            <w:tcW w:w="2835" w:type="dxa"/>
            <w:vAlign w:val="center"/>
          </w:tcPr>
          <w:p w14:paraId="7975BDB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2.00 (1.00, 3.00)</w:t>
            </w:r>
          </w:p>
        </w:tc>
        <w:tc>
          <w:tcPr>
            <w:tcW w:w="2409" w:type="dxa"/>
            <w:vAlign w:val="center"/>
          </w:tcPr>
          <w:p w14:paraId="0CD9447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2.00 (2.00, 3.00)</w:t>
            </w:r>
          </w:p>
        </w:tc>
        <w:tc>
          <w:tcPr>
            <w:tcW w:w="934" w:type="dxa"/>
            <w:vAlign w:val="center"/>
          </w:tcPr>
          <w:p w14:paraId="26D8886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32D3A40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32" w:type="dxa"/>
            <w:gridSpan w:val="5"/>
            <w:vAlign w:val="center"/>
          </w:tcPr>
          <w:p w14:paraId="1D49C9E9">
            <w:pPr>
              <w:widowControl/>
              <w:spacing w:after="0" w:line="240" w:lineRule="auto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Outcome</w:t>
            </w:r>
          </w:p>
        </w:tc>
      </w:tr>
      <w:tr w14:paraId="5658265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44" w:type="dxa"/>
            <w:vAlign w:val="center"/>
          </w:tcPr>
          <w:p w14:paraId="40ADE238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Length of stay in hospital</w:t>
            </w:r>
          </w:p>
        </w:tc>
        <w:tc>
          <w:tcPr>
            <w:tcW w:w="2410" w:type="dxa"/>
            <w:vAlign w:val="center"/>
          </w:tcPr>
          <w:p w14:paraId="69CC6298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7.57 (4.00, 13.93)</w:t>
            </w:r>
          </w:p>
        </w:tc>
        <w:tc>
          <w:tcPr>
            <w:tcW w:w="2835" w:type="dxa"/>
            <w:vAlign w:val="center"/>
          </w:tcPr>
          <w:p w14:paraId="60EF62C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6.36 (3.73, 11.20)</w:t>
            </w:r>
          </w:p>
        </w:tc>
        <w:tc>
          <w:tcPr>
            <w:tcW w:w="2409" w:type="dxa"/>
            <w:vAlign w:val="center"/>
          </w:tcPr>
          <w:p w14:paraId="5AACFB9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9.28 (5.08, 17.65)</w:t>
            </w:r>
          </w:p>
        </w:tc>
        <w:tc>
          <w:tcPr>
            <w:tcW w:w="934" w:type="dxa"/>
            <w:vAlign w:val="center"/>
          </w:tcPr>
          <w:p w14:paraId="393C38B4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4819BA2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44" w:type="dxa"/>
            <w:vAlign w:val="center"/>
          </w:tcPr>
          <w:p w14:paraId="76F726C8">
            <w:pPr>
              <w:widowControl/>
              <w:spacing w:after="0" w:line="240" w:lineRule="auto"/>
              <w:jc w:val="both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14:ligatures w14:val="none"/>
              </w:rPr>
              <w:t>Length of stay in ICU</w:t>
            </w:r>
          </w:p>
        </w:tc>
        <w:tc>
          <w:tcPr>
            <w:tcW w:w="2410" w:type="dxa"/>
            <w:vAlign w:val="center"/>
          </w:tcPr>
          <w:p w14:paraId="0297B9E6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3.55 (1.94, 6.80)</w:t>
            </w:r>
          </w:p>
        </w:tc>
        <w:tc>
          <w:tcPr>
            <w:tcW w:w="2835" w:type="dxa"/>
            <w:vAlign w:val="center"/>
          </w:tcPr>
          <w:p w14:paraId="11C36E1F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3.05 (1.81, 5.28)</w:t>
            </w:r>
          </w:p>
        </w:tc>
        <w:tc>
          <w:tcPr>
            <w:tcW w:w="2409" w:type="dxa"/>
            <w:vAlign w:val="center"/>
          </w:tcPr>
          <w:p w14:paraId="11644C45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4.84 (2.34, 9.62)</w:t>
            </w:r>
          </w:p>
        </w:tc>
        <w:tc>
          <w:tcPr>
            <w:tcW w:w="934" w:type="dxa"/>
            <w:vAlign w:val="center"/>
          </w:tcPr>
          <w:p w14:paraId="4FCEB59A">
            <w:pPr>
              <w:widowControl/>
              <w:spacing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4FF4397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Categorical variables are presented as counts (percentages). Continuous variables are expressed as median (interquartile range, IQR) due to skewed distribution.</w:t>
      </w:r>
    </w:p>
    <w:p w14:paraId="751EE2F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Abbreviations:</w:t>
      </w:r>
      <w:r>
        <w:rPr>
          <w:rFonts w:hint="eastAsia" w:ascii="Times New Roman" w:hAnsi="Times New Roman" w:cs="Times New Roman"/>
          <w:sz w:val="20"/>
          <w:szCs w:val="20"/>
        </w:rPr>
        <w:t xml:space="preserve"> LDH: Lactate dehydrogenase; RR: Respiratory rate; SBP: Systolic blood pressure; DBP: Diastolic blood pressure; MAP: Mean arterial pressure; SpO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>: Saturation of peripheral oxygen; WBC: White blood cell; RBC: Red blood cell; PLT: Platelet; BUN: Blood urea nitrogen; CRRT: Continuous renal replacement therapy; RRT: Renal replacement therapy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; IVT: Intravenous thrombolysis; EVT: Endovascular thrombectomy; APS III: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Acute Physiology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III; GCS: Glasgow Coma scale; LODS: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Logistic Organ Dysfunction System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; OASIS: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Oxford Acute Severity of Illness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; SOFA: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Sequential Organ Failure Assessment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; SAPS II: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Simplified Acute Physiology Score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II; SIRS: </w:t>
      </w:r>
      <w:bookmarkStart w:id="5" w:name="_Hlk210848145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Systemic Inflammatory Response Syndrome</w:t>
      </w:r>
      <w:bookmarkEnd w:id="5"/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; ICU: Intensive care unit.</w:t>
      </w:r>
    </w:p>
    <w:p w14:paraId="6B795F6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3E8AA9">
      <w:pPr>
        <w:rPr>
          <w:rFonts w:ascii="Times New Roman" w:hAnsi="Times New Roman" w:cs="Times New Roman"/>
          <w:sz w:val="20"/>
          <w:szCs w:val="20"/>
        </w:rPr>
      </w:pPr>
    </w:p>
    <w:p w14:paraId="46A26766">
      <w:pPr>
        <w:rPr>
          <w:rFonts w:ascii="Times New Roman" w:hAnsi="Times New Roman" w:cs="Times New Roman"/>
          <w:sz w:val="20"/>
          <w:szCs w:val="20"/>
        </w:rPr>
      </w:pPr>
    </w:p>
    <w:p w14:paraId="5768ABB2">
      <w:pPr>
        <w:rPr>
          <w:rFonts w:ascii="Times New Roman" w:hAnsi="Times New Roman" w:cs="Times New Roman"/>
          <w:sz w:val="20"/>
          <w:szCs w:val="20"/>
        </w:rPr>
      </w:pPr>
    </w:p>
    <w:p w14:paraId="2455FDE0">
      <w:pPr>
        <w:rPr>
          <w:rFonts w:ascii="Times New Roman" w:hAnsi="Times New Roman" w:cs="Times New Roman"/>
          <w:sz w:val="20"/>
          <w:szCs w:val="20"/>
        </w:rPr>
        <w:sectPr>
          <w:pgSz w:w="14742" w:h="16840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5606126B">
      <w:pPr>
        <w:rPr>
          <w:rFonts w:ascii="Times New Roman" w:hAnsi="Times New Roman" w:cs="Times New Roman"/>
          <w:sz w:val="20"/>
          <w:szCs w:val="20"/>
        </w:rPr>
      </w:pPr>
    </w:p>
    <w:p w14:paraId="148F3C0A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Supplementary Figures </w:t>
      </w:r>
    </w:p>
    <w:p w14:paraId="2D24DE09">
      <w:pPr>
        <w:spacing w:after="120" w:afterLines="50" w:line="360" w:lineRule="auto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Figure S1. 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Directed acyclic graph illustrating the assumed causal structure between admission LDH (exposure) and short-term mortality (in-hospital and 30-day) in ICU patients with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IS.</w:t>
      </w:r>
    </w:p>
    <w:p w14:paraId="7A66C6BF">
      <w:pPr>
        <w:spacing w:after="120" w:afterLines="5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Abbreviations: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AF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A</w:t>
      </w:r>
      <w:r>
        <w:rPr>
          <w:rFonts w:ascii="Times New Roman" w:hAnsi="Times New Roman" w:cs="Times New Roman"/>
          <w:color w:val="EE0000"/>
          <w:sz w:val="20"/>
          <w:szCs w:val="20"/>
        </w:rPr>
        <w:t>trial fibrillation; AST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A</w:t>
      </w:r>
      <w:r>
        <w:rPr>
          <w:rFonts w:ascii="Times New Roman" w:hAnsi="Times New Roman" w:cs="Times New Roman"/>
          <w:color w:val="EE0000"/>
          <w:sz w:val="20"/>
          <w:szCs w:val="20"/>
        </w:rPr>
        <w:t>spartate aminotransferase; BUN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B</w:t>
      </w:r>
      <w:r>
        <w:rPr>
          <w:rFonts w:ascii="Times New Roman" w:hAnsi="Times New Roman" w:cs="Times New Roman"/>
          <w:color w:val="EE0000"/>
          <w:sz w:val="20"/>
          <w:szCs w:val="20"/>
        </w:rPr>
        <w:t>lood urea nitrogen; CCI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Charlson comorbidity index; CHF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C</w:t>
      </w:r>
      <w:r>
        <w:rPr>
          <w:rFonts w:ascii="Times New Roman" w:hAnsi="Times New Roman" w:cs="Times New Roman"/>
          <w:color w:val="EE0000"/>
          <w:sz w:val="20"/>
          <w:szCs w:val="20"/>
        </w:rPr>
        <w:t>ongestive heart failure; EVT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E</w:t>
      </w:r>
      <w:r>
        <w:rPr>
          <w:rFonts w:ascii="Times New Roman" w:hAnsi="Times New Roman" w:cs="Times New Roman"/>
          <w:color w:val="EE0000"/>
          <w:sz w:val="20"/>
          <w:szCs w:val="20"/>
        </w:rPr>
        <w:t>ndovascular thrombectomy; IVT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ntravenous thrombolysis;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IS: I</w:t>
      </w:r>
      <w:r>
        <w:rPr>
          <w:rFonts w:ascii="Times New Roman" w:hAnsi="Times New Roman" w:cs="Times New Roman"/>
          <w:color w:val="EE0000"/>
          <w:sz w:val="20"/>
          <w:szCs w:val="20"/>
        </w:rPr>
        <w:t>schemic stroke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EE0000"/>
          <w:sz w:val="20"/>
          <w:szCs w:val="20"/>
        </w:rPr>
        <w:t>LDH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L</w:t>
      </w:r>
      <w:r>
        <w:rPr>
          <w:rFonts w:ascii="Times New Roman" w:hAnsi="Times New Roman" w:cs="Times New Roman"/>
          <w:color w:val="EE0000"/>
          <w:sz w:val="20"/>
          <w:szCs w:val="20"/>
        </w:rPr>
        <w:t>actate dehydrogenase; MAP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M</w:t>
      </w:r>
      <w:r>
        <w:rPr>
          <w:rFonts w:ascii="Times New Roman" w:hAnsi="Times New Roman" w:cs="Times New Roman"/>
          <w:color w:val="EE0000"/>
          <w:sz w:val="20"/>
          <w:szCs w:val="20"/>
        </w:rPr>
        <w:t>ean arterial pressure; MI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M</w:t>
      </w:r>
      <w:r>
        <w:rPr>
          <w:rFonts w:ascii="Times New Roman" w:hAnsi="Times New Roman" w:cs="Times New Roman"/>
          <w:color w:val="EE0000"/>
          <w:sz w:val="20"/>
          <w:szCs w:val="20"/>
        </w:rPr>
        <w:t>yocardial infarction; RBC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>ed blood cell; RR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R</w:t>
      </w:r>
      <w:r>
        <w:rPr>
          <w:rFonts w:ascii="Times New Roman" w:hAnsi="Times New Roman" w:cs="Times New Roman"/>
          <w:color w:val="EE0000"/>
          <w:sz w:val="20"/>
          <w:szCs w:val="20"/>
        </w:rPr>
        <w:t>espiratory rate; RRT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 R</w:t>
      </w:r>
      <w:r>
        <w:rPr>
          <w:rFonts w:ascii="Times New Roman" w:hAnsi="Times New Roman" w:cs="Times New Roman"/>
          <w:color w:val="EE0000"/>
          <w:sz w:val="20"/>
          <w:szCs w:val="20"/>
        </w:rPr>
        <w:t>enal replacement therapy; SAPS II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Simplified Acute Physiology Score II; SpO</w:t>
      </w:r>
      <w:r>
        <w:rPr>
          <w:rFonts w:ascii="Times New Roman" w:hAnsi="Times New Roman" w:cs="Times New Roman"/>
          <w:color w:val="EE0000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EE0000"/>
          <w:sz w:val="20"/>
          <w:szCs w:val="20"/>
        </w:rPr>
        <w:t>: Saturation of peripheral oxygen; WBC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:</w:t>
      </w:r>
      <w:r>
        <w:rPr>
          <w:rFonts w:ascii="Times New Roman" w:hAnsi="Times New Roman" w:cs="Times New Roman"/>
          <w:color w:val="EE000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>W</w:t>
      </w:r>
      <w:r>
        <w:rPr>
          <w:rFonts w:ascii="Times New Roman" w:hAnsi="Times New Roman" w:cs="Times New Roman"/>
          <w:color w:val="EE0000"/>
          <w:sz w:val="20"/>
          <w:szCs w:val="20"/>
        </w:rPr>
        <w:t>hite blood cell.</w:t>
      </w:r>
    </w:p>
    <w:p w14:paraId="4628A069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drawing>
          <wp:inline distT="0" distB="0" distL="0" distR="0">
            <wp:extent cx="5278755" cy="4168140"/>
            <wp:effectExtent l="0" t="0" r="0" b="3810"/>
            <wp:docPr id="1678358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58357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27BC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B4D849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EAEA28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46D59B4">
      <w:pPr>
        <w:spacing w:after="120" w:afterLines="5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A076555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Figure S2. </w:t>
      </w:r>
      <w:r>
        <w:rPr>
          <w:rFonts w:ascii="Times New Roman" w:hAnsi="Times New Roman" w:cs="Times New Roman"/>
          <w:color w:val="EE0000"/>
          <w:sz w:val="20"/>
          <w:szCs w:val="20"/>
        </w:rPr>
        <w:t>LASSO-based variable selection and calibration curves for LDH models.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(A–B) LASSO variable selection for in-hospital mortality. (C–D) LASSO variable selection for 30-day mortality. (E) Calibration of continuous LDH (ln[LDH]) for in-hospital mortality at the study time point (median ICU length of stay, 9.28 days). (F) Calibration of LDH tertiles for in-hospital mortality at the same time point. (G) Calibration of continuous LDH (ln[LDH]) for 30-day mortality. (H) Calibration of LDH tertiles for 30-day mortality. In (B) and (D), vertical dotted lines indicate the λ selected by the minimum-deviance and 1-SE criteria.</w:t>
      </w:r>
    </w:p>
    <w:p w14:paraId="68C765FD">
      <w:pPr>
        <w:spacing w:after="120" w:afterLines="50" w:line="240" w:lineRule="auto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EE0000"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LASSO: Least absolute shrinkage and selection operator; LDH: Lactate dehydrogenase; ln(LDH): Natural </w:t>
      </w:r>
      <w:r>
        <w:rPr>
          <w:rFonts w:ascii="Times New Roman" w:hAnsi="Times New Roman" w:cs="Times New Roman"/>
          <w:color w:val="EE0000"/>
          <w:sz w:val="20"/>
          <w:szCs w:val="20"/>
        </w:rPr>
        <w:t>log-transformed</w:t>
      </w:r>
      <w:r>
        <w:rPr>
          <w:rFonts w:hint="eastAsia" w:ascii="Times New Roman" w:hAnsi="Times New Roman" w:cs="Times New Roman"/>
          <w:color w:val="EE0000"/>
          <w:sz w:val="20"/>
          <w:szCs w:val="20"/>
        </w:rPr>
        <w:t xml:space="preserve"> lactate dehydrogenase.</w:t>
      </w:r>
    </w:p>
    <w:p w14:paraId="677595D3">
      <w:pPr>
        <w:spacing w:after="120" w:afterLines="5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70475" cy="8864600"/>
            <wp:effectExtent l="0" t="0" r="0" b="0"/>
            <wp:docPr id="7422276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227615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4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6053">
      <w:pPr>
        <w:spacing w:after="120" w:afterLines="5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18E4C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00CC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83BAF0B">
      <w:pPr>
        <w:rPr>
          <w:rFonts w:ascii="Times New Roman" w:hAnsi="Times New Roman" w:cs="Times New Roman"/>
          <w:sz w:val="20"/>
          <w:szCs w:val="20"/>
        </w:rPr>
      </w:pPr>
    </w:p>
    <w:p w14:paraId="710ADE7A">
      <w:pPr>
        <w:rPr>
          <w:rFonts w:ascii="Times New Roman" w:hAnsi="Times New Roman" w:cs="Times New Roman"/>
          <w:sz w:val="20"/>
          <w:szCs w:val="20"/>
        </w:rPr>
      </w:pPr>
    </w:p>
    <w:p w14:paraId="7FE2075C">
      <w:pPr>
        <w:rPr>
          <w:rFonts w:ascii="Times New Roman" w:hAnsi="Times New Roman" w:cs="Times New Roman"/>
          <w:sz w:val="20"/>
          <w:szCs w:val="20"/>
        </w:rPr>
      </w:pPr>
    </w:p>
    <w:p w14:paraId="6D63FAF0">
      <w:pPr>
        <w:rPr>
          <w:rFonts w:ascii="Times New Roman" w:hAnsi="Times New Roman" w:cs="Times New Roman"/>
          <w:sz w:val="20"/>
          <w:szCs w:val="20"/>
        </w:rPr>
      </w:pPr>
    </w:p>
    <w:p w14:paraId="76A7156B">
      <w:pPr>
        <w:rPr>
          <w:rFonts w:ascii="Times New Roman" w:hAnsi="Times New Roman" w:cs="Times New Roman"/>
          <w:sz w:val="20"/>
          <w:szCs w:val="20"/>
        </w:rPr>
      </w:pPr>
    </w:p>
    <w:p w14:paraId="719718C0">
      <w:pPr>
        <w:rPr>
          <w:rFonts w:ascii="Times New Roman" w:hAnsi="Times New Roman" w:cs="Times New Roman"/>
          <w:sz w:val="20"/>
          <w:szCs w:val="20"/>
        </w:rPr>
      </w:pPr>
    </w:p>
    <w:p w14:paraId="4D2D2DF9">
      <w:pPr>
        <w:rPr>
          <w:rFonts w:ascii="Times New Roman" w:hAnsi="Times New Roman" w:cs="Times New Roman"/>
          <w:sz w:val="20"/>
          <w:szCs w:val="20"/>
        </w:rPr>
      </w:pPr>
    </w:p>
    <w:p w14:paraId="7505235B">
      <w:pPr>
        <w:rPr>
          <w:rFonts w:ascii="Times New Roman" w:hAnsi="Times New Roman" w:cs="Times New Roman"/>
          <w:sz w:val="20"/>
          <w:szCs w:val="20"/>
        </w:rPr>
      </w:pPr>
    </w:p>
    <w:p w14:paraId="2E65CA3A">
      <w:pPr>
        <w:rPr>
          <w:rFonts w:ascii="Times New Roman" w:hAnsi="Times New Roman" w:cs="Times New Roman"/>
          <w:sz w:val="20"/>
          <w:szCs w:val="20"/>
        </w:rPr>
      </w:pPr>
    </w:p>
    <w:p w14:paraId="6C9B2EB0">
      <w:pPr>
        <w:rPr>
          <w:rFonts w:ascii="Times New Roman" w:hAnsi="Times New Roman" w:cs="Times New Roman"/>
          <w:sz w:val="20"/>
          <w:szCs w:val="20"/>
        </w:rPr>
      </w:pPr>
    </w:p>
    <w:p w14:paraId="76F7B112">
      <w:pPr>
        <w:rPr>
          <w:rFonts w:ascii="Times New Roman" w:hAnsi="Times New Roman" w:cs="Times New Roman"/>
          <w:sz w:val="20"/>
          <w:szCs w:val="20"/>
        </w:rPr>
      </w:pPr>
    </w:p>
    <w:p w14:paraId="621EB8BF">
      <w:pPr>
        <w:rPr>
          <w:rFonts w:ascii="Times New Roman" w:hAnsi="Times New Roman" w:cs="Times New Roman"/>
          <w:sz w:val="20"/>
          <w:szCs w:val="20"/>
        </w:rPr>
      </w:pPr>
    </w:p>
    <w:sectPr>
      <w:pgSz w:w="11907" w:h="16840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14"/>
    <w:rsid w:val="000713A1"/>
    <w:rsid w:val="000D5F78"/>
    <w:rsid w:val="000F216E"/>
    <w:rsid w:val="00104CAB"/>
    <w:rsid w:val="00110CF3"/>
    <w:rsid w:val="00142BA2"/>
    <w:rsid w:val="001C2871"/>
    <w:rsid w:val="001E6075"/>
    <w:rsid w:val="001F451D"/>
    <w:rsid w:val="0027542A"/>
    <w:rsid w:val="0029665E"/>
    <w:rsid w:val="002B6A37"/>
    <w:rsid w:val="002C2531"/>
    <w:rsid w:val="002C42B2"/>
    <w:rsid w:val="002E0DDC"/>
    <w:rsid w:val="002E3BEB"/>
    <w:rsid w:val="002E4361"/>
    <w:rsid w:val="002F4D8D"/>
    <w:rsid w:val="00306863"/>
    <w:rsid w:val="00341216"/>
    <w:rsid w:val="00356818"/>
    <w:rsid w:val="0036734A"/>
    <w:rsid w:val="0037302B"/>
    <w:rsid w:val="00373F41"/>
    <w:rsid w:val="003901CD"/>
    <w:rsid w:val="00391050"/>
    <w:rsid w:val="00395214"/>
    <w:rsid w:val="003A0F82"/>
    <w:rsid w:val="003C50A2"/>
    <w:rsid w:val="003E5E3A"/>
    <w:rsid w:val="00416BEE"/>
    <w:rsid w:val="00435878"/>
    <w:rsid w:val="00437B4A"/>
    <w:rsid w:val="00444788"/>
    <w:rsid w:val="00453901"/>
    <w:rsid w:val="0045395C"/>
    <w:rsid w:val="004560DF"/>
    <w:rsid w:val="00466E18"/>
    <w:rsid w:val="005224EE"/>
    <w:rsid w:val="0055176D"/>
    <w:rsid w:val="0055210D"/>
    <w:rsid w:val="005566BE"/>
    <w:rsid w:val="00573513"/>
    <w:rsid w:val="00590AB5"/>
    <w:rsid w:val="005932D2"/>
    <w:rsid w:val="005A0C07"/>
    <w:rsid w:val="005B14E1"/>
    <w:rsid w:val="005C366C"/>
    <w:rsid w:val="005D2D8F"/>
    <w:rsid w:val="006371F9"/>
    <w:rsid w:val="00675733"/>
    <w:rsid w:val="006A31C3"/>
    <w:rsid w:val="006B0B96"/>
    <w:rsid w:val="006B1358"/>
    <w:rsid w:val="006B7997"/>
    <w:rsid w:val="006C1B4E"/>
    <w:rsid w:val="006C79B7"/>
    <w:rsid w:val="00711689"/>
    <w:rsid w:val="007320B0"/>
    <w:rsid w:val="00744DEE"/>
    <w:rsid w:val="00755B5E"/>
    <w:rsid w:val="00785328"/>
    <w:rsid w:val="007B5CCB"/>
    <w:rsid w:val="007D7702"/>
    <w:rsid w:val="007F445A"/>
    <w:rsid w:val="00875179"/>
    <w:rsid w:val="008A7B0A"/>
    <w:rsid w:val="008D3B60"/>
    <w:rsid w:val="008D62A7"/>
    <w:rsid w:val="008E4028"/>
    <w:rsid w:val="00920A29"/>
    <w:rsid w:val="00936CAA"/>
    <w:rsid w:val="009601D4"/>
    <w:rsid w:val="0099193D"/>
    <w:rsid w:val="009D1808"/>
    <w:rsid w:val="009D72AF"/>
    <w:rsid w:val="00A203A9"/>
    <w:rsid w:val="00A26DCD"/>
    <w:rsid w:val="00A3356A"/>
    <w:rsid w:val="00A34C24"/>
    <w:rsid w:val="00A607EC"/>
    <w:rsid w:val="00AA4764"/>
    <w:rsid w:val="00AC564A"/>
    <w:rsid w:val="00AD1458"/>
    <w:rsid w:val="00B32E74"/>
    <w:rsid w:val="00B61FB9"/>
    <w:rsid w:val="00B6757D"/>
    <w:rsid w:val="00B8042F"/>
    <w:rsid w:val="00B91C4F"/>
    <w:rsid w:val="00BB60ED"/>
    <w:rsid w:val="00BC143C"/>
    <w:rsid w:val="00BD55B5"/>
    <w:rsid w:val="00C14264"/>
    <w:rsid w:val="00C203FF"/>
    <w:rsid w:val="00C26AC0"/>
    <w:rsid w:val="00C4299F"/>
    <w:rsid w:val="00C63641"/>
    <w:rsid w:val="00C77593"/>
    <w:rsid w:val="00C928F3"/>
    <w:rsid w:val="00C95EA7"/>
    <w:rsid w:val="00CA292F"/>
    <w:rsid w:val="00CE16FA"/>
    <w:rsid w:val="00D1261A"/>
    <w:rsid w:val="00D14FED"/>
    <w:rsid w:val="00D40281"/>
    <w:rsid w:val="00D707F9"/>
    <w:rsid w:val="00D7123E"/>
    <w:rsid w:val="00D77EBA"/>
    <w:rsid w:val="00DB38AF"/>
    <w:rsid w:val="00DC53AB"/>
    <w:rsid w:val="00DD0A5B"/>
    <w:rsid w:val="00DF4E48"/>
    <w:rsid w:val="00E205FD"/>
    <w:rsid w:val="00E44FFB"/>
    <w:rsid w:val="00E46C70"/>
    <w:rsid w:val="00E52965"/>
    <w:rsid w:val="00E56238"/>
    <w:rsid w:val="00E63D46"/>
    <w:rsid w:val="00E65E26"/>
    <w:rsid w:val="00E90005"/>
    <w:rsid w:val="00EC4278"/>
    <w:rsid w:val="00EC7670"/>
    <w:rsid w:val="00EF1A22"/>
    <w:rsid w:val="00EF7E1E"/>
    <w:rsid w:val="00F2555A"/>
    <w:rsid w:val="00F34977"/>
    <w:rsid w:val="00F37331"/>
    <w:rsid w:val="00F40013"/>
    <w:rsid w:val="00F45BE1"/>
    <w:rsid w:val="00F50CEB"/>
    <w:rsid w:val="00F5209F"/>
    <w:rsid w:val="00F72B22"/>
    <w:rsid w:val="00FA0B7F"/>
    <w:rsid w:val="00FB3DCE"/>
    <w:rsid w:val="00FC272B"/>
    <w:rsid w:val="5A55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paragraph" w:customStyle="1" w:styleId="38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629</Words>
  <Characters>3819</Characters>
  <Lines>628</Lines>
  <Paragraphs>441</Paragraphs>
  <TotalTime>318</TotalTime>
  <ScaleCrop>false</ScaleCrop>
  <LinksUpToDate>false</LinksUpToDate>
  <CharactersWithSpaces>4213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2025-10-08T11:29:00Z</dcterms:created>
  <dc:creator>Jiahao Song</dc:creator>
  <cp:lastModifiedBy>嘿嘿</cp:lastModifiedBy>
  <dcterms:modified xsi:type="dcterms:W3CDTF">2025-11-05T13:29:36Z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1e3c6c993eb6a1ff40b46c8d1bf65a9a46e8c1104f98071378f0507ea2d883c8</vt:lpwstr>
  </property>
  <property fmtid="{D5CDD505-2E9C-101B-9397-08002B2CF9AE}" pid="3" name="KSOTemplateDocerSaveRecord">
    <vt:lpwstr>eyJoZGlkIjoiMzEwNTM5NzYwMDRjMzkwZTVkZjY2ODkwMGIxNGU0OTUiLCJ1c2VySWQiOiI0MjE5MDkyNDgifQ==</vt:lpwstr>
  </property>
  <property fmtid="{D5CDD505-2E9C-101B-9397-08002B2CF9AE}" pid="4" name="KSOProductBuildVer">
    <vt:lpwstr>2052-12.1.0.23542</vt:lpwstr>
  </property>
  <property fmtid="{D5CDD505-2E9C-101B-9397-08002B2CF9AE}" pid="5" name="ICV">
    <vt:lpwstr>6D07D2E3EE8E4155B840766348C4605E_12</vt:lpwstr>
  </property>
</Properties>
</file>