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91AA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Supplementary </w:t>
      </w:r>
      <w:bookmarkStart w:id="0" w:name="_Hlk131846649"/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M</w:t>
      </w:r>
      <w:r>
        <w:rPr>
          <w:rFonts w:ascii="Times New Roman" w:hAnsi="Times New Roman" w:cs="Times New Roman"/>
          <w:b/>
          <w:bCs/>
          <w:sz w:val="32"/>
          <w:szCs w:val="32"/>
        </w:rPr>
        <w:t>aterials</w:t>
      </w:r>
      <w:bookmarkEnd w:id="0"/>
    </w:p>
    <w:p w14:paraId="304553D3">
      <w:p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</w:rPr>
      </w:pPr>
    </w:p>
    <w:p w14:paraId="25F0AA1A">
      <w:p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</w:rPr>
      </w:pPr>
    </w:p>
    <w:p w14:paraId="2C6EC757">
      <w:p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</w:rPr>
      </w:pPr>
    </w:p>
    <w:p w14:paraId="66F93FE3">
      <w:p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 xml:space="preserve">1 The detailed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earch strategy of the databases.</w:t>
      </w:r>
    </w:p>
    <w:p w14:paraId="6EC7FE77">
      <w:p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</w:rPr>
      </w:pPr>
    </w:p>
    <w:tbl>
      <w:tblPr>
        <w:tblStyle w:val="3"/>
        <w:tblW w:w="9225" w:type="dxa"/>
        <w:tblInd w:w="1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7627"/>
      </w:tblGrid>
      <w:tr w14:paraId="79081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9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3FE3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Databases</w:t>
            </w:r>
          </w:p>
        </w:tc>
        <w:tc>
          <w:tcPr>
            <w:tcW w:w="762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9E28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Retrieval method</w:t>
            </w:r>
          </w:p>
        </w:tc>
      </w:tr>
      <w:tr w14:paraId="58F37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159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9AE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PubMed</w:t>
            </w:r>
          </w:p>
        </w:tc>
        <w:tc>
          <w:tcPr>
            <w:tcW w:w="762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95E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("Artificial Intelligence"[Mesh] OR "Artificial intelligence" OR "deep learning" OR "machine learning" OR "radiomics" OR "radiomic" OR "omic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") AND ("Computed tomography angiography"[Mesh] OR "Magnetic resonance angiography"[Mesh] OR "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DSA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"[Mesh]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 "CT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 OR "MR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") AND ("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intracranial aneurysm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"[Mesh] OR "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aneurysm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 OR "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 OR "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IAs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") AND ("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ruptured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"[Mesh]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OR "risk" OR "stability" OR "detection"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 w14:paraId="2743A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4" w:hRule="atLeast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66F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Web of Science</w:t>
            </w:r>
          </w:p>
        </w:tc>
        <w:tc>
          <w:tcPr>
            <w:tcW w:w="7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659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ALL= (Artificial Intelligence OR Artificial intelligence OR deep learning OR machine learning OR radiomics OR radiomic OR omics) AND ALL=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"Computed tomography angiography" OR "Magnetic resonance angiography" OR "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DSA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 "CT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 OR "MR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") AND ALL=(intracranial aneurysm OR aneurysm) AND ALL=(ruptured OR risk OR stability OR detection)</w:t>
            </w:r>
          </w:p>
        </w:tc>
      </w:tr>
      <w:tr w14:paraId="10D20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atLeast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BA1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Embase</w:t>
            </w:r>
          </w:p>
        </w:tc>
        <w:tc>
          <w:tcPr>
            <w:tcW w:w="7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0F9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('artificial intelligence'/exp OR 'artificial intelligence' OR 'deep learning'/exp OR 'deep learning' OR 'machine learning'/exp OR 'machine learning' OR 'radiomics'/exp OR 'radiomics' OR 'radiomic' OR 'omic') AND ('ct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'/exp OR 'ct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' OR 'mr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'/exp OR 'mr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'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 '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dsa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'/exp OR '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dsa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') AND ('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intracranial aneurysm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'/exp OR '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intracranial aneurysm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' OR '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aneurysm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'/exp OR '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aneurysm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') AND ('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ruptured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'/exp OR '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ruptured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'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'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stability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'/exp OR '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stability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' OR '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detection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'/exp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'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detection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')</w:t>
            </w:r>
          </w:p>
        </w:tc>
      </w:tr>
      <w:tr w14:paraId="3FB3D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</w:trPr>
        <w:tc>
          <w:tcPr>
            <w:tcW w:w="159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8D226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Cochrane Library</w:t>
            </w:r>
          </w:p>
        </w:tc>
        <w:tc>
          <w:tcPr>
            <w:tcW w:w="762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78947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("Artificial Intelligence" OR "Artificial intelligence" OR "deep learning" OR "machine learning" OR "radiomics" OR "radiomic" OR "omic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") AND ("CT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 OR "MR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 OR "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DSA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") AND ("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intracranial aneurysm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 OR "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aneurysm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 OR "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IAs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") AND ("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ruptured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"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OR "risk" OR "stability" OR "detection"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</w:tbl>
    <w:p w14:paraId="67EA875F">
      <w:pPr>
        <w:jc w:val="both"/>
        <w:rPr>
          <w:rFonts w:hint="eastAsia" w:ascii="Times New Roman" w:hAnsi="Times New Roman" w:cs="Times New Roman"/>
          <w:b/>
          <w:bCs/>
          <w:sz w:val="32"/>
          <w:szCs w:val="32"/>
          <w:lang w:eastAsia="zh-CN"/>
        </w:rPr>
      </w:pPr>
    </w:p>
    <w:p w14:paraId="13116F2C">
      <w:pPr>
        <w:jc w:val="both"/>
        <w:rPr>
          <w:rFonts w:hint="eastAsia" w:ascii="Times New Roman" w:hAnsi="Times New Roman" w:cs="Times New Roman"/>
          <w:b/>
          <w:bCs/>
          <w:sz w:val="32"/>
          <w:szCs w:val="32"/>
          <w:lang w:eastAsia="zh-CN"/>
        </w:rPr>
      </w:pPr>
    </w:p>
    <w:p w14:paraId="04075295">
      <w:pPr>
        <w:jc w:val="both"/>
        <w:rPr>
          <w:rFonts w:hint="eastAsia" w:ascii="Times New Roman" w:hAnsi="Times New Roman" w:cs="Times New Roman"/>
          <w:b/>
          <w:bCs/>
          <w:sz w:val="32"/>
          <w:szCs w:val="32"/>
          <w:lang w:eastAsia="zh-CN"/>
        </w:rPr>
      </w:pPr>
    </w:p>
    <w:p w14:paraId="4E59D001">
      <w:pPr>
        <w:jc w:val="both"/>
        <w:rPr>
          <w:rFonts w:hint="eastAsia" w:ascii="Times New Roman" w:hAnsi="Times New Roman" w:cs="Times New Roman"/>
          <w:b/>
          <w:bCs/>
          <w:sz w:val="32"/>
          <w:szCs w:val="32"/>
          <w:lang w:eastAsia="zh-CN"/>
        </w:rPr>
      </w:pPr>
    </w:p>
    <w:p w14:paraId="0FA7BE00">
      <w:p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eastAsia="zh-CN"/>
        </w:rPr>
      </w:pPr>
    </w:p>
    <w:p w14:paraId="7D737690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Supplementary Table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 The quality assessment of each included study based on the Quality Assessment of Diagnostic Accuracy Studies-2 (QUADAS-2)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 w14:paraId="32F8E420">
      <w:p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eastAsia="zh-CN"/>
        </w:rPr>
      </w:pPr>
    </w:p>
    <w:tbl>
      <w:tblPr>
        <w:tblStyle w:val="6"/>
        <w:tblpPr w:leftFromText="180" w:rightFromText="180" w:vertAnchor="text" w:horzAnchor="margin" w:tblpXSpec="center" w:tblpY="261"/>
        <w:tblW w:w="11473" w:type="dxa"/>
        <w:tblInd w:w="0" w:type="dxa"/>
        <w:tblBorders>
          <w:top w:val="single" w:color="BEBEBE" w:themeColor="background1" w:themeShade="BF" w:sz="4" w:space="0"/>
          <w:left w:val="single" w:color="BEBEBE" w:themeColor="background1" w:themeShade="BF" w:sz="4" w:space="0"/>
          <w:bottom w:val="single" w:color="BEBEBE" w:themeColor="background1" w:themeShade="BF" w:sz="4" w:space="0"/>
          <w:right w:val="single" w:color="BEBEBE" w:themeColor="background1" w:themeShade="BF" w:sz="4" w:space="0"/>
          <w:insideH w:val="single" w:color="BEBEBE" w:themeColor="background1" w:themeShade="BF" w:sz="4" w:space="0"/>
          <w:insideV w:val="single" w:color="BEBEBE" w:themeColor="background1" w:themeShade="B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1369"/>
        <w:gridCol w:w="691"/>
        <w:gridCol w:w="916"/>
        <w:gridCol w:w="888"/>
        <w:gridCol w:w="995"/>
        <w:gridCol w:w="835"/>
        <w:gridCol w:w="1012"/>
        <w:gridCol w:w="936"/>
        <w:gridCol w:w="1046"/>
        <w:gridCol w:w="775"/>
        <w:gridCol w:w="591"/>
        <w:gridCol w:w="1022"/>
      </w:tblGrid>
      <w:tr w14:paraId="083C2832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397" w:type="dxa"/>
            <w:tcBorders>
              <w:top w:val="single" w:color="000000" w:themeColor="text1" w:sz="12" w:space="0"/>
              <w:left w:val="single" w:color="BEBEBE" w:themeColor="background1" w:themeShade="BF" w:sz="4" w:space="0"/>
              <w:bottom w:val="nil"/>
              <w:right w:val="single" w:color="BEBEBE" w:themeColor="background1" w:themeShade="BF" w:sz="4" w:space="0"/>
            </w:tcBorders>
          </w:tcPr>
          <w:p w14:paraId="3B2458C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</w:p>
        </w:tc>
        <w:tc>
          <w:tcPr>
            <w:tcW w:w="1369" w:type="dxa"/>
            <w:vMerge w:val="restart"/>
            <w:tcBorders>
              <w:top w:val="single" w:color="000000" w:themeColor="text1" w:sz="12" w:space="0"/>
              <w:left w:val="single" w:color="BEBEBE" w:themeColor="background1" w:themeShade="BF" w:sz="4" w:space="0"/>
              <w:bottom w:val="nil"/>
              <w:right w:val="single" w:color="BEBEBE" w:themeColor="background1" w:themeShade="BF" w:sz="4" w:space="0"/>
            </w:tcBorders>
          </w:tcPr>
          <w:p w14:paraId="7C6F40E1">
            <w:pPr>
              <w:jc w:val="left"/>
              <w:rPr>
                <w:rFonts w:hint="default" w:asciiTheme="majorBidi" w:hAnsiTheme="majorBidi" w:eastAsiaTheme="minorEastAsia" w:cstheme="majorBidi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b/>
                <w:bCs/>
                <w:sz w:val="24"/>
                <w:szCs w:val="24"/>
                <w:lang w:val="en-US" w:eastAsia="zh-CN"/>
              </w:rPr>
              <w:t>Authors</w:t>
            </w:r>
          </w:p>
        </w:tc>
        <w:tc>
          <w:tcPr>
            <w:tcW w:w="7319" w:type="dxa"/>
            <w:gridSpan w:val="8"/>
            <w:tcBorders>
              <w:top w:val="single" w:color="000000" w:themeColor="text1" w:sz="12" w:space="0"/>
              <w:left w:val="single" w:color="BEBEBE" w:themeColor="background1" w:themeShade="BF" w:sz="4" w:space="0"/>
              <w:bottom w:val="single" w:color="000000" w:themeColor="text1" w:sz="8" w:space="0"/>
              <w:right w:val="single" w:color="BEBEBE" w:themeColor="background1" w:themeShade="BF" w:sz="4" w:space="0"/>
            </w:tcBorders>
          </w:tcPr>
          <w:p w14:paraId="5318EF7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b/>
                <w:bCs/>
                <w:sz w:val="24"/>
                <w:szCs w:val="24"/>
                <w:lang w:val="en-US" w:eastAsia="zh-CN"/>
              </w:rPr>
              <w:t>R</w:t>
            </w:r>
            <w:r>
              <w:rPr>
                <w:rFonts w:hint="eastAsia" w:asciiTheme="majorBidi" w:hAnsiTheme="majorBidi" w:cstheme="majorBidi"/>
                <w:b/>
                <w:bCs/>
                <w:sz w:val="24"/>
                <w:szCs w:val="24"/>
                <w:lang w:val="en-AU" w:eastAsia="en-GB"/>
              </w:rPr>
              <w:t xml:space="preserve">isk </w:t>
            </w:r>
            <w:r>
              <w:rPr>
                <w:rFonts w:hint="eastAsia" w:asciiTheme="majorBidi" w:hAnsiTheme="majorBidi" w:cstheme="majorBidi"/>
                <w:b/>
                <w:bCs/>
                <w:sz w:val="24"/>
                <w:szCs w:val="24"/>
                <w:lang w:val="en-US" w:eastAsia="zh-CN"/>
              </w:rPr>
              <w:t>O</w:t>
            </w:r>
            <w:r>
              <w:rPr>
                <w:rFonts w:hint="eastAsia" w:asciiTheme="majorBidi" w:hAnsiTheme="majorBidi" w:cstheme="majorBidi"/>
                <w:b/>
                <w:bCs/>
                <w:sz w:val="24"/>
                <w:szCs w:val="24"/>
                <w:lang w:val="en-AU" w:eastAsia="en-GB"/>
              </w:rPr>
              <w:t xml:space="preserve">f </w:t>
            </w:r>
            <w:r>
              <w:rPr>
                <w:rFonts w:hint="eastAsia" w:asciiTheme="majorBidi" w:hAnsiTheme="majorBidi" w:cstheme="majorBidi"/>
                <w:b/>
                <w:bCs/>
                <w:sz w:val="24"/>
                <w:szCs w:val="24"/>
                <w:lang w:val="en-US" w:eastAsia="zh-CN"/>
              </w:rPr>
              <w:t>B</w:t>
            </w:r>
            <w:r>
              <w:rPr>
                <w:rFonts w:hint="eastAsia" w:asciiTheme="majorBidi" w:hAnsiTheme="majorBidi" w:cstheme="majorBidi"/>
                <w:b/>
                <w:bCs/>
                <w:sz w:val="24"/>
                <w:szCs w:val="24"/>
                <w:lang w:val="en-AU" w:eastAsia="en-GB"/>
              </w:rPr>
              <w:t>ias</w:t>
            </w:r>
          </w:p>
        </w:tc>
        <w:tc>
          <w:tcPr>
            <w:tcW w:w="2388" w:type="dxa"/>
            <w:gridSpan w:val="3"/>
            <w:tcBorders>
              <w:top w:val="single" w:color="000000" w:themeColor="text1" w:sz="12" w:space="0"/>
              <w:left w:val="single" w:color="BEBEBE" w:themeColor="background1" w:themeShade="BF" w:sz="4" w:space="0"/>
              <w:bottom w:val="single" w:color="000000" w:themeColor="text1" w:sz="8" w:space="0"/>
              <w:right w:val="single" w:color="BEBEBE" w:themeColor="background1" w:themeShade="BF" w:sz="4" w:space="0"/>
            </w:tcBorders>
          </w:tcPr>
          <w:p w14:paraId="7EA7D8F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b/>
                <w:bCs/>
                <w:sz w:val="24"/>
                <w:szCs w:val="24"/>
                <w:lang w:val="en-US" w:eastAsia="zh-CN"/>
              </w:rPr>
              <w:t>A</w:t>
            </w:r>
            <w:r>
              <w:rPr>
                <w:rFonts w:hint="eastAsia" w:asciiTheme="majorBidi" w:hAnsiTheme="majorBidi" w:cstheme="majorBidi"/>
                <w:b/>
                <w:bCs/>
                <w:sz w:val="24"/>
                <w:szCs w:val="24"/>
                <w:lang w:val="en-AU" w:eastAsia="en-GB"/>
              </w:rPr>
              <w:t xml:space="preserve">pplicability </w:t>
            </w:r>
            <w:r>
              <w:rPr>
                <w:rFonts w:hint="eastAsia" w:asciiTheme="majorBidi" w:hAnsiTheme="majorBidi" w:cstheme="majorBidi"/>
                <w:b/>
                <w:bCs/>
                <w:sz w:val="24"/>
                <w:szCs w:val="24"/>
                <w:lang w:val="en-US" w:eastAsia="zh-CN"/>
              </w:rPr>
              <w:t>C</w:t>
            </w:r>
            <w:r>
              <w:rPr>
                <w:rFonts w:hint="eastAsia" w:asciiTheme="majorBidi" w:hAnsiTheme="majorBidi" w:cstheme="majorBidi"/>
                <w:b/>
                <w:bCs/>
                <w:sz w:val="24"/>
                <w:szCs w:val="24"/>
                <w:lang w:val="en-AU" w:eastAsia="en-GB"/>
              </w:rPr>
              <w:t>oncerns</w:t>
            </w:r>
          </w:p>
        </w:tc>
      </w:tr>
      <w:tr w14:paraId="10E4404F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397" w:type="dxa"/>
            <w:tcBorders>
              <w:top w:val="nil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06DEC854">
            <w:pPr>
              <w:rPr>
                <w:rFonts w:asciiTheme="majorBidi" w:hAnsiTheme="majorBidi" w:cstheme="majorBidi"/>
                <w:sz w:val="18"/>
                <w:szCs w:val="18"/>
                <w:lang w:val="en-GB" w:eastAsia="en-GB"/>
              </w:rPr>
            </w:pPr>
          </w:p>
        </w:tc>
        <w:tc>
          <w:tcPr>
            <w:tcW w:w="1369" w:type="dxa"/>
            <w:vMerge w:val="continue"/>
            <w:tcBorders>
              <w:top w:val="nil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2BB800E7">
            <w:pPr>
              <w:rPr>
                <w:rFonts w:asciiTheme="majorBidi" w:hAnsiTheme="majorBidi" w:cstheme="majorBidi"/>
                <w:sz w:val="18"/>
                <w:szCs w:val="18"/>
                <w:lang w:val="en-GB" w:eastAsia="en-GB"/>
              </w:rPr>
            </w:pPr>
          </w:p>
        </w:tc>
        <w:tc>
          <w:tcPr>
            <w:tcW w:w="2495" w:type="dxa"/>
            <w:gridSpan w:val="3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000000" w:themeColor="text1" w:sz="8" w:space="0"/>
              <w:right w:val="single" w:color="BEBEBE" w:themeColor="background1" w:themeShade="BF" w:sz="4" w:space="0"/>
            </w:tcBorders>
          </w:tcPr>
          <w:p w14:paraId="4D077535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1"/>
                <w:szCs w:val="21"/>
                <w:lang w:val="en-AU" w:eastAsia="en-GB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 xml:space="preserve">atient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election</w:t>
            </w:r>
          </w:p>
        </w:tc>
        <w:tc>
          <w:tcPr>
            <w:tcW w:w="2842" w:type="dxa"/>
            <w:gridSpan w:val="3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000000" w:themeColor="text1" w:sz="8" w:space="0"/>
              <w:right w:val="single" w:color="BEBEBE" w:themeColor="background1" w:themeShade="BF" w:sz="4" w:space="0"/>
            </w:tcBorders>
          </w:tcPr>
          <w:p w14:paraId="3228638C">
            <w:pPr>
              <w:jc w:val="center"/>
              <w:rPr>
                <w:rFonts w:asciiTheme="majorBidi" w:hAnsiTheme="majorBidi" w:cstheme="majorBidi"/>
                <w:b/>
                <w:bCs/>
                <w:color w:val="auto"/>
                <w:sz w:val="21"/>
                <w:szCs w:val="21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b/>
                <w:bCs/>
                <w:color w:val="auto"/>
                <w:sz w:val="21"/>
                <w:szCs w:val="21"/>
                <w:lang w:val="en-US" w:eastAsia="zh-CN"/>
              </w:rPr>
              <w:t>I</w:t>
            </w:r>
            <w:r>
              <w:rPr>
                <w:rFonts w:hint="eastAsia" w:asciiTheme="majorBidi" w:hAnsiTheme="majorBidi" w:cstheme="majorBidi"/>
                <w:b/>
                <w:bCs/>
                <w:color w:val="auto"/>
                <w:sz w:val="21"/>
                <w:szCs w:val="21"/>
                <w:lang w:val="en-AU" w:eastAsia="en-GB"/>
              </w:rPr>
              <w:t xml:space="preserve">ndex </w:t>
            </w:r>
            <w:r>
              <w:rPr>
                <w:rFonts w:hint="eastAsia" w:asciiTheme="majorBidi" w:hAnsiTheme="majorBidi" w:cstheme="majorBidi"/>
                <w:b/>
                <w:bCs/>
                <w:color w:val="auto"/>
                <w:sz w:val="21"/>
                <w:szCs w:val="21"/>
                <w:lang w:val="en-US" w:eastAsia="zh-CN"/>
              </w:rPr>
              <w:t>T</w:t>
            </w:r>
            <w:r>
              <w:rPr>
                <w:rFonts w:hint="eastAsia" w:asciiTheme="majorBidi" w:hAnsiTheme="majorBidi" w:cstheme="majorBidi"/>
                <w:b/>
                <w:bCs/>
                <w:color w:val="auto"/>
                <w:sz w:val="21"/>
                <w:szCs w:val="21"/>
                <w:lang w:val="en-AU" w:eastAsia="en-GB"/>
              </w:rPr>
              <w:t>est</w:t>
            </w:r>
          </w:p>
        </w:tc>
        <w:tc>
          <w:tcPr>
            <w:tcW w:w="936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000000" w:themeColor="text1" w:sz="8" w:space="0"/>
              <w:right w:val="single" w:color="BEBEBE" w:themeColor="background1" w:themeShade="BF" w:sz="4" w:space="0"/>
            </w:tcBorders>
          </w:tcPr>
          <w:p w14:paraId="527FBDE9">
            <w:pPr>
              <w:jc w:val="center"/>
              <w:rPr>
                <w:rFonts w:asciiTheme="majorBidi" w:hAnsiTheme="majorBidi" w:cstheme="majorBidi"/>
                <w:b/>
                <w:bCs/>
                <w:color w:val="auto"/>
                <w:sz w:val="21"/>
                <w:szCs w:val="21"/>
                <w:lang w:val="en-AU" w:eastAsia="en-GB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R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 xml:space="preserve">eference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tandards</w:t>
            </w:r>
          </w:p>
        </w:tc>
        <w:tc>
          <w:tcPr>
            <w:tcW w:w="1046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000000" w:themeColor="text1" w:sz="8" w:space="0"/>
              <w:right w:val="single" w:color="BEBEBE" w:themeColor="background1" w:themeShade="BF" w:sz="4" w:space="0"/>
            </w:tcBorders>
          </w:tcPr>
          <w:p w14:paraId="09A57B80">
            <w:pPr>
              <w:jc w:val="center"/>
              <w:rPr>
                <w:rFonts w:asciiTheme="majorBidi" w:hAnsiTheme="majorBidi" w:cstheme="majorBidi"/>
                <w:b/>
                <w:bCs/>
                <w:color w:val="auto"/>
                <w:sz w:val="21"/>
                <w:szCs w:val="21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b/>
                <w:bCs/>
                <w:color w:val="auto"/>
                <w:sz w:val="21"/>
                <w:szCs w:val="21"/>
                <w:lang w:val="en-US" w:eastAsia="zh-CN"/>
              </w:rPr>
              <w:t>F</w:t>
            </w:r>
            <w:r>
              <w:rPr>
                <w:rFonts w:hint="eastAsia" w:asciiTheme="majorBidi" w:hAnsiTheme="majorBidi" w:cstheme="majorBidi"/>
                <w:b/>
                <w:bCs/>
                <w:color w:val="auto"/>
                <w:sz w:val="21"/>
                <w:szCs w:val="21"/>
                <w:lang w:val="en-AU" w:eastAsia="en-GB"/>
              </w:rPr>
              <w:t xml:space="preserve">low </w:t>
            </w:r>
            <w:r>
              <w:rPr>
                <w:rFonts w:hint="eastAsia" w:asciiTheme="majorBidi" w:hAnsiTheme="majorBidi" w:cstheme="majorBidi"/>
                <w:b/>
                <w:bCs/>
                <w:color w:val="auto"/>
                <w:sz w:val="21"/>
                <w:szCs w:val="21"/>
                <w:lang w:val="en-US" w:eastAsia="zh-CN"/>
              </w:rPr>
              <w:t>A</w:t>
            </w:r>
            <w:r>
              <w:rPr>
                <w:rFonts w:hint="eastAsia" w:asciiTheme="majorBidi" w:hAnsiTheme="majorBidi" w:cstheme="majorBidi"/>
                <w:b/>
                <w:bCs/>
                <w:color w:val="auto"/>
                <w:sz w:val="21"/>
                <w:szCs w:val="21"/>
                <w:lang w:val="en-AU" w:eastAsia="en-GB"/>
              </w:rPr>
              <w:t xml:space="preserve">nd </w:t>
            </w:r>
            <w:r>
              <w:rPr>
                <w:rFonts w:hint="eastAsia" w:asciiTheme="majorBidi" w:hAnsiTheme="majorBidi" w:cstheme="majorBidi"/>
                <w:b/>
                <w:bCs/>
                <w:color w:val="auto"/>
                <w:sz w:val="21"/>
                <w:szCs w:val="21"/>
                <w:lang w:val="en-US" w:eastAsia="zh-CN"/>
              </w:rPr>
              <w:t>T</w:t>
            </w:r>
            <w:r>
              <w:rPr>
                <w:rFonts w:hint="eastAsia" w:asciiTheme="majorBidi" w:hAnsiTheme="majorBidi" w:cstheme="majorBidi"/>
                <w:b/>
                <w:bCs/>
                <w:color w:val="auto"/>
                <w:sz w:val="21"/>
                <w:szCs w:val="21"/>
                <w:lang w:val="en-AU" w:eastAsia="en-GB"/>
              </w:rPr>
              <w:t>iming</w:t>
            </w:r>
          </w:p>
        </w:tc>
        <w:tc>
          <w:tcPr>
            <w:tcW w:w="775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000000" w:themeColor="text1" w:sz="8" w:space="0"/>
              <w:right w:val="single" w:color="BEBEBE" w:themeColor="background1" w:themeShade="BF" w:sz="4" w:space="0"/>
            </w:tcBorders>
          </w:tcPr>
          <w:p w14:paraId="337F68CA">
            <w:pPr>
              <w:jc w:val="center"/>
              <w:rPr>
                <w:rFonts w:asciiTheme="majorBidi" w:hAnsiTheme="majorBidi" w:cstheme="majorBidi"/>
                <w:b/>
                <w:bCs/>
                <w:color w:val="auto"/>
                <w:sz w:val="21"/>
                <w:szCs w:val="21"/>
                <w:lang w:val="en-AU" w:eastAsia="en-GB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 xml:space="preserve">atient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election</w:t>
            </w:r>
          </w:p>
        </w:tc>
        <w:tc>
          <w:tcPr>
            <w:tcW w:w="591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000000" w:themeColor="text1" w:sz="8" w:space="0"/>
              <w:right w:val="single" w:color="BEBEBE" w:themeColor="background1" w:themeShade="BF" w:sz="4" w:space="0"/>
            </w:tcBorders>
          </w:tcPr>
          <w:p w14:paraId="39E3D4F1">
            <w:pPr>
              <w:jc w:val="center"/>
              <w:rPr>
                <w:rFonts w:asciiTheme="majorBidi" w:hAnsiTheme="majorBidi" w:cstheme="majorBidi"/>
                <w:b/>
                <w:bCs/>
                <w:color w:val="auto"/>
                <w:sz w:val="21"/>
                <w:szCs w:val="21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b/>
                <w:bCs/>
                <w:color w:val="auto"/>
                <w:sz w:val="21"/>
                <w:szCs w:val="21"/>
                <w:lang w:val="en-US" w:eastAsia="zh-CN"/>
              </w:rPr>
              <w:t>I</w:t>
            </w:r>
            <w:r>
              <w:rPr>
                <w:rFonts w:hint="eastAsia" w:asciiTheme="majorBidi" w:hAnsiTheme="majorBidi" w:cstheme="majorBidi"/>
                <w:b/>
                <w:bCs/>
                <w:color w:val="auto"/>
                <w:sz w:val="21"/>
                <w:szCs w:val="21"/>
                <w:lang w:val="en-AU" w:eastAsia="en-GB"/>
              </w:rPr>
              <w:t xml:space="preserve">ndex </w:t>
            </w:r>
            <w:r>
              <w:rPr>
                <w:rFonts w:hint="eastAsia" w:asciiTheme="majorBidi" w:hAnsiTheme="majorBidi" w:cstheme="majorBidi"/>
                <w:b/>
                <w:bCs/>
                <w:color w:val="auto"/>
                <w:sz w:val="21"/>
                <w:szCs w:val="21"/>
                <w:lang w:val="en-US" w:eastAsia="zh-CN"/>
              </w:rPr>
              <w:t>T</w:t>
            </w:r>
            <w:r>
              <w:rPr>
                <w:rFonts w:hint="eastAsia" w:asciiTheme="majorBidi" w:hAnsiTheme="majorBidi" w:cstheme="majorBidi"/>
                <w:b/>
                <w:bCs/>
                <w:color w:val="auto"/>
                <w:sz w:val="21"/>
                <w:szCs w:val="21"/>
                <w:lang w:val="en-AU" w:eastAsia="en-GB"/>
              </w:rPr>
              <w:t>est</w:t>
            </w:r>
          </w:p>
        </w:tc>
        <w:tc>
          <w:tcPr>
            <w:tcW w:w="1022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000000" w:themeColor="text1" w:sz="8" w:space="0"/>
              <w:right w:val="single" w:color="BEBEBE" w:themeColor="background1" w:themeShade="BF" w:sz="4" w:space="0"/>
            </w:tcBorders>
          </w:tcPr>
          <w:p w14:paraId="746CE6EE">
            <w:pPr>
              <w:jc w:val="center"/>
              <w:rPr>
                <w:rFonts w:asciiTheme="majorBidi" w:hAnsiTheme="majorBidi" w:cstheme="majorBidi"/>
                <w:b/>
                <w:bCs/>
                <w:color w:val="auto"/>
                <w:sz w:val="21"/>
                <w:szCs w:val="21"/>
                <w:lang w:val="en-AU" w:eastAsia="en-GB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R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 xml:space="preserve">eference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tandards</w:t>
            </w:r>
          </w:p>
        </w:tc>
      </w:tr>
      <w:tr w14:paraId="0249BD0C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000000" w:themeColor="text1" w:sz="8" w:space="0"/>
              <w:right w:val="single" w:color="BEBEBE" w:themeColor="background1" w:themeShade="BF" w:sz="4" w:space="0"/>
            </w:tcBorders>
          </w:tcPr>
          <w:p w14:paraId="1F83D651">
            <w:pPr>
              <w:rPr>
                <w:rFonts w:asciiTheme="majorBidi" w:hAnsiTheme="majorBidi" w:cstheme="majorBidi"/>
                <w:sz w:val="18"/>
                <w:szCs w:val="18"/>
                <w:lang w:val="en-GB" w:eastAsia="en-GB"/>
              </w:rPr>
            </w:pPr>
          </w:p>
        </w:tc>
        <w:tc>
          <w:tcPr>
            <w:tcW w:w="1369" w:type="dxa"/>
            <w:vMerge w:val="continue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000000" w:themeColor="text1" w:sz="8" w:space="0"/>
              <w:right w:val="single" w:color="BEBEBE" w:themeColor="background1" w:themeShade="BF" w:sz="4" w:space="0"/>
            </w:tcBorders>
            <w:vAlign w:val="center"/>
          </w:tcPr>
          <w:p w14:paraId="1FC19D12">
            <w:pPr>
              <w:rPr>
                <w:rFonts w:asciiTheme="majorBidi" w:hAnsiTheme="majorBidi" w:cstheme="majorBidi"/>
                <w:sz w:val="18"/>
                <w:szCs w:val="18"/>
                <w:lang w:val="en-GB" w:eastAsia="en-GB"/>
              </w:rPr>
            </w:pPr>
          </w:p>
        </w:tc>
        <w:tc>
          <w:tcPr>
            <w:tcW w:w="691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000000" w:themeColor="text1" w:sz="8" w:space="0"/>
              <w:right w:val="single" w:color="BEBEBE" w:themeColor="background1" w:themeShade="BF" w:sz="4" w:space="0"/>
            </w:tcBorders>
          </w:tcPr>
          <w:p w14:paraId="61B3857E">
            <w:pPr>
              <w:spacing w:after="120"/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AU"/>
              </w:rPr>
              <w:t>Was the statistical management adequate?</w:t>
            </w:r>
          </w:p>
        </w:tc>
        <w:tc>
          <w:tcPr>
            <w:tcW w:w="916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000000" w:themeColor="text1" w:sz="8" w:space="0"/>
              <w:right w:val="single" w:color="BEBEBE" w:themeColor="background1" w:themeShade="BF" w:sz="4" w:space="0"/>
            </w:tcBorders>
          </w:tcPr>
          <w:p w14:paraId="3F151754">
            <w:pPr>
              <w:spacing w:after="120"/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AU"/>
              </w:rPr>
              <w:t>Were the inclusion/exclusion criteria specified?</w:t>
            </w:r>
          </w:p>
        </w:tc>
        <w:tc>
          <w:tcPr>
            <w:tcW w:w="888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000000" w:themeColor="text1" w:sz="8" w:space="0"/>
              <w:right w:val="single" w:color="BEBEBE" w:themeColor="background1" w:themeShade="BF" w:sz="4" w:space="0"/>
            </w:tcBorders>
          </w:tcPr>
          <w:p w14:paraId="272CC237">
            <w:pPr>
              <w:spacing w:after="120"/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AU"/>
              </w:rPr>
              <w:t>Was the type of study (retrospective or prospective) specified?</w:t>
            </w:r>
          </w:p>
        </w:tc>
        <w:tc>
          <w:tcPr>
            <w:tcW w:w="995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000000" w:themeColor="text1" w:sz="8" w:space="0"/>
              <w:right w:val="single" w:color="BEBEBE" w:themeColor="background1" w:themeShade="BF" w:sz="4" w:space="0"/>
            </w:tcBorders>
          </w:tcPr>
          <w:p w14:paraId="7B23838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AU"/>
              </w:rPr>
              <w:t>Were the imaging acquisition protocol and the segmentation method(s) detailed?</w:t>
            </w:r>
          </w:p>
        </w:tc>
        <w:tc>
          <w:tcPr>
            <w:tcW w:w="835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000000" w:themeColor="text1" w:sz="8" w:space="0"/>
              <w:right w:val="single" w:color="BEBEBE" w:themeColor="background1" w:themeShade="BF" w:sz="4" w:space="0"/>
            </w:tcBorders>
          </w:tcPr>
          <w:p w14:paraId="1C78EFA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Was the image</w:t>
            </w:r>
          </w:p>
          <w:p w14:paraId="668F13B6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processing approach detailed?</w:t>
            </w:r>
          </w:p>
        </w:tc>
        <w:tc>
          <w:tcPr>
            <w:tcW w:w="1012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000000" w:themeColor="text1" w:sz="8" w:space="0"/>
              <w:right w:val="single" w:color="BEBEBE" w:themeColor="background1" w:themeShade="BF" w:sz="4" w:space="0"/>
            </w:tcBorders>
          </w:tcPr>
          <w:p w14:paraId="19F42DD9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AU"/>
              </w:rPr>
              <w:t>Was the validation independent (i.e., no internal)?</w:t>
            </w:r>
          </w:p>
        </w:tc>
        <w:tc>
          <w:tcPr>
            <w:tcW w:w="936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000000" w:themeColor="text1" w:sz="8" w:space="0"/>
              <w:right w:val="single" w:color="BEBEBE" w:themeColor="background1" w:themeShade="BF" w:sz="4" w:space="0"/>
            </w:tcBorders>
          </w:tcPr>
          <w:p w14:paraId="478F938E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Was the reference</w:t>
            </w:r>
          </w:p>
          <w:p w14:paraId="6A1C917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standard adequate?</w:t>
            </w:r>
          </w:p>
        </w:tc>
        <w:tc>
          <w:tcPr>
            <w:tcW w:w="1046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000000" w:themeColor="text1" w:sz="8" w:space="0"/>
              <w:right w:val="single" w:color="BEBEBE" w:themeColor="background1" w:themeShade="BF" w:sz="4" w:space="0"/>
            </w:tcBorders>
          </w:tcPr>
          <w:p w14:paraId="65065F9E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Was there an</w:t>
            </w:r>
          </w:p>
          <w:p w14:paraId="408F303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appropriate interval between index test</w:t>
            </w:r>
          </w:p>
          <w:p w14:paraId="5039F64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and reference standard?</w:t>
            </w:r>
          </w:p>
        </w:tc>
        <w:tc>
          <w:tcPr>
            <w:tcW w:w="775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000000" w:themeColor="text1" w:sz="8" w:space="0"/>
              <w:right w:val="single" w:color="BEBEBE" w:themeColor="background1" w:themeShade="BF" w:sz="4" w:space="0"/>
            </w:tcBorders>
          </w:tcPr>
          <w:p w14:paraId="5AA95655">
            <w:pPr>
              <w:spacing w:after="120"/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</w:p>
        </w:tc>
        <w:tc>
          <w:tcPr>
            <w:tcW w:w="591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000000" w:themeColor="text1" w:sz="8" w:space="0"/>
              <w:right w:val="single" w:color="BEBEBE" w:themeColor="background1" w:themeShade="BF" w:sz="4" w:space="0"/>
            </w:tcBorders>
          </w:tcPr>
          <w:p w14:paraId="2D61ED9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</w:p>
        </w:tc>
        <w:tc>
          <w:tcPr>
            <w:tcW w:w="1022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000000" w:themeColor="text1" w:sz="8" w:space="0"/>
              <w:right w:val="single" w:color="BEBEBE" w:themeColor="background1" w:themeShade="BF" w:sz="4" w:space="0"/>
            </w:tcBorders>
          </w:tcPr>
          <w:p w14:paraId="20E4BD9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</w:p>
        </w:tc>
      </w:tr>
      <w:tr w14:paraId="47E0A69E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</w:tblPrEx>
        <w:trPr>
          <w:trHeight w:val="334" w:hRule="atLeast"/>
        </w:trPr>
        <w:tc>
          <w:tcPr>
            <w:tcW w:w="397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61E62683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1</w:t>
            </w:r>
          </w:p>
        </w:tc>
        <w:tc>
          <w:tcPr>
            <w:tcW w:w="1369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bottom"/>
          </w:tcPr>
          <w:p w14:paraId="6A39B88D">
            <w:pPr>
              <w:spacing w:line="240" w:lineRule="auto"/>
              <w:jc w:val="both"/>
              <w:rPr>
                <w:rFonts w:hint="default" w:ascii="Times New Roman" w:hAnsi="Times New Roman" w:cs="Times New Roman" w:eastAsiaTheme="maj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sz w:val="18"/>
                <w:szCs w:val="18"/>
                <w:vertAlign w:val="baseline"/>
              </w:rPr>
              <w:t>Feng</w:t>
            </w:r>
            <w:r>
              <w:rPr>
                <w:rFonts w:hint="eastAsia" w:ascii="Times New Roman" w:hAnsi="Times New Roman" w:cs="Times New Roman" w:eastAsiaTheme="majorEastAsia"/>
                <w:sz w:val="18"/>
                <w:szCs w:val="18"/>
                <w:vertAlign w:val="baseline"/>
                <w:lang w:val="en-US" w:eastAsia="zh-CN"/>
              </w:rPr>
              <w:t xml:space="preserve"> et al</w:t>
            </w:r>
          </w:p>
          <w:p w14:paraId="09D510CC">
            <w:pPr>
              <w:spacing w:before="40" w:after="40"/>
              <w:jc w:val="both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default" w:ascii="Times New Roman" w:hAnsi="Times New Roman" w:cs="Times New Roman" w:eastAsiaTheme="majorEastAsia"/>
                <w:sz w:val="18"/>
                <w:szCs w:val="18"/>
                <w:vertAlign w:val="baseline"/>
              </w:rPr>
              <w:t>2023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[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]</w:t>
            </w:r>
          </w:p>
        </w:tc>
        <w:tc>
          <w:tcPr>
            <w:tcW w:w="691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6AD3DF4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5D29F9C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2E60A76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4D02FF4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35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0707E6A4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12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5527DC9F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36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75479EB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46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579FF1D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775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2E0CF98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42CC992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000000" w:themeColor="text1" w:sz="8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3E1BB44C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</w:tr>
      <w:tr w14:paraId="5ED2644B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1064E187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2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bottom"/>
          </w:tcPr>
          <w:p w14:paraId="092CC1A0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Lauric et al 2023[4]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150CD8D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28E76F0C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519BE90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6547072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70E9848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498E45CC">
            <w:pPr>
              <w:jc w:val="center"/>
              <w:rPr>
                <w:rFonts w:hint="default" w:asciiTheme="majorBidi" w:hAnsiTheme="majorBidi" w:eastAsiaTheme="minorEastAsia" w:cstheme="majorBidi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72188EA1">
            <w:pPr>
              <w:jc w:val="center"/>
              <w:rPr>
                <w:rFonts w:hint="default" w:asciiTheme="majorBidi" w:hAnsiTheme="majorBidi" w:eastAsiaTheme="minorEastAsia" w:cstheme="majorBidi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3324A96E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084AD04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CEE33F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94B74F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</w:tr>
      <w:tr w14:paraId="7332B323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485E7F2A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3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bottom"/>
          </w:tcPr>
          <w:p w14:paraId="6C415A01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Wei et al 2024[5]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226B9D9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2B4797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0A3EC6C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BB1B53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B80D6F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8C49EF9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A13820F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9715DD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D2A5D5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D4AE69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D7BD8A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</w:tr>
      <w:tr w14:paraId="2E2F598C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7B0F4251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4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bottom"/>
          </w:tcPr>
          <w:p w14:paraId="13702054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Xie et al 2023[6]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F94F694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0C47139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B3848F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952DFA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B59DF0E">
            <w:pPr>
              <w:jc w:val="center"/>
              <w:rPr>
                <w:rFonts w:hint="default" w:asciiTheme="majorBidi" w:hAnsiTheme="majorBidi" w:eastAsiaTheme="minorEastAsia" w:cstheme="majorBidi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1CF056F">
            <w:pPr>
              <w:jc w:val="center"/>
              <w:rPr>
                <w:rFonts w:hint="default" w:asciiTheme="majorBidi" w:hAnsiTheme="majorBidi" w:cstheme="majorBidi"/>
                <w:sz w:val="18"/>
                <w:szCs w:val="18"/>
                <w:lang w:val="en-US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E105C26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44ABFC24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4F4BED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C4A9FDE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25E3C5FE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</w:tr>
      <w:tr w14:paraId="0C7155D7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698B1325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5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176A50A1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Alwalid et al 2021[7]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4A3F05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047971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57B24C4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03E58E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2E4AA9F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9726B6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58F3FD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391B4E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7D62E54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EBC24A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2D625B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</w:tr>
      <w:tr w14:paraId="1CF12C1A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72F6DEB6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6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03CAE282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Tong et al 2018[8]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960486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DC6739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14CDEA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D06064E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B2CB82D">
            <w:pPr>
              <w:jc w:val="center"/>
              <w:rPr>
                <w:rFonts w:hint="default" w:asciiTheme="majorBidi" w:hAnsiTheme="majorBidi" w:eastAsiaTheme="minorEastAsia" w:cstheme="majorBidi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DA26806">
            <w:pPr>
              <w:jc w:val="center"/>
              <w:rPr>
                <w:rFonts w:hint="default" w:asciiTheme="majorBidi" w:hAnsiTheme="majorBidi" w:cstheme="majorBidi"/>
                <w:sz w:val="18"/>
                <w:szCs w:val="18"/>
                <w:lang w:val="en-US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A7D613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706FC7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210C66F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89982A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43694A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</w:tr>
      <w:tr w14:paraId="251656D8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6B3590B9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7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00FDFAA7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Lauric et al</w:t>
            </w:r>
            <w:r>
              <w:rPr>
                <w:rFonts w:hint="eastAsia" w:eastAsia="宋体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2022[10]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A858C7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069B89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2DB99F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DAF5D5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B9BE78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70E36F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75F13B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58454F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0BC100C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9C07C6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871E97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</w:tr>
      <w:tr w14:paraId="1AECF369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650E636D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8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740926F5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Zhu et al 2021[11]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E28877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3E1502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5CB8D14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CF00D9C">
            <w:pPr>
              <w:jc w:val="center"/>
              <w:rPr>
                <w:rFonts w:hint="default" w:asciiTheme="majorBidi" w:hAnsiTheme="majorBidi" w:eastAsiaTheme="minorEastAsia" w:cstheme="majorBidi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046EF3E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C54E1A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F60E1F6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2C9799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64ADD9C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124B39E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80B774F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</w:tr>
      <w:tr w14:paraId="3D898EAF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0F42B13B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9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0C95CCC0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Ye et al 2024[13]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9DC8A9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CBD761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B68CCF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E8AF8F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47D02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ADB96FC">
            <w:pPr>
              <w:jc w:val="center"/>
              <w:rPr>
                <w:rFonts w:hint="default" w:asciiTheme="majorBidi" w:hAnsiTheme="majorBidi" w:cstheme="majorBidi"/>
                <w:sz w:val="18"/>
                <w:szCs w:val="18"/>
                <w:lang w:val="en-US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53C24F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F63661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350169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280367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BB72EC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</w:tr>
      <w:tr w14:paraId="0640160A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6133B10E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10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171C4BFE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Podgorsak et al 2020[23]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39C03F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3504F5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B0113E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3644C99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9DB5A5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F26278E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5C84BE6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014A42E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2EB2239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18CB05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D54B8BE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</w:tr>
      <w:tr w14:paraId="00E8259E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639A2169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11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2B009BF0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Ou et al 2021[24]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16B1FC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5AFDE9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6FB9FB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E2A6321">
            <w:pPr>
              <w:jc w:val="center"/>
              <w:rPr>
                <w:rFonts w:hint="default" w:asciiTheme="majorBidi" w:hAnsiTheme="majorBidi" w:eastAsiaTheme="minorEastAsia" w:cstheme="majorBidi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B29BF4E">
            <w:pPr>
              <w:jc w:val="center"/>
              <w:rPr>
                <w:rFonts w:hint="default" w:asciiTheme="majorBidi" w:hAnsiTheme="majorBidi" w:eastAsiaTheme="minorEastAsia" w:cstheme="majorBidi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B9CF6C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FB3987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7ECF036">
            <w:pPr>
              <w:jc w:val="center"/>
              <w:rPr>
                <w:rFonts w:hint="default" w:asciiTheme="majorBidi" w:hAnsiTheme="majorBidi" w:eastAsiaTheme="minorEastAsia" w:cstheme="majorBidi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7C81F8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36D9A8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ECE7194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</w:tr>
      <w:tr w14:paraId="5A039B19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64F7D2C5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12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bottom"/>
          </w:tcPr>
          <w:p w14:paraId="125DCE80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Ou et al 2022[25]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3C7B7E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FE6E3A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7B72846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890D34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706406F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5E29C8B">
            <w:pPr>
              <w:jc w:val="center"/>
              <w:rPr>
                <w:rFonts w:hint="default" w:asciiTheme="majorBidi" w:hAnsiTheme="majorBidi" w:cstheme="majorBidi"/>
                <w:sz w:val="18"/>
                <w:szCs w:val="18"/>
                <w:lang w:val="en-US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19C5F8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708BDF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56D82D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541CD6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872751C">
            <w:pPr>
              <w:jc w:val="center"/>
              <w:rPr>
                <w:rFonts w:hint="default" w:asciiTheme="majorBidi" w:hAnsiTheme="majorBidi" w:eastAsiaTheme="minorEastAsia" w:cstheme="majorBidi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NO</w:t>
            </w:r>
          </w:p>
        </w:tc>
      </w:tr>
      <w:tr w14:paraId="3A6C6ED6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5761E586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13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bottom"/>
          </w:tcPr>
          <w:p w14:paraId="61AF1E8B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Veeturi et al 2023[26]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633A4AC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6411CB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AF7AE9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AF09D7C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BD66959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B946A3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7BC065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34B23B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4A54E7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4BEF26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C656F5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</w:tr>
      <w:tr w14:paraId="30575194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6CE4DD9C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14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bottom"/>
          </w:tcPr>
          <w:p w14:paraId="231689A8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Hu et al 2024[27]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2ABBFBC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1E750A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20D3FAE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150AE1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F3445FC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36D97E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E69847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10A786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9B9FEB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F6D1FD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86AB2B9">
            <w:pPr>
              <w:jc w:val="center"/>
              <w:rPr>
                <w:rFonts w:hint="default" w:asciiTheme="majorBidi" w:hAnsiTheme="majorBidi" w:eastAsiaTheme="minorEastAsia" w:cstheme="majorBidi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</w:tr>
      <w:tr w14:paraId="2CFA1BEC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20E163AC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15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01B98D36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Wu et al 2022[28]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66B0E4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40FCCCF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D30D3D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53C23F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F3BB4E9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09818BF">
            <w:pPr>
              <w:jc w:val="center"/>
              <w:rPr>
                <w:rFonts w:hint="default" w:asciiTheme="majorBidi" w:hAnsiTheme="majorBidi" w:cstheme="majorBidi"/>
                <w:sz w:val="18"/>
                <w:szCs w:val="18"/>
                <w:lang w:val="en-US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5FA49E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DF1053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2611B7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266947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4599D72">
            <w:pPr>
              <w:jc w:val="center"/>
              <w:rPr>
                <w:rFonts w:hint="default" w:asciiTheme="majorBidi" w:hAnsiTheme="majorBidi" w:eastAsiaTheme="minorEastAsia" w:cstheme="majorBidi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</w:tr>
      <w:tr w14:paraId="23728E53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120DE9CE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16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3ACF38BC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Liu et al</w:t>
            </w:r>
            <w:r>
              <w:rPr>
                <w:rFonts w:hint="eastAsia" w:eastAsia="宋体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2019 [29]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AC0674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246E69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509C40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2B1A30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3C7F85E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9900A28">
            <w:pPr>
              <w:jc w:val="center"/>
              <w:rPr>
                <w:rFonts w:hint="default" w:asciiTheme="majorBidi" w:hAnsiTheme="majorBidi" w:cstheme="majorBidi"/>
                <w:sz w:val="18"/>
                <w:szCs w:val="18"/>
                <w:lang w:val="en-US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5E2A2D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28D9A5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D67216C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87A0506">
            <w:pPr>
              <w:jc w:val="center"/>
              <w:rPr>
                <w:rFonts w:hint="default" w:asciiTheme="majorBidi" w:hAnsiTheme="majorBidi" w:cstheme="majorBidi"/>
                <w:sz w:val="18"/>
                <w:szCs w:val="18"/>
                <w:lang w:val="en-US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C1F9A6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</w:tr>
      <w:tr w14:paraId="0D74F13C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7CCACF21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17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0B79220C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Li et al 2022[30]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11BDFF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56C6DCF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BBD7EEF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FBB5D6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1FB3CA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E53368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95F9AAE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3BDE38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6CF3FA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7C918A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8C44AC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</w:tr>
      <w:tr w14:paraId="217DE86D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5A574ED5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18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62781885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Luo et al 2024[31]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45189AC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71B5FC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0363C6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BB7C62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438DF3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4D82B27">
            <w:pPr>
              <w:jc w:val="center"/>
              <w:rPr>
                <w:rFonts w:hint="default" w:asciiTheme="majorBidi" w:hAnsiTheme="majorBidi" w:cstheme="majorBidi"/>
                <w:sz w:val="18"/>
                <w:szCs w:val="18"/>
                <w:lang w:val="en-US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3FC5FC6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3F2D1E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56C1DE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FC4189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0EFFB06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</w:tr>
      <w:tr w14:paraId="7B5B9BF8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764A6FDE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19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20B2826C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Veeturi et al 2024[32]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B423CE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7284C2E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FFF52C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116B259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EC4B9F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C1E9344">
            <w:pPr>
              <w:jc w:val="center"/>
              <w:rPr>
                <w:rFonts w:hint="default" w:asciiTheme="majorBidi" w:hAnsiTheme="majorBidi" w:cstheme="majorBidi"/>
                <w:sz w:val="18"/>
                <w:szCs w:val="18"/>
                <w:lang w:val="en-US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C04787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28D2744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C285FF4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3F5DE0C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A5434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</w:tr>
      <w:tr w14:paraId="0970C401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047B6D3D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20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0E1A5F42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Zeng et al 2024[33]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4C50CE4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68C5D39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1E117BE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358AB2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BAB4D9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5CD547A">
            <w:pPr>
              <w:jc w:val="center"/>
              <w:rPr>
                <w:rFonts w:hint="default" w:asciiTheme="majorBidi" w:hAnsiTheme="majorBidi" w:cstheme="majorBidi"/>
                <w:sz w:val="18"/>
                <w:szCs w:val="18"/>
                <w:lang w:val="en-US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12EC15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9BCB59F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7906E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AE73C0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3F5D81F">
            <w:pPr>
              <w:jc w:val="center"/>
              <w:rPr>
                <w:rFonts w:hint="default" w:asciiTheme="majorBidi" w:hAnsiTheme="majorBidi" w:eastAsiaTheme="minorEastAsia" w:cstheme="majorBidi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</w:tr>
      <w:tr w14:paraId="1CF6D52D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461C0A51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21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bottom"/>
          </w:tcPr>
          <w:p w14:paraId="3CC4A8DB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Ludwig et al 2021[34]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F8EB4D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0BBBF46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DA591E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3DA607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BB2D67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6D9B5DE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922F969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DC72356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BA36D2F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7A0A73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93B249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</w:tr>
      <w:tr w14:paraId="02764EB7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445CD48C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22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3852D75A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Yang et al 2023[35]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D1C5F0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476666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D42AB7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1B8193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EAB527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D87FED2">
            <w:pPr>
              <w:jc w:val="center"/>
              <w:rPr>
                <w:rFonts w:hint="default" w:asciiTheme="majorBidi" w:hAnsiTheme="majorBidi" w:cstheme="majorBidi"/>
                <w:sz w:val="18"/>
                <w:szCs w:val="18"/>
                <w:lang w:val="en-US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547725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0FB3CD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159E2E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062160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DF4C6A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</w:tr>
      <w:tr w14:paraId="3DD1B4E4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0FB665A0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23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636565DF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Turhon et al 2023[36]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401F61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A4A1D7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859C4B6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6DC497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BFB41C9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117708C">
            <w:pPr>
              <w:jc w:val="center"/>
              <w:rPr>
                <w:rFonts w:hint="default" w:asciiTheme="majorBidi" w:hAnsiTheme="majorBidi" w:cstheme="majorBidi"/>
                <w:sz w:val="18"/>
                <w:szCs w:val="18"/>
                <w:lang w:val="en-US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B456AFF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126A50F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29703EC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67E358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2D91A4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</w:tr>
      <w:tr w14:paraId="7D15CF40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311550EB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24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bottom"/>
          </w:tcPr>
          <w:p w14:paraId="19CE02CB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Zhang et al 2024[37]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F4DDACC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8CF8EA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DA0DF56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FA495F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81A3FFC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21567CF">
            <w:pPr>
              <w:jc w:val="center"/>
              <w:rPr>
                <w:rFonts w:hint="default" w:asciiTheme="majorBidi" w:hAnsiTheme="majorBidi" w:cstheme="majorBidi"/>
                <w:sz w:val="18"/>
                <w:szCs w:val="18"/>
                <w:lang w:val="en-US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A3C520E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724C57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8B8530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256037E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8D0CB5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</w:tr>
      <w:tr w14:paraId="2042C313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48BCB3D3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AU"/>
              </w:rPr>
              <w:t>25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bottom"/>
          </w:tcPr>
          <w:p w14:paraId="0A4B7CF3">
            <w:pPr>
              <w:spacing w:before="40" w:after="40"/>
              <w:jc w:val="left"/>
              <w:rPr>
                <w:rFonts w:eastAsia="Times New Roman" w:asciiTheme="majorBidi" w:hAnsiTheme="majorBidi" w:cstheme="majorBidi"/>
                <w:b/>
                <w:bCs/>
                <w:color w:val="000000"/>
                <w:sz w:val="18"/>
                <w:szCs w:val="18"/>
                <w:lang w:val="en-AU"/>
              </w:rPr>
            </w:pPr>
            <w:r>
              <w:rPr>
                <w:rFonts w:hint="eastAsia" w:eastAsia="Times New Roman"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en-AU"/>
              </w:rPr>
              <w:t>An et al 2022[38]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D051AD9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7E39C86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1F8822C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5A67C06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EF0A1D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07D564C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3648D5A">
            <w:pPr>
              <w:jc w:val="center"/>
              <w:rPr>
                <w:rFonts w:hint="eastAsia" w:asciiTheme="majorBidi" w:hAnsiTheme="majorBidi" w:eastAsiaTheme="minorEastAsia" w:cstheme="majorBidi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</w:t>
            </w: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r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38FBD8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C673D1C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FA03D4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</w:t>
            </w: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r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515AB79C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</w:tr>
      <w:tr w14:paraId="281EB8C8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3C427CDB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26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5DBCA5F0">
            <w:pPr>
              <w:spacing w:before="40" w:after="40"/>
              <w:jc w:val="left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b w:val="0"/>
                <w:bCs w:val="0"/>
                <w:sz w:val="18"/>
                <w:szCs w:val="18"/>
                <w:lang w:val="en-AU" w:eastAsia="en-GB"/>
              </w:rPr>
              <w:t>Luo et al 2022[39]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2936D3DC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76A797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AC1815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C8C0DFF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6401C13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325EED38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7EBF4FB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C6104AF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00FD56D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11FA12FC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top"/>
          </w:tcPr>
          <w:p w14:paraId="41B717F4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</w:tr>
      <w:tr w14:paraId="70443823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nil"/>
              <w:right w:val="single" w:color="BEBEBE" w:themeColor="background1" w:themeShade="BF" w:sz="4" w:space="0"/>
            </w:tcBorders>
          </w:tcPr>
          <w:p w14:paraId="3DA3973D">
            <w:pPr>
              <w:rPr>
                <w:rFonts w:asciiTheme="majorBidi" w:hAnsiTheme="majorBidi" w:cstheme="majorBidi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27</w:t>
            </w:r>
          </w:p>
        </w:tc>
        <w:tc>
          <w:tcPr>
            <w:tcW w:w="1369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nil"/>
              <w:right w:val="single" w:color="BEBEBE" w:themeColor="background1" w:themeShade="BF" w:sz="4" w:space="0"/>
            </w:tcBorders>
            <w:vAlign w:val="bottom"/>
          </w:tcPr>
          <w:p w14:paraId="47EDDD0C">
            <w:pPr>
              <w:spacing w:before="40" w:after="4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b w:val="0"/>
                <w:bCs w:val="0"/>
                <w:sz w:val="18"/>
                <w:szCs w:val="18"/>
                <w:lang w:val="en-AU" w:eastAsia="en-GB"/>
              </w:rPr>
              <w:t>Li et al 2023[40]</w:t>
            </w:r>
          </w:p>
        </w:tc>
        <w:tc>
          <w:tcPr>
            <w:tcW w:w="6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nil"/>
              <w:right w:val="single" w:color="BEBEBE" w:themeColor="background1" w:themeShade="BF" w:sz="4" w:space="0"/>
            </w:tcBorders>
            <w:vAlign w:val="top"/>
          </w:tcPr>
          <w:p w14:paraId="0B45DFB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nil"/>
              <w:right w:val="single" w:color="BEBEBE" w:themeColor="background1" w:themeShade="BF" w:sz="4" w:space="0"/>
            </w:tcBorders>
            <w:vAlign w:val="top"/>
          </w:tcPr>
          <w:p w14:paraId="12A343F9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nil"/>
              <w:right w:val="single" w:color="BEBEBE" w:themeColor="background1" w:themeShade="BF" w:sz="4" w:space="0"/>
            </w:tcBorders>
            <w:vAlign w:val="top"/>
          </w:tcPr>
          <w:p w14:paraId="1C73638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nil"/>
              <w:right w:val="single" w:color="BEBEBE" w:themeColor="background1" w:themeShade="BF" w:sz="4" w:space="0"/>
            </w:tcBorders>
            <w:vAlign w:val="top"/>
          </w:tcPr>
          <w:p w14:paraId="11BEE5A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3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nil"/>
              <w:right w:val="single" w:color="BEBEBE" w:themeColor="background1" w:themeShade="BF" w:sz="4" w:space="0"/>
            </w:tcBorders>
            <w:vAlign w:val="top"/>
          </w:tcPr>
          <w:p w14:paraId="637BF6F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1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nil"/>
              <w:right w:val="single" w:color="BEBEBE" w:themeColor="background1" w:themeShade="BF" w:sz="4" w:space="0"/>
            </w:tcBorders>
            <w:vAlign w:val="top"/>
          </w:tcPr>
          <w:p w14:paraId="25BDC19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93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nil"/>
              <w:right w:val="single" w:color="BEBEBE" w:themeColor="background1" w:themeShade="BF" w:sz="4" w:space="0"/>
            </w:tcBorders>
            <w:vAlign w:val="top"/>
          </w:tcPr>
          <w:p w14:paraId="7BB8744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46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nil"/>
              <w:right w:val="single" w:color="BEBEBE" w:themeColor="background1" w:themeShade="BF" w:sz="4" w:space="0"/>
            </w:tcBorders>
            <w:vAlign w:val="top"/>
          </w:tcPr>
          <w:p w14:paraId="6E50B68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77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nil"/>
              <w:right w:val="single" w:color="BEBEBE" w:themeColor="background1" w:themeShade="BF" w:sz="4" w:space="0"/>
            </w:tcBorders>
            <w:vAlign w:val="top"/>
          </w:tcPr>
          <w:p w14:paraId="29766B6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nil"/>
              <w:right w:val="single" w:color="BEBEBE" w:themeColor="background1" w:themeShade="BF" w:sz="4" w:space="0"/>
            </w:tcBorders>
            <w:vAlign w:val="top"/>
          </w:tcPr>
          <w:p w14:paraId="3F03F21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nil"/>
              <w:right w:val="single" w:color="BEBEBE" w:themeColor="background1" w:themeShade="BF" w:sz="4" w:space="0"/>
            </w:tcBorders>
            <w:vAlign w:val="top"/>
          </w:tcPr>
          <w:p w14:paraId="156C213F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</w:tr>
      <w:tr w14:paraId="05BC4F69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97" w:type="dxa"/>
            <w:tcBorders>
              <w:top w:val="nil"/>
              <w:left w:val="single" w:color="BEBEBE" w:themeColor="background1" w:themeShade="BF" w:sz="4" w:space="0"/>
              <w:bottom w:val="single" w:color="000000" w:themeColor="text1" w:sz="12" w:space="0"/>
              <w:right w:val="single" w:color="BEBEBE" w:themeColor="background1" w:themeShade="BF" w:sz="4" w:space="0"/>
            </w:tcBorders>
          </w:tcPr>
          <w:p w14:paraId="042A9725">
            <w:pP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18"/>
                <w:szCs w:val="18"/>
                <w:lang w:val="en-AU"/>
              </w:rPr>
              <w:t>28</w:t>
            </w:r>
          </w:p>
        </w:tc>
        <w:tc>
          <w:tcPr>
            <w:tcW w:w="1369" w:type="dxa"/>
            <w:tcBorders>
              <w:top w:val="nil"/>
              <w:left w:val="single" w:color="BEBEBE" w:themeColor="background1" w:themeShade="BF" w:sz="4" w:space="0"/>
              <w:bottom w:val="single" w:color="000000" w:themeColor="text1" w:sz="12" w:space="0"/>
              <w:right w:val="single" w:color="BEBEBE" w:themeColor="background1" w:themeShade="BF" w:sz="4" w:space="0"/>
            </w:tcBorders>
            <w:vAlign w:val="bottom"/>
          </w:tcPr>
          <w:p w14:paraId="70F526CD">
            <w:pPr>
              <w:spacing w:before="40" w:after="40"/>
              <w:jc w:val="left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b w:val="0"/>
                <w:bCs w:val="0"/>
                <w:sz w:val="18"/>
                <w:szCs w:val="18"/>
                <w:lang w:val="en-AU" w:eastAsia="en-GB"/>
              </w:rPr>
              <w:t>Liu et al2021[41]</w:t>
            </w:r>
          </w:p>
        </w:tc>
        <w:tc>
          <w:tcPr>
            <w:tcW w:w="691" w:type="dxa"/>
            <w:tcBorders>
              <w:top w:val="nil"/>
              <w:left w:val="single" w:color="BEBEBE" w:themeColor="background1" w:themeShade="BF" w:sz="4" w:space="0"/>
              <w:bottom w:val="single" w:color="000000" w:themeColor="text1" w:sz="12" w:space="0"/>
              <w:right w:val="single" w:color="BEBEBE" w:themeColor="background1" w:themeShade="BF" w:sz="4" w:space="0"/>
            </w:tcBorders>
            <w:vAlign w:val="top"/>
          </w:tcPr>
          <w:p w14:paraId="07DE87C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16" w:type="dxa"/>
            <w:tcBorders>
              <w:top w:val="nil"/>
              <w:left w:val="single" w:color="BEBEBE" w:themeColor="background1" w:themeShade="BF" w:sz="4" w:space="0"/>
              <w:bottom w:val="single" w:color="000000" w:themeColor="text1" w:sz="12" w:space="0"/>
              <w:right w:val="single" w:color="BEBEBE" w:themeColor="background1" w:themeShade="BF" w:sz="4" w:space="0"/>
            </w:tcBorders>
            <w:vAlign w:val="top"/>
          </w:tcPr>
          <w:p w14:paraId="7F0C8AB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888" w:type="dxa"/>
            <w:tcBorders>
              <w:top w:val="nil"/>
              <w:left w:val="single" w:color="BEBEBE" w:themeColor="background1" w:themeShade="BF" w:sz="4" w:space="0"/>
              <w:bottom w:val="single" w:color="000000" w:themeColor="text1" w:sz="12" w:space="0"/>
              <w:right w:val="single" w:color="BEBEBE" w:themeColor="background1" w:themeShade="BF" w:sz="4" w:space="0"/>
            </w:tcBorders>
            <w:vAlign w:val="top"/>
          </w:tcPr>
          <w:p w14:paraId="1F32F7CF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995" w:type="dxa"/>
            <w:tcBorders>
              <w:top w:val="nil"/>
              <w:left w:val="single" w:color="BEBEBE" w:themeColor="background1" w:themeShade="BF" w:sz="4" w:space="0"/>
              <w:bottom w:val="single" w:color="000000" w:themeColor="text1" w:sz="12" w:space="0"/>
              <w:right w:val="single" w:color="BEBEBE" w:themeColor="background1" w:themeShade="BF" w:sz="4" w:space="0"/>
            </w:tcBorders>
            <w:vAlign w:val="top"/>
          </w:tcPr>
          <w:p w14:paraId="01598BF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835" w:type="dxa"/>
            <w:tcBorders>
              <w:top w:val="nil"/>
              <w:left w:val="single" w:color="BEBEBE" w:themeColor="background1" w:themeShade="BF" w:sz="4" w:space="0"/>
              <w:bottom w:val="single" w:color="000000" w:themeColor="text1" w:sz="12" w:space="0"/>
              <w:right w:val="single" w:color="BEBEBE" w:themeColor="background1" w:themeShade="BF" w:sz="4" w:space="0"/>
            </w:tcBorders>
            <w:vAlign w:val="top"/>
          </w:tcPr>
          <w:p w14:paraId="635ADB9E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12" w:type="dxa"/>
            <w:tcBorders>
              <w:top w:val="nil"/>
              <w:left w:val="single" w:color="BEBEBE" w:themeColor="background1" w:themeShade="BF" w:sz="4" w:space="0"/>
              <w:bottom w:val="single" w:color="000000" w:themeColor="text1" w:sz="12" w:space="0"/>
              <w:right w:val="single" w:color="BEBEBE" w:themeColor="background1" w:themeShade="BF" w:sz="4" w:space="0"/>
            </w:tcBorders>
            <w:vAlign w:val="top"/>
          </w:tcPr>
          <w:p w14:paraId="2FA81D49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936" w:type="dxa"/>
            <w:tcBorders>
              <w:top w:val="nil"/>
              <w:left w:val="single" w:color="BEBEBE" w:themeColor="background1" w:themeShade="BF" w:sz="4" w:space="0"/>
              <w:bottom w:val="single" w:color="000000" w:themeColor="text1" w:sz="12" w:space="0"/>
              <w:right w:val="single" w:color="BEBEBE" w:themeColor="background1" w:themeShade="BF" w:sz="4" w:space="0"/>
            </w:tcBorders>
            <w:vAlign w:val="top"/>
          </w:tcPr>
          <w:p w14:paraId="5F78332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1046" w:type="dxa"/>
            <w:tcBorders>
              <w:top w:val="nil"/>
              <w:left w:val="single" w:color="BEBEBE" w:themeColor="background1" w:themeShade="BF" w:sz="4" w:space="0"/>
              <w:bottom w:val="single" w:color="000000" w:themeColor="text1" w:sz="12" w:space="0"/>
              <w:right w:val="single" w:color="BEBEBE" w:themeColor="background1" w:themeShade="BF" w:sz="4" w:space="0"/>
            </w:tcBorders>
            <w:vAlign w:val="top"/>
          </w:tcPr>
          <w:p w14:paraId="214EB9B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775" w:type="dxa"/>
            <w:tcBorders>
              <w:top w:val="nil"/>
              <w:left w:val="single" w:color="BEBEBE" w:themeColor="background1" w:themeShade="BF" w:sz="4" w:space="0"/>
              <w:bottom w:val="single" w:color="000000" w:themeColor="text1" w:sz="12" w:space="0"/>
              <w:right w:val="single" w:color="BEBEBE" w:themeColor="background1" w:themeShade="BF" w:sz="4" w:space="0"/>
            </w:tcBorders>
            <w:vAlign w:val="top"/>
          </w:tcPr>
          <w:p w14:paraId="64370F1F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591" w:type="dxa"/>
            <w:tcBorders>
              <w:top w:val="nil"/>
              <w:left w:val="single" w:color="BEBEBE" w:themeColor="background1" w:themeShade="BF" w:sz="4" w:space="0"/>
              <w:bottom w:val="single" w:color="000000" w:themeColor="text1" w:sz="12" w:space="0"/>
              <w:right w:val="single" w:color="BEBEBE" w:themeColor="background1" w:themeShade="BF" w:sz="4" w:space="0"/>
            </w:tcBorders>
            <w:vAlign w:val="top"/>
          </w:tcPr>
          <w:p w14:paraId="2F4C053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US" w:eastAsia="zh-CN"/>
              </w:rPr>
              <w:t>Y</w:t>
            </w:r>
            <w:r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  <w:t>es</w:t>
            </w:r>
          </w:p>
        </w:tc>
        <w:tc>
          <w:tcPr>
            <w:tcW w:w="1022" w:type="dxa"/>
            <w:tcBorders>
              <w:top w:val="nil"/>
              <w:left w:val="single" w:color="BEBEBE" w:themeColor="background1" w:themeShade="BF" w:sz="4" w:space="0"/>
              <w:bottom w:val="single" w:color="000000" w:themeColor="text1" w:sz="12" w:space="0"/>
              <w:right w:val="single" w:color="BEBEBE" w:themeColor="background1" w:themeShade="BF" w:sz="4" w:space="0"/>
            </w:tcBorders>
            <w:vAlign w:val="top"/>
          </w:tcPr>
          <w:p w14:paraId="1270A024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AU" w:eastAsia="en-GB"/>
              </w:rPr>
            </w:pPr>
            <w:r>
              <w:rPr>
                <w:rFonts w:hint="eastAsia" w:asciiTheme="majorBidi" w:hAnsiTheme="majorBidi" w:cstheme="majorBidi"/>
                <w:sz w:val="18"/>
                <w:szCs w:val="18"/>
                <w:lang w:val="en-AU" w:eastAsia="en-GB"/>
              </w:rPr>
              <w:t>Unclear</w:t>
            </w:r>
          </w:p>
        </w:tc>
      </w:tr>
    </w:tbl>
    <w:p w14:paraId="3C76B61E">
      <w:p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eastAsia="zh-CN"/>
        </w:rPr>
      </w:pPr>
    </w:p>
    <w:p w14:paraId="0F6E3CB7">
      <w:p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eastAsia="zh-CN"/>
        </w:rPr>
      </w:pPr>
      <w:bookmarkStart w:id="1" w:name="_GoBack"/>
      <w:bookmarkEnd w:id="1"/>
    </w:p>
    <w:p w14:paraId="2FCC2007">
      <w:p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eastAsia="zh-CN"/>
        </w:rPr>
      </w:pPr>
    </w:p>
    <w:p w14:paraId="1E5ADE0A">
      <w:p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eastAsia="zh-CN"/>
        </w:rPr>
      </w:pPr>
    </w:p>
    <w:sectPr>
      <w:pgSz w:w="11906" w:h="16838"/>
      <w:pgMar w:top="1440" w:right="1349" w:bottom="1440" w:left="134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2ODU1MDFhMDc0MGRkYzllNDU2M2VkNTU2ODNmOWUifQ=="/>
  </w:docVars>
  <w:rsids>
    <w:rsidRoot w:val="100610AB"/>
    <w:rsid w:val="00132CB8"/>
    <w:rsid w:val="00D91EDB"/>
    <w:rsid w:val="03BD3D36"/>
    <w:rsid w:val="04014718"/>
    <w:rsid w:val="04251C4C"/>
    <w:rsid w:val="04675A50"/>
    <w:rsid w:val="051F15AE"/>
    <w:rsid w:val="05A12419"/>
    <w:rsid w:val="05B1678E"/>
    <w:rsid w:val="060C18C5"/>
    <w:rsid w:val="063D2F0C"/>
    <w:rsid w:val="06A6570E"/>
    <w:rsid w:val="082E3726"/>
    <w:rsid w:val="084C7436"/>
    <w:rsid w:val="08ED14B1"/>
    <w:rsid w:val="08F97EBD"/>
    <w:rsid w:val="09646A02"/>
    <w:rsid w:val="09EE0555"/>
    <w:rsid w:val="0B7D3DAB"/>
    <w:rsid w:val="0C272694"/>
    <w:rsid w:val="0CF63E15"/>
    <w:rsid w:val="0E2350DD"/>
    <w:rsid w:val="0E9E6512"/>
    <w:rsid w:val="0FBF4992"/>
    <w:rsid w:val="100610AB"/>
    <w:rsid w:val="117F59A5"/>
    <w:rsid w:val="11864DB8"/>
    <w:rsid w:val="135E44C2"/>
    <w:rsid w:val="156D6C3E"/>
    <w:rsid w:val="15FD7FC2"/>
    <w:rsid w:val="16781D3E"/>
    <w:rsid w:val="16AA639C"/>
    <w:rsid w:val="16F05D79"/>
    <w:rsid w:val="170E5B6A"/>
    <w:rsid w:val="17B52555"/>
    <w:rsid w:val="18D47700"/>
    <w:rsid w:val="1BDC68CC"/>
    <w:rsid w:val="1BE063BC"/>
    <w:rsid w:val="1C0C0F76"/>
    <w:rsid w:val="1EAC6A29"/>
    <w:rsid w:val="1ED542C5"/>
    <w:rsid w:val="204A02A8"/>
    <w:rsid w:val="21780E44"/>
    <w:rsid w:val="21CE6CB6"/>
    <w:rsid w:val="21D31828"/>
    <w:rsid w:val="23733FB9"/>
    <w:rsid w:val="238166D6"/>
    <w:rsid w:val="23E15060"/>
    <w:rsid w:val="24961D0D"/>
    <w:rsid w:val="250824DF"/>
    <w:rsid w:val="25C65BD5"/>
    <w:rsid w:val="28E72633"/>
    <w:rsid w:val="29347D47"/>
    <w:rsid w:val="294F2DD3"/>
    <w:rsid w:val="29F80D74"/>
    <w:rsid w:val="2A054327"/>
    <w:rsid w:val="2CDE3F21"/>
    <w:rsid w:val="31AF3F03"/>
    <w:rsid w:val="31FE2EEA"/>
    <w:rsid w:val="32794A1C"/>
    <w:rsid w:val="337E0322"/>
    <w:rsid w:val="33941657"/>
    <w:rsid w:val="37A8202C"/>
    <w:rsid w:val="387655A1"/>
    <w:rsid w:val="39367615"/>
    <w:rsid w:val="3A655FB2"/>
    <w:rsid w:val="3B966D48"/>
    <w:rsid w:val="3EB72B54"/>
    <w:rsid w:val="3ED022A8"/>
    <w:rsid w:val="3F067638"/>
    <w:rsid w:val="3F290356"/>
    <w:rsid w:val="400C6ED0"/>
    <w:rsid w:val="405002F8"/>
    <w:rsid w:val="411B0182"/>
    <w:rsid w:val="424741EF"/>
    <w:rsid w:val="42ED4D97"/>
    <w:rsid w:val="436D5ED7"/>
    <w:rsid w:val="43F6411F"/>
    <w:rsid w:val="45772094"/>
    <w:rsid w:val="45B002FD"/>
    <w:rsid w:val="45F35533"/>
    <w:rsid w:val="46A14C97"/>
    <w:rsid w:val="46F506BE"/>
    <w:rsid w:val="472E597E"/>
    <w:rsid w:val="4A266DE0"/>
    <w:rsid w:val="4AE01685"/>
    <w:rsid w:val="4B4B11F4"/>
    <w:rsid w:val="4D7367E0"/>
    <w:rsid w:val="4EAD157E"/>
    <w:rsid w:val="4F1B0EDE"/>
    <w:rsid w:val="50854D82"/>
    <w:rsid w:val="50CA4969"/>
    <w:rsid w:val="50FB3F1F"/>
    <w:rsid w:val="514069D9"/>
    <w:rsid w:val="52497B10"/>
    <w:rsid w:val="5415239F"/>
    <w:rsid w:val="5486504B"/>
    <w:rsid w:val="55050666"/>
    <w:rsid w:val="555378CE"/>
    <w:rsid w:val="55AA6B17"/>
    <w:rsid w:val="566850F8"/>
    <w:rsid w:val="58B830D4"/>
    <w:rsid w:val="59796F2C"/>
    <w:rsid w:val="59A65848"/>
    <w:rsid w:val="59CC1227"/>
    <w:rsid w:val="59F86D18"/>
    <w:rsid w:val="5A492DA3"/>
    <w:rsid w:val="5AC10B8B"/>
    <w:rsid w:val="5AF20429"/>
    <w:rsid w:val="5BFD2097"/>
    <w:rsid w:val="5C180C7F"/>
    <w:rsid w:val="5DF9688E"/>
    <w:rsid w:val="5E93283E"/>
    <w:rsid w:val="60F041D8"/>
    <w:rsid w:val="62035F2D"/>
    <w:rsid w:val="63262368"/>
    <w:rsid w:val="63301F64"/>
    <w:rsid w:val="63546B83"/>
    <w:rsid w:val="637C10B3"/>
    <w:rsid w:val="648F3AA8"/>
    <w:rsid w:val="65510D5D"/>
    <w:rsid w:val="67220C03"/>
    <w:rsid w:val="67BD3F39"/>
    <w:rsid w:val="67C9627C"/>
    <w:rsid w:val="67E91721"/>
    <w:rsid w:val="68BE495C"/>
    <w:rsid w:val="691B5625"/>
    <w:rsid w:val="69746EBF"/>
    <w:rsid w:val="6A1862EE"/>
    <w:rsid w:val="6AE76BE9"/>
    <w:rsid w:val="6AFC176B"/>
    <w:rsid w:val="6B1116BB"/>
    <w:rsid w:val="6C423AF6"/>
    <w:rsid w:val="6CB735FA"/>
    <w:rsid w:val="6D821A44"/>
    <w:rsid w:val="6E8E5F64"/>
    <w:rsid w:val="6E9F2B3A"/>
    <w:rsid w:val="6EC01C8A"/>
    <w:rsid w:val="6FEC1DAE"/>
    <w:rsid w:val="715E167E"/>
    <w:rsid w:val="71BB219B"/>
    <w:rsid w:val="735212C0"/>
    <w:rsid w:val="73E3171A"/>
    <w:rsid w:val="73F77193"/>
    <w:rsid w:val="76FD1BB0"/>
    <w:rsid w:val="77BA4E88"/>
    <w:rsid w:val="78B90C9C"/>
    <w:rsid w:val="799040F2"/>
    <w:rsid w:val="7A842082"/>
    <w:rsid w:val="7BF01859"/>
    <w:rsid w:val="7CB77687"/>
    <w:rsid w:val="7D472D1A"/>
    <w:rsid w:val="7F3B065C"/>
    <w:rsid w:val="7F52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Grid Light1"/>
    <w:basedOn w:val="3"/>
    <w:qFormat/>
    <w:uiPriority w:val="40"/>
    <w:rPr>
      <w:sz w:val="22"/>
      <w:szCs w:val="22"/>
      <w:lang w:val="en-AU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760</Words>
  <Characters>3669</Characters>
  <Lines>0</Lines>
  <Paragraphs>0</Paragraphs>
  <TotalTime>36</TotalTime>
  <ScaleCrop>false</ScaleCrop>
  <LinksUpToDate>false</LinksUpToDate>
  <CharactersWithSpaces>4029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2024-04-05T11:45:00Z</dcterms:created>
  <dc:creator>王飞</dc:creator>
  <cp:lastModifiedBy>Administrator</cp:lastModifiedBy>
  <dcterms:modified xsi:type="dcterms:W3CDTF">2025-09-16T14:58:18Z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1C5CADF3C49B4C538DC66F718D4BBE17_11</vt:lpwstr>
  </property>
  <property fmtid="{D5CDD505-2E9C-101B-9397-08002B2CF9AE}" pid="4" name="KSOTemplateDocerSaveRecord">
    <vt:lpwstr>eyJoZGlkIjoiNmE2ODU1MDFhMDc0MGRkYzllNDU2M2VkNTU2ODNmOWUiLCJ1c2VySWQiOiI4OTE2OTUzMDgifQ==</vt:lpwstr>
  </property>
</Properties>
</file>