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1A113" w14:textId="728F6633" w:rsidR="0053149B" w:rsidRDefault="004608EA">
      <w:r w:rsidRPr="004608EA">
        <w:rPr>
          <w:rFonts w:hint="eastAsia"/>
          <w:b/>
          <w:bCs/>
        </w:rPr>
        <w:t>F</w:t>
      </w:r>
      <w:r w:rsidRPr="004608EA">
        <w:rPr>
          <w:b/>
          <w:bCs/>
        </w:rPr>
        <w:t xml:space="preserve">igure S1. Laboratory analysis using DLBCL cells U2932 and SU-DHL-10. </w:t>
      </w:r>
      <w:r>
        <w:t xml:space="preserve">(A) The mRNA expression levels of the TFs specific to B cell cluster 2 in DLBCL cells U2932 and SU-DHL-10 as well as the </w:t>
      </w:r>
      <w:r w:rsidRPr="004608EA">
        <w:t>immortalized lymphoblastoid cell line GM1287</w:t>
      </w:r>
      <w:r>
        <w:t xml:space="preserve">8. (B-C) Validation on the knockdown efficiency of XBP1-specific small interfering RNAs in DLBCL cells U2932 and SU-DHL-10. (D-E) Results of XBP1 knockdown on the proliferation of DLBCL cells U2932 and SU-DHL-10, following the knockdown of XBP1. (F-G) Impact of XBP1 knockdown on the invasion of DLBCL cells U2932 and SU-DHL-10, following the knockdown of XBP1. In the figures, all data were expressed as mean </w:t>
      </w:r>
      <w:r>
        <w:rPr>
          <w:rFonts w:cs="Times New Roman"/>
        </w:rPr>
        <w:t>±</w:t>
      </w:r>
      <w:r>
        <w:t xml:space="preserve"> standard deviation and the statistical significance between groups was compared via either two-way analysis of variance or unpaired t-test. (</w:t>
      </w:r>
      <w:r w:rsidRPr="004608EA">
        <w:rPr>
          <w:vertAlign w:val="superscript"/>
        </w:rPr>
        <w:t>***</w:t>
      </w:r>
      <w:r>
        <w:rPr>
          <w:i/>
          <w:iCs/>
        </w:rPr>
        <w:t>p</w:t>
      </w:r>
      <w:r>
        <w:t xml:space="preserve"> &lt; 0.001, vs. GM12878; </w:t>
      </w:r>
      <w:r>
        <w:rPr>
          <w:vertAlign w:val="superscript"/>
        </w:rPr>
        <w:t>##</w:t>
      </w:r>
      <w:r>
        <w:rPr>
          <w:i/>
          <w:iCs/>
        </w:rPr>
        <w:t>p</w:t>
      </w:r>
      <w:r>
        <w:t xml:space="preserve"> &lt; 0.01, </w:t>
      </w:r>
      <w:r>
        <w:rPr>
          <w:vertAlign w:val="superscript"/>
        </w:rPr>
        <w:t>###</w:t>
      </w:r>
      <w:r>
        <w:rPr>
          <w:i/>
          <w:iCs/>
        </w:rPr>
        <w:t>p</w:t>
      </w:r>
      <w:r>
        <w:t xml:space="preserve"> &lt; 0.001, </w:t>
      </w:r>
      <w:r>
        <w:rPr>
          <w:vertAlign w:val="superscript"/>
        </w:rPr>
        <w:t>####</w:t>
      </w:r>
      <w:r>
        <w:rPr>
          <w:i/>
          <w:iCs/>
        </w:rPr>
        <w:t>p</w:t>
      </w:r>
      <w:r>
        <w:t xml:space="preserve"> &lt; 0.0001, vs. </w:t>
      </w:r>
      <w:proofErr w:type="spellStart"/>
      <w:r>
        <w:t>si</w:t>
      </w:r>
      <w:proofErr w:type="spellEnd"/>
      <w:r>
        <w:t xml:space="preserve">-NC; ns </w:t>
      </w:r>
      <w:r>
        <w:rPr>
          <w:i/>
          <w:iCs/>
        </w:rPr>
        <w:t>p</w:t>
      </w:r>
      <w:r>
        <w:t xml:space="preserve"> &gt; 0.05).</w:t>
      </w:r>
    </w:p>
    <w:p w14:paraId="0250A9D1" w14:textId="6B8F70FE" w:rsidR="0075651E" w:rsidRDefault="0075651E"/>
    <w:p w14:paraId="78EEB7B5" w14:textId="7A2D336E" w:rsidR="0075651E" w:rsidRPr="004608EA" w:rsidRDefault="0075651E">
      <w:bookmarkStart w:id="0" w:name="_GoBack"/>
      <w:r w:rsidRPr="0075651E">
        <w:rPr>
          <w:noProof/>
          <w:lang w:val="en-IN" w:eastAsia="en-IN"/>
        </w:rPr>
        <w:drawing>
          <wp:inline distT="0" distB="0" distL="0" distR="0" wp14:anchorId="409DEC88" wp14:editId="0EE4CA2F">
            <wp:extent cx="9108440" cy="9404985"/>
            <wp:effectExtent l="0" t="0" r="0" b="5715"/>
            <wp:docPr id="1" name="Picture 1" descr="H:\journals\Springer\Space\40001\3673\Stage200\Author\Supplementary\Fig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40001\3673\Stage200\Author\Supplementary\Fig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8440" cy="940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5651E" w:rsidRPr="004608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6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A"/>
    <w:rsid w:val="0007571E"/>
    <w:rsid w:val="002757BA"/>
    <w:rsid w:val="002817D7"/>
    <w:rsid w:val="004608EA"/>
    <w:rsid w:val="004D7266"/>
    <w:rsid w:val="0053149B"/>
    <w:rsid w:val="0068636E"/>
    <w:rsid w:val="0075651E"/>
    <w:rsid w:val="007C7119"/>
    <w:rsid w:val="00A1242D"/>
    <w:rsid w:val="00A620AD"/>
    <w:rsid w:val="00AC09D5"/>
    <w:rsid w:val="00C34E46"/>
    <w:rsid w:val="00E641F2"/>
    <w:rsid w:val="00F45C3E"/>
    <w:rsid w:val="00F9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15D95"/>
  <w15:chartTrackingRefBased/>
  <w15:docId w15:val="{0432EA5E-9B19-4D76-B4ED-E243AF19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0AD"/>
    <w:pPr>
      <w:widowControl w:val="0"/>
      <w:spacing w:line="360" w:lineRule="auto"/>
      <w:jc w:val="both"/>
    </w:pPr>
    <w:rPr>
      <w:rFonts w:ascii="Times New Roman" w:eastAsia="SimSun" w:hAnsi="Times New Roman"/>
      <w:sz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36E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8636E"/>
    <w:rPr>
      <w:rFonts w:ascii="Times New Roman" w:eastAsia="SimSun" w:hAnsi="Times New Roman" w:cstheme="majorBidi"/>
      <w:b/>
      <w:bCs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8636E"/>
    <w:rPr>
      <w:rFonts w:ascii="Times New Roman" w:eastAsia="SimSun" w:hAnsi="Times New Roman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Mohana Priya Krishnamoorthi</cp:lastModifiedBy>
  <cp:revision>2</cp:revision>
  <dcterms:created xsi:type="dcterms:W3CDTF">2025-06-10T03:37:00Z</dcterms:created>
  <dcterms:modified xsi:type="dcterms:W3CDTF">2025-12-11T07:12:00Z</dcterms:modified>
</cp:coreProperties>
</file>