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B8A13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eastAsia="宋体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Supplementary Table 1. DeLong Test</w:t>
      </w:r>
    </w:p>
    <w:tbl>
      <w:tblPr>
        <w:tblStyle w:val="3"/>
        <w:tblW w:w="2701" w:type="dxa"/>
        <w:tblInd w:w="88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960"/>
      </w:tblGrid>
      <w:tr w14:paraId="77FEFCFA">
        <w:trPr>
          <w:trHeight w:val="336" w:hRule="atLeast"/>
        </w:trPr>
        <w:tc>
          <w:tcPr>
            <w:tcW w:w="1749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DECB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074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</w:tr>
      <w:tr w14:paraId="0DAE8D06">
        <w:trPr>
          <w:trHeight w:val="336" w:hRule="atLeast"/>
        </w:trPr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8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SVM</w:t>
            </w:r>
          </w:p>
        </w:tc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BD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76EF0614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B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GBM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19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5A1FE2F2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7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C5.0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1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5F9DF119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4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GP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0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</w:tr>
      <w:tr w14:paraId="747CE6D2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5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KNN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F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162C99B8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7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LR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D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239EC576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6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MLP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0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27E167FF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7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NB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8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7DCCFD84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77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8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7EA220A8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6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 vs XGB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A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0C0347ED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3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 vs GBM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1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</w:t>
            </w:r>
          </w:p>
        </w:tc>
      </w:tr>
      <w:tr w14:paraId="0DFE2025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A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 vs C5.0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B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11ACD3F8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C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 vs GP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4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68AB8B76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2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 vs KNN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2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24034632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D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 vs LR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2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68AD52B0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F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 vs MLP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7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1680771E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B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 vs NB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1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235EB34C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D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 vs 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2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713570E9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9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SVM vs XGB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B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199F53B4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2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 vs C5.0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E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3A3C7EAE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8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 vs GP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5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489A4559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0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 vs KNN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A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7D8AC33E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F9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 vs LR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3B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0C74F84D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C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 vs MLP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5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63041B82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7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 vs NB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7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54BB7184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0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 vs 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1A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03BB4DD0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0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GBM vs XGB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D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1CBB3418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2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C5.0 vs GP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97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12F59512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3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C5.0 vs KNN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C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2C30C798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A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C5.0 vs LR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CC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6BF94826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7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C5.0 vs MLP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9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271A0DF6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C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C5.0 vs NB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5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5F2F6FF0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9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C5.0 vs 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A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57D741E8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6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C5.0 vs XGB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D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6AB035EC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1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 vs KNN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4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03048BA1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54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 vs LR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0E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1D5A9969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D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 vs MLP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B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378A02B1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9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 vs NB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A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4E28D041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BB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 vs 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0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48CDA020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C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 vs XGB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E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06C9DD3E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7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KNN vs LR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F2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</w:tr>
      <w:tr w14:paraId="08D94C8D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E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KNN vs MLP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B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</w:t>
            </w:r>
          </w:p>
        </w:tc>
      </w:tr>
      <w:tr w14:paraId="2CB5B553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1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KNN vs NB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7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10B8C5B3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B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KNN vs 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1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7924CFE4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C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KNN vs XGB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B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64406E1F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8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 vs MLP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A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</w:tr>
      <w:tr w14:paraId="4F4E440D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6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 vs NB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EB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78852808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3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 vs 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A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6ED56C8A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2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 vs XGB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1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6084AADA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3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MLP vs NB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C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1CB27F8D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1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MLP vs 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25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045222B8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6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MLP vs XG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6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0A5B7EF5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C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NB vs NN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4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0969A5AD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5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NB vs XGB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E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  <w:tr w14:paraId="5BEDE702">
        <w:trPr>
          <w:trHeight w:val="33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A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NN vs XGB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6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&lt;0.01</w:t>
            </w:r>
          </w:p>
        </w:tc>
      </w:tr>
    </w:tbl>
    <w:p w14:paraId="29160547"/>
    <w:p w14:paraId="5B8B8957">
      <w:pPr>
        <w:pStyle w:val="2"/>
        <w:keepNext w:val="0"/>
        <w:keepLines w:val="0"/>
        <w:widowControl/>
        <w:suppressLineNumbers w:val="0"/>
        <w:ind w:left="0" w:firstLine="0"/>
      </w:pPr>
      <w:r>
        <w:drawing>
          <wp:inline distT="0" distB="0" distL="114300" distR="114300">
            <wp:extent cx="2934335" cy="2486025"/>
            <wp:effectExtent l="0" t="0" r="12065" b="317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A8760">
      <w:pPr>
        <w:rPr>
          <w:rFonts w:hint="default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Supplementary Figure 1.Comparison of receiver operating characteristic (ROC) curves for predicting the first cholecystectomy based on TyG-derived and traditional obesity indices.Axes: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 The 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-axis represents 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1 – Specificity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 (false positive rate), and the 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Y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-axis represents 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Sensitivity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 (true positive rate).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 ROC curves illustrate the predictive performance of the TyG index–derived composite indices and conventional anthropometric measures in assessing the risk of first cholecystectomy. 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TyG.BMI, triglyceride–glucose index × body mass index; TyG.WC, triglyceride–glucose index × waist circumference; TyG.WHtR, triglyceride–glucose index × waist-to-height ratio; BMI, body mass index; WC, waist circumference; WHtR, waist-to-height ratio.</w:t>
      </w:r>
    </w:p>
    <w:p w14:paraId="300FD43B">
      <w:pPr>
        <w:rPr>
          <w:rFonts w:hint="default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</w:p>
    <w:p w14:paraId="0ED7879C">
      <w:pPr>
        <w:rPr>
          <w:rFonts w:hint="eastAsia" w:ascii="Times New Roman" w:hAnsi="Times New Roman" w:cs="Times New Roman" w:eastAsiaTheme="minorEastAsia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color w:val="000000"/>
          <w:sz w:val="24"/>
          <w:szCs w:val="24"/>
          <w:lang w:eastAsia="zh-CN"/>
        </w:rPr>
        <w:drawing>
          <wp:inline distT="0" distB="0" distL="114300" distR="114300">
            <wp:extent cx="2985770" cy="2688590"/>
            <wp:effectExtent l="0" t="0" r="11430" b="3810"/>
            <wp:docPr id="2" name="图片 2" descr="截屏2025-10-29 21.14.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屏2025-10-29 21.14.33"/>
                    <pic:cNvPicPr>
                      <a:picLocks noChangeAspect="1"/>
                    </pic:cNvPicPr>
                  </pic:nvPicPr>
                  <pic:blipFill>
                    <a:blip r:embed="rId5"/>
                    <a:srcRect b="2782"/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827FF">
      <w:pPr>
        <w:keepNext w:val="0"/>
        <w:keepLines w:val="0"/>
        <w:widowControl/>
        <w:suppressLineNumbers w:val="0"/>
        <w:jc w:val="both"/>
        <w:rPr>
          <w:rStyle w:val="5"/>
          <w:i w:val="0"/>
          <w:iCs w:val="0"/>
          <w:caps w:val="0"/>
          <w:color w:val="000000"/>
          <w:spacing w:val="0"/>
          <w:u w:val="none"/>
        </w:rPr>
      </w:pPr>
      <w:bookmarkStart w:id="0" w:name="_GoBack"/>
      <w:r>
        <w:rPr>
          <w:rFonts w:hint="eastAsia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 xml:space="preserve">Supplementary Figure 2. ROC curves for model comparison in predicting the first cholecystectomy. 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ROC curves are presented for 11 different machine learning models, comparing their performance in predicting the risk of first cholecystectomy. The 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AUC (Area Under the Curve)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 for each model is indicated in the legend. The 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X-axis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 represents 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1 – Specificity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 (false positive rate), and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the 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Y-axis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 represents </w:t>
      </w:r>
      <w:r>
        <w:rPr>
          <w:rFonts w:hint="eastAsia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>Sensitivity</w:t>
      </w:r>
      <w:r>
        <w:rPr>
          <w:rFonts w:hint="default" w:ascii="Times New Roman Regular" w:hAnsi="Times New Roman Regular" w:eastAsia="Times New Roman" w:cs="Times New Roman Regular"/>
          <w:color w:val="000000" w:themeColor="text1"/>
          <w:kern w:val="0"/>
          <w:sz w:val="15"/>
          <w:szCs w:val="15"/>
          <w:lang w:val="en-US" w:eastAsia="zh-CN" w:bidi="ar"/>
          <w14:textFill>
            <w14:solidFill>
              <w14:schemeClr w14:val="tx1"/>
            </w14:solidFill>
          </w14:textFill>
        </w:rPr>
        <w:t xml:space="preserve">(true positive rate). </w:t>
      </w:r>
    </w:p>
    <w:bookmarkEnd w:id="0"/>
    <w:p w14:paraId="413F210D">
      <w:r>
        <w:rPr>
          <w:rFonts w:hint="eastAsia" w:ascii="Times New Roman Regular" w:hAnsi="Times New Roman Regular" w:eastAsia="Times New Roman" w:cs="Times New Roman Regular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B68AC"/>
    <w:rsid w:val="6EB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Office_7.2.0.8943_F1E327BC-269C-435d-A152-05C5408002CA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2025-11-03T18:06:00Z</dcterms:created>
  <dc:creator>小黑孩</dc:creator>
  <cp:lastModifiedBy>小黑孩</cp:lastModifiedBy>
  <dcterms:modified xsi:type="dcterms:W3CDTF">2025-11-03T18:09:47Z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2052-7.2.0.8943</vt:lpwstr>
  </property>
  <property fmtid="{D5CDD505-2E9C-101B-9397-08002B2CF9AE}" pid="3" name="ICV">
    <vt:lpwstr>5A8DA4C93F6F1186C27E08697A3FA0FC_41</vt:lpwstr>
  </property>
</Properties>
</file>