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B1C7" w14:textId="77777777" w:rsidR="00FA7DC0" w:rsidRPr="00DD0592" w:rsidRDefault="00FA7DC0" w:rsidP="00FA7DC0">
      <w:pPr>
        <w:rPr>
          <w:rFonts w:cs="Times New Roman"/>
          <w:szCs w:val="24"/>
          <w:lang w:val="en-US"/>
        </w:rPr>
      </w:pPr>
      <w:r w:rsidRPr="00DD0592">
        <w:rPr>
          <w:rFonts w:cs="Times New Roman"/>
          <w:szCs w:val="24"/>
          <w:lang w:val="en-US"/>
        </w:rPr>
        <w:t>Supplementary Table 2. Summary of key clusters</w:t>
      </w:r>
    </w:p>
    <w:tbl>
      <w:tblPr>
        <w:tblStyle w:val="Almindeligtabel4"/>
        <w:tblW w:w="0" w:type="auto"/>
        <w:tblLook w:val="04A0" w:firstRow="1" w:lastRow="0" w:firstColumn="1" w:lastColumn="0" w:noHBand="0" w:noVBand="1"/>
      </w:tblPr>
      <w:tblGrid>
        <w:gridCol w:w="3922"/>
        <w:gridCol w:w="963"/>
        <w:gridCol w:w="6995"/>
        <w:gridCol w:w="1556"/>
      </w:tblGrid>
      <w:tr w:rsidR="00FA7DC0" w:rsidRPr="00DD0592" w14:paraId="2878BA04" w14:textId="77777777" w:rsidTr="004E7E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tcPr>
          <w:p w14:paraId="60E4037C" w14:textId="77777777" w:rsidR="00CF0BBC" w:rsidRPr="00DD0592" w:rsidRDefault="00FA7DC0" w:rsidP="001A59C4">
            <w:pPr>
              <w:rPr>
                <w:rFonts w:cs="Times New Roman"/>
                <w:b w:val="0"/>
                <w:bCs w:val="0"/>
                <w:szCs w:val="24"/>
                <w:lang w:val="en-US"/>
              </w:rPr>
            </w:pPr>
            <w:r w:rsidRPr="00DD0592">
              <w:rPr>
                <w:rFonts w:cs="Times New Roman"/>
                <w:szCs w:val="24"/>
                <w:lang w:val="en-US"/>
              </w:rPr>
              <w:t xml:space="preserve">Reference and </w:t>
            </w:r>
          </w:p>
          <w:p w14:paraId="4EFDDAA3" w14:textId="203D0B37" w:rsidR="00FA7DC0" w:rsidRPr="00DD0592" w:rsidRDefault="00FA7DC0" w:rsidP="001A59C4">
            <w:pPr>
              <w:rPr>
                <w:rFonts w:cs="Times New Roman"/>
                <w:szCs w:val="24"/>
                <w:lang w:val="en-US"/>
              </w:rPr>
            </w:pPr>
            <w:r w:rsidRPr="00DD0592">
              <w:rPr>
                <w:rFonts w:cs="Times New Roman"/>
                <w:szCs w:val="24"/>
                <w:lang w:val="en-US"/>
              </w:rPr>
              <w:t>source of data</w:t>
            </w:r>
          </w:p>
        </w:tc>
        <w:tc>
          <w:tcPr>
            <w:tcW w:w="0" w:type="auto"/>
            <w:tcBorders>
              <w:top w:val="single" w:sz="12" w:space="0" w:color="auto"/>
              <w:bottom w:val="single" w:sz="12" w:space="0" w:color="auto"/>
            </w:tcBorders>
          </w:tcPr>
          <w:p w14:paraId="7BB973A8" w14:textId="77777777" w:rsidR="00FA7DC0" w:rsidRPr="00DD0592" w:rsidRDefault="00FA7DC0" w:rsidP="001A59C4">
            <w:pPr>
              <w:cnfStyle w:val="100000000000" w:firstRow="1"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Species</w:t>
            </w:r>
          </w:p>
        </w:tc>
        <w:tc>
          <w:tcPr>
            <w:tcW w:w="0" w:type="auto"/>
            <w:tcBorders>
              <w:top w:val="single" w:sz="12" w:space="0" w:color="auto"/>
              <w:bottom w:val="single" w:sz="12" w:space="0" w:color="auto"/>
            </w:tcBorders>
          </w:tcPr>
          <w:p w14:paraId="1496E912" w14:textId="77777777" w:rsidR="00FA7DC0" w:rsidRPr="00DD0592" w:rsidRDefault="00FA7DC0" w:rsidP="001A59C4">
            <w:pPr>
              <w:cnfStyle w:val="100000000000" w:firstRow="1"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Gene signature</w:t>
            </w:r>
          </w:p>
        </w:tc>
        <w:tc>
          <w:tcPr>
            <w:tcW w:w="0" w:type="auto"/>
            <w:tcBorders>
              <w:top w:val="single" w:sz="12" w:space="0" w:color="auto"/>
              <w:bottom w:val="single" w:sz="12" w:space="0" w:color="auto"/>
            </w:tcBorders>
          </w:tcPr>
          <w:p w14:paraId="7C7826E2" w14:textId="77777777" w:rsidR="00FA7DC0" w:rsidRPr="00DD0592" w:rsidRDefault="00FA7DC0" w:rsidP="001A59C4">
            <w:pPr>
              <w:cnfStyle w:val="100000000000" w:firstRow="1"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Data repository</w:t>
            </w:r>
          </w:p>
        </w:tc>
      </w:tr>
      <w:tr w:rsidR="00FA7DC0" w:rsidRPr="00DD0592" w14:paraId="7B3CFA37" w14:textId="77777777" w:rsidTr="004E7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shd w:val="clear" w:color="auto" w:fill="FFFFFF" w:themeFill="background1"/>
          </w:tcPr>
          <w:p w14:paraId="3A85067E" w14:textId="77777777" w:rsidR="00FA7DC0" w:rsidRPr="00DD0592" w:rsidRDefault="00FA7DC0" w:rsidP="001A59C4">
            <w:pPr>
              <w:rPr>
                <w:rFonts w:cs="Times New Roman"/>
                <w:szCs w:val="24"/>
              </w:rPr>
            </w:pPr>
            <w:r w:rsidRPr="00DD0592">
              <w:rPr>
                <w:rFonts w:cs="Times New Roman"/>
                <w:b w:val="0"/>
                <w:bCs w:val="0"/>
                <w:szCs w:val="24"/>
              </w:rPr>
              <w:t xml:space="preserve">Yu et al. 2019 </w:t>
            </w:r>
            <w:r w:rsidRPr="00DD0592">
              <w:rPr>
                <w:rFonts w:cs="Times New Roman"/>
                <w:szCs w:val="24"/>
              </w:rPr>
              <w:t xml:space="preserve"> </w:t>
            </w:r>
            <w:r w:rsidRPr="00DD0592">
              <w:rPr>
                <w:rFonts w:cs="Times New Roman"/>
                <w:szCs w:val="24"/>
                <w:lang w:val="en-US"/>
              </w:rPr>
              <w:fldChar w:fldCharType="begin" w:fldLock="1"/>
            </w:r>
            <w:r w:rsidRPr="00DD0592">
              <w:rPr>
                <w:rFonts w:cs="Times New Roman"/>
                <w:b w:val="0"/>
                <w:bCs w:val="0"/>
                <w:szCs w:val="24"/>
              </w:rPr>
              <w:instrText>ADDIN CSL_CITATION {"citationItems":[{"id":"ITEM-1","itemData":{"DOI":"10.1681/ASN.2019040335","ISSN":"15333450","PMID":"31462402","abstract":"Background Having a comprehensive map of the cellular anatomy of the normal human bladder is vital to understanding the cellular origins of benign bladder disease and bladder cancer. Methods We used single-cell RNA sequencing (scRNA-seq) of 12,423 cells from healthy human bladder tissue samples taken from patients with bladder cancer and 12,884 cells from mouse bladders to classify bladder cell types and their underlying functions. Results We created a single-cell transcriptomic map of human and mouse bladders, including 16 clusters of human bladder cells and 15 clusters of mouse bladder cells. The homology and heterogeneity of human and mouse bladder cell types were compared and both conservative and heterogeneous aspects of human and mouse bladder evolution were identified. We also discovered two novel types of human bladder cells. One type is ADRA2A+ and HRH2+ interstitial cells which may be associated with nerve conduction and allergic reactions. The other type is TNNT1+ epithelial cells that may be involved with bladder emptying. We verify these TNNT1+ epithelial cells also occur in rat and mouse bladders. Conclusions This transcriptomic map provides a resource for studying bladder cell types, specific cell markers, signaling receptors, and genes that will help us to learn more about the relationship between bladder cell types and diseases.","author":[{"dropping-particle":"","family":"Yu","given":"Zhenyuan","non-dropping-particle":"","parse-names":false,"suffix":""},{"dropping-particle":"","family":"Liao","given":"Jinling","non-dropping-particle":"","parse-names":false,"suffix":""},{"dropping-particle":"","family":"Chen","given":"Yang","non-dropping-particle":"","parse-names":false,"suffix":""},{"dropping-particle":"","family":"Zou","given":"Chunlin","non-dropping-particle":"","parse-names":false,"suffix":""},{"dropping-particle":"","family":"Zhang","given":"Haiying","non-dropping-particle":"","parse-names":false,"suffix":""},{"dropping-particle":"","family":"Cheng","given":"Jiwen","non-dropping-particle":"","parse-names":false,"suffix":""},{"dropping-particle":"","family":"Liu","given":"Deyun","non-dropping-particle":"","parse-names":false,"suffix":""},{"dropping-particle":"","family":"Li","given":"Tianyu","non-dropping-particle":"","parse-names":false,"suffix":""},{"dropping-particle":"","family":"Zhang","given":"Qingyun","non-dropping-particle":"","parse-names":false,"suffix":""},{"dropping-particle":"","family":"Li","given":"Jiaping","non-dropping-particle":"","parse-names":false,"suffix":""},{"dropping-particle":"","family":"Yang","given":"Xiaobo","non-dropping-particle":"","parse-names":false,"suffix":""},{"dropping-particle":"","family":"Ye","given":"Yu","non-dropping-particle":"","parse-names":false,"suffix":""},{"dropping-particle":"","family":"Huang","given":"Zhiguang","non-dropping-particle":"","parse-names":false,"suffix":""},{"dropping-particle":"","family":"Long","given":"Xinyang","non-dropping-particle":"","parse-names":false,"suffix":""},{"dropping-particle":"","family":"Yang","given":"Rirong","non-dropping-particle":"","parse-names":false,"suffix":""},{"dropping-particle":"","family":"Mo","given":"Zengnan","non-dropping-particle":"","parse-names":false,"suffix":""}],"container-title":"Journal of the American Society of Nephrology","id":"ITEM-1","issue":"11","issued":{"date-parts":[["2019"]]},"page":"2159-2176","title":"Single-cell transcriptomic map of the human and mouse bladders","type":"article-journal","volume":"30"},"uris":["http://www.mendeley.com/documents/?uuid=4956fd26-55b7-46cb-b3b0-0eb46d80786f"]}],"mendeley":{"formattedCitation":"(6)","plainTextFormattedCitation":"(6)","previouslyFormattedCitation":"(6)"},"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rPr>
              <w:t>(6)</w:t>
            </w:r>
            <w:r w:rsidRPr="00DD0592">
              <w:rPr>
                <w:rFonts w:cs="Times New Roman"/>
                <w:szCs w:val="24"/>
                <w:lang w:val="en-US"/>
              </w:rPr>
              <w:fldChar w:fldCharType="end"/>
            </w:r>
          </w:p>
          <w:p w14:paraId="1C56DDDA" w14:textId="77777777" w:rsidR="00FA7DC0" w:rsidRPr="00DD0592" w:rsidRDefault="00FA7DC0" w:rsidP="001A59C4">
            <w:pPr>
              <w:rPr>
                <w:rFonts w:cs="Times New Roman"/>
                <w:b w:val="0"/>
                <w:bCs w:val="0"/>
                <w:szCs w:val="24"/>
              </w:rPr>
            </w:pPr>
            <w:r w:rsidRPr="00DD0592">
              <w:rPr>
                <w:rFonts w:cs="Times New Roman"/>
                <w:b w:val="0"/>
                <w:bCs w:val="0"/>
                <w:szCs w:val="24"/>
              </w:rPr>
              <w:t>Supplementary Table 9 and main text</w:t>
            </w:r>
          </w:p>
        </w:tc>
        <w:tc>
          <w:tcPr>
            <w:tcW w:w="0" w:type="auto"/>
            <w:tcBorders>
              <w:top w:val="single" w:sz="12" w:space="0" w:color="auto"/>
            </w:tcBorders>
            <w:shd w:val="clear" w:color="auto" w:fill="FFFFFF" w:themeFill="background1"/>
          </w:tcPr>
          <w:p w14:paraId="4B89B203"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Human</w:t>
            </w:r>
          </w:p>
        </w:tc>
        <w:tc>
          <w:tcPr>
            <w:tcW w:w="0" w:type="auto"/>
            <w:tcBorders>
              <w:top w:val="single" w:sz="12" w:space="0" w:color="auto"/>
            </w:tcBorders>
            <w:shd w:val="clear" w:color="auto" w:fill="FFFFFF" w:themeFill="background1"/>
          </w:tcPr>
          <w:p w14:paraId="7C7EF14E"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bCs/>
                <w:lang w:val="en-US"/>
              </w:rPr>
            </w:pPr>
            <w:r w:rsidRPr="00DD0592">
              <w:rPr>
                <w:rStyle w:val="normaltextrun"/>
                <w:rFonts w:eastAsiaTheme="majorEastAsia"/>
                <w:b/>
                <w:i/>
                <w:iCs/>
                <w:lang w:val="en-US"/>
              </w:rPr>
              <w:t>ADRA2A</w:t>
            </w:r>
            <w:r w:rsidRPr="00DD0592">
              <w:rPr>
                <w:rStyle w:val="normaltextrun"/>
                <w:rFonts w:eastAsiaTheme="majorEastAsia"/>
                <w:b/>
                <w:i/>
                <w:iCs/>
                <w:vertAlign w:val="superscript"/>
                <w:lang w:val="en-US"/>
              </w:rPr>
              <w:t xml:space="preserve">+ </w:t>
            </w:r>
            <w:r w:rsidRPr="00DD0592">
              <w:rPr>
                <w:rStyle w:val="normaltextrun"/>
                <w:rFonts w:eastAsiaTheme="majorEastAsia"/>
                <w:b/>
                <w:i/>
                <w:iCs/>
                <w:lang w:val="en-US"/>
              </w:rPr>
              <w:t>HRH2</w:t>
            </w:r>
            <w:r w:rsidRPr="00DD0592">
              <w:rPr>
                <w:rStyle w:val="normaltextrun"/>
                <w:rFonts w:eastAsiaTheme="majorEastAsia"/>
                <w:b/>
                <w:i/>
                <w:iCs/>
                <w:vertAlign w:val="superscript"/>
                <w:lang w:val="en-US"/>
              </w:rPr>
              <w:t>+</w:t>
            </w:r>
            <w:r w:rsidRPr="00DD0592">
              <w:rPr>
                <w:rStyle w:val="normaltextrun"/>
                <w:rFonts w:eastAsiaTheme="majorEastAsia"/>
                <w:b/>
                <w:lang w:val="en-US"/>
              </w:rPr>
              <w:t> </w:t>
            </w:r>
            <w:r w:rsidRPr="00DD0592">
              <w:rPr>
                <w:rStyle w:val="spellingerror"/>
                <w:rFonts w:eastAsiaTheme="majorEastAsia"/>
                <w:b/>
                <w:bCs/>
                <w:lang w:val="en-US"/>
              </w:rPr>
              <w:t>interstitial</w:t>
            </w:r>
            <w:r w:rsidRPr="00DD0592">
              <w:rPr>
                <w:rStyle w:val="normaltextrun"/>
                <w:rFonts w:eastAsiaTheme="majorEastAsia"/>
                <w:b/>
                <w:lang w:val="en-US"/>
              </w:rPr>
              <w:t xml:space="preserve"> cells:  </w:t>
            </w:r>
            <w:r w:rsidRPr="00DD0592">
              <w:rPr>
                <w:rStyle w:val="normaltextrun"/>
                <w:rFonts w:eastAsiaTheme="majorEastAsia"/>
                <w:bCs/>
                <w:i/>
                <w:iCs/>
                <w:lang w:val="en-US"/>
              </w:rPr>
              <w:t>MALAT1</w:t>
            </w:r>
            <w:r w:rsidRPr="00DD0592">
              <w:rPr>
                <w:rStyle w:val="normaltextrun"/>
                <w:rFonts w:eastAsiaTheme="majorEastAsia"/>
                <w:b/>
                <w:i/>
                <w:iCs/>
                <w:lang w:val="en-US"/>
              </w:rPr>
              <w:t xml:space="preserve">, </w:t>
            </w:r>
            <w:r w:rsidRPr="00DD0592">
              <w:rPr>
                <w:rStyle w:val="normaltextrun"/>
                <w:rFonts w:eastAsiaTheme="majorEastAsia"/>
                <w:bCs/>
                <w:i/>
                <w:iCs/>
                <w:lang w:val="en-US"/>
              </w:rPr>
              <w:t>TAGLN, S100A6, RPL41, RPS27, ACTA2, AVPR1A, HRH2, RGS5, ADRA2A</w:t>
            </w:r>
            <w:r w:rsidRPr="00DD0592">
              <w:rPr>
                <w:rStyle w:val="normaltextrun"/>
                <w:rFonts w:eastAsiaTheme="majorEastAsia"/>
                <w:bCs/>
                <w:lang w:val="en-US"/>
              </w:rPr>
              <w:t xml:space="preserve"> </w:t>
            </w:r>
          </w:p>
          <w:p w14:paraId="2CFC43D5"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eastAsiaTheme="majorEastAsia"/>
                <w:i/>
                <w:iCs/>
                <w:lang w:val="en-US"/>
              </w:rPr>
            </w:pPr>
            <w:r w:rsidRPr="00DD0592">
              <w:rPr>
                <w:rStyle w:val="normaltextrun"/>
                <w:rFonts w:eastAsiaTheme="majorEastAsia"/>
                <w:b/>
                <w:i/>
                <w:iCs/>
                <w:color w:val="212121"/>
                <w:lang w:val="en-US"/>
              </w:rPr>
              <w:t>TNNT1</w:t>
            </w:r>
            <w:r w:rsidRPr="00DD0592">
              <w:rPr>
                <w:rStyle w:val="normaltextrun"/>
                <w:rFonts w:eastAsiaTheme="majorEastAsia"/>
                <w:b/>
                <w:i/>
                <w:iCs/>
                <w:color w:val="212121"/>
                <w:vertAlign w:val="superscript"/>
                <w:lang w:val="en-US"/>
              </w:rPr>
              <w:t>+</w:t>
            </w:r>
            <w:r w:rsidRPr="00DD0592">
              <w:rPr>
                <w:rStyle w:val="normaltextrun"/>
                <w:rFonts w:eastAsiaTheme="majorEastAsia"/>
                <w:b/>
                <w:color w:val="212121"/>
                <w:lang w:val="en-US"/>
              </w:rPr>
              <w:t xml:space="preserve"> epithelial cells: </w:t>
            </w:r>
            <w:r w:rsidRPr="00DD0592">
              <w:rPr>
                <w:rStyle w:val="normaltextrun"/>
                <w:rFonts w:eastAsiaTheme="majorEastAsia"/>
                <w:bCs/>
                <w:i/>
                <w:iCs/>
                <w:color w:val="212121"/>
                <w:lang w:val="en-US"/>
              </w:rPr>
              <w:t xml:space="preserve">FTH1, RPL10, TMSB4X, RPS27, </w:t>
            </w:r>
            <w:r w:rsidRPr="00DD0592">
              <w:rPr>
                <w:rStyle w:val="normaltextrun"/>
                <w:rFonts w:eastAsiaTheme="majorEastAsia"/>
                <w:i/>
                <w:iCs/>
                <w:color w:val="212121"/>
                <w:lang w:val="en-US"/>
              </w:rPr>
              <w:t xml:space="preserve">KRT18, KRT19, TNNT1, CST6, UPK2, </w:t>
            </w:r>
            <w:r w:rsidRPr="00DD0592">
              <w:rPr>
                <w:rStyle w:val="normaltextrun"/>
                <w:rFonts w:eastAsiaTheme="majorEastAsia"/>
                <w:i/>
                <w:iCs/>
                <w:lang w:val="en-US"/>
              </w:rPr>
              <w:t>UPK3B</w:t>
            </w:r>
          </w:p>
          <w:p w14:paraId="64C31E04"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lang w:val="en-US"/>
              </w:rPr>
            </w:pPr>
          </w:p>
        </w:tc>
        <w:tc>
          <w:tcPr>
            <w:tcW w:w="0" w:type="auto"/>
            <w:tcBorders>
              <w:top w:val="single" w:sz="12" w:space="0" w:color="auto"/>
            </w:tcBorders>
            <w:shd w:val="clear" w:color="auto" w:fill="FFFFFF" w:themeFill="background1"/>
          </w:tcPr>
          <w:p w14:paraId="2C635EEA"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GSE129845</w:t>
            </w:r>
          </w:p>
        </w:tc>
      </w:tr>
      <w:tr w:rsidR="00FA7DC0" w:rsidRPr="00DD0592" w14:paraId="46431ED7" w14:textId="77777777" w:rsidTr="004E7EED">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45F3B73" w14:textId="77777777" w:rsidR="00931C74" w:rsidRPr="00DD0592" w:rsidRDefault="00FA7DC0" w:rsidP="001A59C4">
            <w:pPr>
              <w:rPr>
                <w:b w:val="0"/>
                <w:bCs w:val="0"/>
              </w:rPr>
            </w:pPr>
            <w:r w:rsidRPr="00DD0592">
              <w:rPr>
                <w:rFonts w:cs="Times New Roman"/>
                <w:b w:val="0"/>
                <w:bCs w:val="0"/>
                <w:szCs w:val="24"/>
              </w:rPr>
              <w:t xml:space="preserve">Zhao et al. 2023 </w:t>
            </w:r>
            <w:r w:rsidR="00931C74" w:rsidRPr="00DD0592">
              <w:rPr>
                <w:lang w:val="en-US"/>
              </w:rPr>
              <w:fldChar w:fldCharType="begin" w:fldLock="1"/>
            </w:r>
            <w:r w:rsidR="00931C74" w:rsidRPr="00DD0592">
              <w:rPr>
                <w:b w:val="0"/>
                <w:bCs w:val="0"/>
              </w:rPr>
              <w:instrText>ADDIN CSL_CITATION {"citationItems":[{"id":"ITEM-1","itemData":{"DOI":"10.1111/cpr.13431","ISSN":"13652184","PMID":"36824020","abstract":"Clarifying the locations, molecular markers, functions and roles of bladder interstitial cells is crucial for comprehending the pathophysiology of the bladder. This research utilized human, rat and mouse bladder single-cell sequencing, bioinformatics analysis and experimental validation. The main cell types found in human, rat and mouse bladder tissues include epithelial cells, smooth muscle cells, endothelial cells, fibroblasts, myofibroblasts, neurons and various immune cells. Our study identified two significant types of interstitial cells (PTN+IGFBP6+PI16 (CD364)+ CD34+) and myofibroblasts (STC1+PLAT+TNC+). These two types of interstitial cells are mainly located in the subepithelial lamina propria, between muscles and between muscle bundles. In the CYP (cyclophosphamide)-induced bladder injury mouse model, the interaction types and signals (MK, MIF, GDF and CXCL) of fibroblasts and myofibroblasts significantly increased compared with the normal group. However, in the aging mouse model, the signals CD34, LAMININ, GALECTIN, MK, SELPLG, ncWNT, HSPG, ICAM and ITGAL-ITGB2 of fibroblasts and myofibroblasts disappeared, but the signals PTN and SEMA3 significantly increased. Our findings identified two crucial types of interstitial cells in bladder tissue, fibroblasts and myofibroblasts, which play a significant role in normal bladder physiology, CYP-induced bladder injury and aging bladder development.","author":[{"dropping-particle":"","family":"Zhao","given":"Jiang","non-dropping-particle":"","parse-names":false,"suffix":""},{"dropping-particle":"","family":"Yang","given":"Chengfei","non-dropping-particle":"","parse-names":false,"suffix":""},{"dropping-particle":"","family":"Liang","given":"Bo","non-dropping-particle":"","parse-names":false,"suffix":""},{"dropping-particle":"","family":"Gao","given":"Ye","non-dropping-particle":"","parse-names":false,"suffix":""},{"dropping-particle":"","family":"Luo","given":"Jing","non-dropping-particle":"","parse-names":false,"suffix":""},{"dropping-particle":"","family":"Zheng","given":"Ji","non-dropping-particle":"","parse-names":false,"suffix":""},{"dropping-particle":"","family":"Song","given":"Bo","non-dropping-particle":"","parse-names":false,"suffix":""},{"dropping-particle":"","family":"Shen","given":"Wenhao","non-dropping-particle":"","parse-names":false,"suffix":""},{"dropping-particle":"","family":"Dong","given":"Xingyou","non-dropping-particle":"","parse-names":false,"suffix":""},{"dropping-particle":"","family":"Dai","given":"Shuang Shuang","non-dropping-particle":"","parse-names":false,"suffix":""},{"dropping-particle":"","family":"Yang","given":"Zhenxing","non-dropping-particle":"","parse-names":false,"suffix":""}],"container-title":"Cell Proliferation","id":"ITEM-1","issue":"9","issued":{"date-parts":[["2023"]]},"page":"1-14","title":"Single-cell profiling reveals various types of interstitial cells in the bladder","type":"article-journal","volume":"56"},"uris":["http://www.mendeley.com/documents/?uuid=a9406b9d-797a-4241-944f-f1fe529c13d5"]}],"mendeley":{"formattedCitation":"(17)","plainTextFormattedCitation":"(17)","previouslyFormattedCitation":"(17)"},"properties":{"noteIndex":0},"schema":"https://github.com/citation-style-language/schema/raw/master/csl-citation.json"}</w:instrText>
            </w:r>
            <w:r w:rsidR="00931C74" w:rsidRPr="00DD0592">
              <w:rPr>
                <w:lang w:val="en-US"/>
              </w:rPr>
              <w:fldChar w:fldCharType="separate"/>
            </w:r>
            <w:r w:rsidR="00931C74" w:rsidRPr="00DD0592">
              <w:rPr>
                <w:b w:val="0"/>
                <w:bCs w:val="0"/>
                <w:noProof/>
              </w:rPr>
              <w:t>(17)</w:t>
            </w:r>
            <w:r w:rsidR="00931C74" w:rsidRPr="00DD0592">
              <w:rPr>
                <w:lang w:val="en-US"/>
              </w:rPr>
              <w:fldChar w:fldCharType="end"/>
            </w:r>
          </w:p>
          <w:p w14:paraId="660D1145" w14:textId="2453F809" w:rsidR="00FA7DC0" w:rsidRPr="00DD0592" w:rsidRDefault="00FA7DC0" w:rsidP="001A59C4">
            <w:pPr>
              <w:rPr>
                <w:rFonts w:cs="Times New Roman"/>
                <w:b w:val="0"/>
                <w:bCs w:val="0"/>
                <w:szCs w:val="24"/>
              </w:rPr>
            </w:pPr>
            <w:r w:rsidRPr="00DD0592">
              <w:rPr>
                <w:rFonts w:cs="Times New Roman"/>
                <w:b w:val="0"/>
                <w:bCs w:val="0"/>
                <w:szCs w:val="24"/>
              </w:rPr>
              <w:t>Supplementary Table S2 and Table S3</w:t>
            </w:r>
          </w:p>
        </w:tc>
        <w:tc>
          <w:tcPr>
            <w:tcW w:w="0" w:type="auto"/>
            <w:shd w:val="clear" w:color="auto" w:fill="FFFFFF" w:themeFill="background1"/>
          </w:tcPr>
          <w:p w14:paraId="1E5C7AAE"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r w:rsidRPr="00DD0592">
              <w:rPr>
                <w:rFonts w:cs="Times New Roman"/>
                <w:szCs w:val="24"/>
              </w:rPr>
              <w:t>Human</w:t>
            </w:r>
          </w:p>
          <w:p w14:paraId="5CDB2D4A"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p>
          <w:p w14:paraId="5F65660B"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p>
          <w:p w14:paraId="50089EFE"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p>
          <w:p w14:paraId="75C85EC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p>
          <w:p w14:paraId="22E9A0D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p>
          <w:p w14:paraId="77CCEF5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r w:rsidRPr="00DD0592">
              <w:rPr>
                <w:rFonts w:cs="Times New Roman"/>
                <w:szCs w:val="24"/>
              </w:rPr>
              <w:t>Rat</w:t>
            </w:r>
          </w:p>
        </w:tc>
        <w:tc>
          <w:tcPr>
            <w:tcW w:w="0" w:type="auto"/>
            <w:shd w:val="clear" w:color="auto" w:fill="FFFFFF" w:themeFill="background1"/>
          </w:tcPr>
          <w:p w14:paraId="0C079BA7"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DD0592">
              <w:rPr>
                <w:rStyle w:val="spellingerror"/>
                <w:rFonts w:cs="Times New Roman"/>
                <w:b/>
                <w:bCs/>
                <w:szCs w:val="24"/>
              </w:rPr>
              <w:t xml:space="preserve">Fibroblasts*: </w:t>
            </w:r>
            <w:r w:rsidRPr="00DD0592">
              <w:rPr>
                <w:rFonts w:cs="Times New Roman"/>
                <w:i/>
                <w:iCs/>
                <w:szCs w:val="24"/>
              </w:rPr>
              <w:t>DCN</w:t>
            </w:r>
            <w:r w:rsidRPr="00DD0592">
              <w:rPr>
                <w:rFonts w:cs="Times New Roman"/>
                <w:szCs w:val="24"/>
              </w:rPr>
              <w:t xml:space="preserve">, </w:t>
            </w:r>
            <w:r w:rsidRPr="00DD0592">
              <w:rPr>
                <w:rFonts w:cs="Times New Roman"/>
                <w:i/>
                <w:iCs/>
                <w:szCs w:val="24"/>
              </w:rPr>
              <w:t>CFD</w:t>
            </w:r>
            <w:r w:rsidRPr="00DD0592">
              <w:rPr>
                <w:rFonts w:cs="Times New Roman"/>
                <w:szCs w:val="24"/>
              </w:rPr>
              <w:t xml:space="preserve">, </w:t>
            </w:r>
            <w:r w:rsidRPr="00DD0592">
              <w:rPr>
                <w:rFonts w:cs="Times New Roman"/>
                <w:i/>
                <w:iCs/>
                <w:szCs w:val="24"/>
              </w:rPr>
              <w:t>MGP</w:t>
            </w:r>
            <w:r w:rsidRPr="00DD0592">
              <w:rPr>
                <w:rFonts w:cs="Times New Roman"/>
                <w:szCs w:val="24"/>
              </w:rPr>
              <w:t xml:space="preserve">, </w:t>
            </w:r>
            <w:r w:rsidRPr="00DD0592">
              <w:rPr>
                <w:rFonts w:cs="Times New Roman"/>
                <w:i/>
                <w:iCs/>
                <w:szCs w:val="24"/>
              </w:rPr>
              <w:t>IGFBP6</w:t>
            </w:r>
            <w:r w:rsidRPr="00DD0592">
              <w:rPr>
                <w:rFonts w:cs="Times New Roman"/>
                <w:szCs w:val="24"/>
              </w:rPr>
              <w:t xml:space="preserve">, </w:t>
            </w:r>
            <w:r w:rsidRPr="00DD0592">
              <w:rPr>
                <w:rFonts w:cs="Times New Roman"/>
                <w:i/>
                <w:iCs/>
                <w:szCs w:val="24"/>
              </w:rPr>
              <w:t>GSN</w:t>
            </w:r>
            <w:r w:rsidRPr="00DD0592">
              <w:rPr>
                <w:rFonts w:cs="Times New Roman"/>
                <w:szCs w:val="24"/>
              </w:rPr>
              <w:t xml:space="preserve">, </w:t>
            </w:r>
            <w:r w:rsidRPr="00DD0592">
              <w:rPr>
                <w:rFonts w:cs="Times New Roman"/>
                <w:i/>
                <w:iCs/>
                <w:szCs w:val="24"/>
              </w:rPr>
              <w:t>FBLN1</w:t>
            </w:r>
            <w:r w:rsidRPr="00DD0592">
              <w:rPr>
                <w:rFonts w:cs="Times New Roman"/>
                <w:szCs w:val="24"/>
              </w:rPr>
              <w:t xml:space="preserve">, </w:t>
            </w:r>
            <w:r w:rsidRPr="00DD0592">
              <w:rPr>
                <w:rFonts w:cs="Times New Roman"/>
                <w:i/>
                <w:iCs/>
                <w:szCs w:val="24"/>
              </w:rPr>
              <w:t>DPT</w:t>
            </w:r>
            <w:r w:rsidRPr="00DD0592">
              <w:rPr>
                <w:rFonts w:cs="Times New Roman"/>
                <w:szCs w:val="24"/>
              </w:rPr>
              <w:t xml:space="preserve">, </w:t>
            </w:r>
            <w:r w:rsidRPr="00DD0592">
              <w:rPr>
                <w:rFonts w:cs="Times New Roman"/>
                <w:i/>
                <w:iCs/>
                <w:szCs w:val="24"/>
              </w:rPr>
              <w:t>PCOLCE2</w:t>
            </w:r>
            <w:r w:rsidRPr="00DD0592">
              <w:rPr>
                <w:rFonts w:cs="Times New Roman"/>
                <w:szCs w:val="24"/>
              </w:rPr>
              <w:t xml:space="preserve">, </w:t>
            </w:r>
            <w:r w:rsidRPr="00DD0592">
              <w:rPr>
                <w:rFonts w:cs="Times New Roman"/>
                <w:i/>
                <w:iCs/>
                <w:szCs w:val="24"/>
              </w:rPr>
              <w:t>APOD</w:t>
            </w:r>
            <w:r w:rsidRPr="00DD0592">
              <w:rPr>
                <w:rFonts w:cs="Times New Roman"/>
                <w:szCs w:val="24"/>
              </w:rPr>
              <w:t xml:space="preserve">, </w:t>
            </w:r>
            <w:r w:rsidRPr="00DD0592">
              <w:rPr>
                <w:rFonts w:cs="Times New Roman"/>
                <w:i/>
                <w:iCs/>
                <w:szCs w:val="24"/>
              </w:rPr>
              <w:t>TNFAIP6</w:t>
            </w:r>
          </w:p>
          <w:p w14:paraId="1AEB19A1"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i/>
                <w:iCs/>
              </w:rPr>
            </w:pPr>
            <w:r w:rsidRPr="00DD0592">
              <w:rPr>
                <w:rStyle w:val="spellingerror"/>
                <w:rFonts w:eastAsiaTheme="majorEastAsia"/>
                <w:b/>
                <w:bCs/>
              </w:rPr>
              <w:t xml:space="preserve">Myofibroblasts: </w:t>
            </w:r>
            <w:r w:rsidRPr="00DD0592">
              <w:rPr>
                <w:i/>
                <w:iCs/>
              </w:rPr>
              <w:t>STC1</w:t>
            </w:r>
            <w:r w:rsidRPr="00DD0592">
              <w:t xml:space="preserve">, </w:t>
            </w:r>
            <w:r w:rsidRPr="00DD0592">
              <w:rPr>
                <w:i/>
                <w:iCs/>
              </w:rPr>
              <w:t>AREG</w:t>
            </w:r>
            <w:r w:rsidRPr="00DD0592">
              <w:t xml:space="preserve">, </w:t>
            </w:r>
            <w:r w:rsidRPr="00DD0592">
              <w:rPr>
                <w:i/>
                <w:iCs/>
              </w:rPr>
              <w:t>PLAT</w:t>
            </w:r>
            <w:r w:rsidRPr="00DD0592">
              <w:t xml:space="preserve">, </w:t>
            </w:r>
            <w:r w:rsidRPr="00DD0592">
              <w:rPr>
                <w:i/>
                <w:iCs/>
              </w:rPr>
              <w:t>AKR1C1</w:t>
            </w:r>
            <w:r w:rsidRPr="00DD0592">
              <w:t xml:space="preserve">, </w:t>
            </w:r>
            <w:r w:rsidRPr="00DD0592">
              <w:rPr>
                <w:i/>
                <w:iCs/>
              </w:rPr>
              <w:t>TSLP</w:t>
            </w:r>
            <w:r w:rsidRPr="00DD0592">
              <w:t xml:space="preserve">, </w:t>
            </w:r>
            <w:r w:rsidRPr="00DD0592">
              <w:rPr>
                <w:i/>
                <w:iCs/>
              </w:rPr>
              <w:t>TNC</w:t>
            </w:r>
            <w:r w:rsidRPr="00DD0592">
              <w:t xml:space="preserve">, </w:t>
            </w:r>
            <w:r w:rsidRPr="00DD0592">
              <w:rPr>
                <w:i/>
                <w:iCs/>
              </w:rPr>
              <w:t>TRPA1</w:t>
            </w:r>
            <w:r w:rsidRPr="00DD0592">
              <w:t xml:space="preserve">, </w:t>
            </w:r>
            <w:r w:rsidRPr="00DD0592">
              <w:rPr>
                <w:i/>
                <w:iCs/>
              </w:rPr>
              <w:t>TBX3</w:t>
            </w:r>
            <w:r w:rsidRPr="00DD0592">
              <w:t xml:space="preserve">, </w:t>
            </w:r>
            <w:r w:rsidRPr="00DD0592">
              <w:rPr>
                <w:i/>
                <w:iCs/>
              </w:rPr>
              <w:t>A2M</w:t>
            </w:r>
            <w:r w:rsidRPr="00DD0592">
              <w:t xml:space="preserve">, </w:t>
            </w:r>
            <w:r w:rsidRPr="00DD0592">
              <w:rPr>
                <w:i/>
                <w:iCs/>
              </w:rPr>
              <w:t>PDK4</w:t>
            </w:r>
          </w:p>
          <w:p w14:paraId="484305A9"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Style w:val="spellingerror"/>
                <w:rFonts w:cs="Times New Roman"/>
                <w:b/>
                <w:bCs/>
                <w:szCs w:val="24"/>
              </w:rPr>
            </w:pPr>
          </w:p>
          <w:p w14:paraId="4E3D0BDF"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DD0592">
              <w:rPr>
                <w:rStyle w:val="spellingerror"/>
                <w:rFonts w:cs="Times New Roman"/>
                <w:b/>
                <w:bCs/>
                <w:szCs w:val="24"/>
              </w:rPr>
              <w:t>Fibroblasts*:</w:t>
            </w:r>
            <w:r w:rsidRPr="00DD0592">
              <w:rPr>
                <w:rFonts w:cs="Times New Roman"/>
                <w:i/>
                <w:iCs/>
                <w:szCs w:val="24"/>
              </w:rPr>
              <w:t xml:space="preserve"> Pla2g2a</w:t>
            </w:r>
            <w:r w:rsidRPr="00DD0592">
              <w:rPr>
                <w:rFonts w:cs="Times New Roman"/>
                <w:szCs w:val="24"/>
              </w:rPr>
              <w:t xml:space="preserve">, </w:t>
            </w:r>
            <w:r w:rsidRPr="00DD0592">
              <w:rPr>
                <w:rFonts w:cs="Times New Roman"/>
                <w:i/>
                <w:iCs/>
                <w:szCs w:val="24"/>
              </w:rPr>
              <w:t>Mgp</w:t>
            </w:r>
            <w:r w:rsidRPr="00DD0592">
              <w:rPr>
                <w:rFonts w:cs="Times New Roman"/>
                <w:szCs w:val="24"/>
              </w:rPr>
              <w:t xml:space="preserve">, </w:t>
            </w:r>
            <w:r w:rsidRPr="00DD0592">
              <w:rPr>
                <w:rFonts w:cs="Times New Roman"/>
                <w:i/>
                <w:iCs/>
                <w:szCs w:val="24"/>
              </w:rPr>
              <w:t>Col3a1</w:t>
            </w:r>
            <w:r w:rsidRPr="00DD0592">
              <w:rPr>
                <w:rFonts w:cs="Times New Roman"/>
                <w:szCs w:val="24"/>
              </w:rPr>
              <w:t xml:space="preserve">, </w:t>
            </w:r>
            <w:r w:rsidRPr="00DD0592">
              <w:rPr>
                <w:rFonts w:cs="Times New Roman"/>
                <w:i/>
                <w:iCs/>
                <w:szCs w:val="24"/>
              </w:rPr>
              <w:t>Col1a1</w:t>
            </w:r>
            <w:r w:rsidRPr="00DD0592">
              <w:rPr>
                <w:rFonts w:cs="Times New Roman"/>
                <w:szCs w:val="24"/>
              </w:rPr>
              <w:t xml:space="preserve">, </w:t>
            </w:r>
            <w:r w:rsidRPr="00DD0592">
              <w:rPr>
                <w:rFonts w:cs="Times New Roman"/>
                <w:i/>
                <w:iCs/>
                <w:szCs w:val="24"/>
              </w:rPr>
              <w:t>Mfap5</w:t>
            </w:r>
            <w:r w:rsidRPr="00DD0592">
              <w:rPr>
                <w:rFonts w:cs="Times New Roman"/>
                <w:szCs w:val="24"/>
              </w:rPr>
              <w:t xml:space="preserve">, </w:t>
            </w:r>
            <w:r w:rsidRPr="00DD0592">
              <w:rPr>
                <w:rFonts w:cs="Times New Roman"/>
                <w:i/>
                <w:iCs/>
                <w:szCs w:val="24"/>
              </w:rPr>
              <w:t>Gsn</w:t>
            </w:r>
            <w:r w:rsidRPr="00DD0592">
              <w:rPr>
                <w:rFonts w:cs="Times New Roman"/>
                <w:szCs w:val="24"/>
              </w:rPr>
              <w:t xml:space="preserve">, </w:t>
            </w:r>
            <w:r w:rsidRPr="00DD0592">
              <w:rPr>
                <w:rFonts w:cs="Times New Roman"/>
                <w:i/>
                <w:iCs/>
                <w:szCs w:val="24"/>
              </w:rPr>
              <w:t>Tnfaip6</w:t>
            </w:r>
            <w:r w:rsidRPr="00DD0592">
              <w:rPr>
                <w:rFonts w:cs="Times New Roman"/>
                <w:szCs w:val="24"/>
              </w:rPr>
              <w:t xml:space="preserve">, </w:t>
            </w:r>
            <w:r w:rsidRPr="00DD0592">
              <w:rPr>
                <w:rFonts w:cs="Times New Roman"/>
                <w:i/>
                <w:iCs/>
                <w:szCs w:val="24"/>
              </w:rPr>
              <w:t>Sparc</w:t>
            </w:r>
            <w:r w:rsidRPr="00DD0592">
              <w:rPr>
                <w:rFonts w:cs="Times New Roman"/>
                <w:szCs w:val="24"/>
              </w:rPr>
              <w:t xml:space="preserve">, </w:t>
            </w:r>
            <w:r w:rsidRPr="00DD0592">
              <w:rPr>
                <w:rFonts w:cs="Times New Roman"/>
                <w:i/>
                <w:iCs/>
                <w:szCs w:val="24"/>
              </w:rPr>
              <w:t>Dcn</w:t>
            </w:r>
            <w:r w:rsidRPr="00DD0592">
              <w:rPr>
                <w:rFonts w:cs="Times New Roman"/>
                <w:szCs w:val="24"/>
              </w:rPr>
              <w:t xml:space="preserve">, </w:t>
            </w:r>
            <w:r w:rsidRPr="00DD0592">
              <w:rPr>
                <w:rFonts w:cs="Times New Roman"/>
                <w:i/>
                <w:iCs/>
                <w:szCs w:val="24"/>
              </w:rPr>
              <w:t>Fbn1</w:t>
            </w:r>
          </w:p>
          <w:p w14:paraId="16FD3DEF"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i/>
                <w:iCs/>
              </w:rPr>
            </w:pPr>
            <w:r w:rsidRPr="00DD0592">
              <w:rPr>
                <w:rStyle w:val="spellingerror"/>
                <w:rFonts w:eastAsiaTheme="majorEastAsia"/>
                <w:b/>
                <w:bCs/>
              </w:rPr>
              <w:t xml:space="preserve">Myofibroblasts: </w:t>
            </w:r>
            <w:r w:rsidRPr="00DD0592">
              <w:rPr>
                <w:i/>
                <w:iCs/>
              </w:rPr>
              <w:t>Cxcl14</w:t>
            </w:r>
            <w:r w:rsidRPr="00DD0592">
              <w:t>,</w:t>
            </w:r>
            <w:r w:rsidRPr="00DD0592">
              <w:rPr>
                <w:i/>
                <w:iCs/>
              </w:rPr>
              <w:t xml:space="preserve"> Tgfbi</w:t>
            </w:r>
            <w:r w:rsidRPr="00DD0592">
              <w:t xml:space="preserve">, </w:t>
            </w:r>
            <w:r w:rsidRPr="00DD0592">
              <w:rPr>
                <w:i/>
                <w:iCs/>
              </w:rPr>
              <w:t>Cryab</w:t>
            </w:r>
            <w:r w:rsidRPr="00DD0592">
              <w:t xml:space="preserve">, </w:t>
            </w:r>
            <w:r w:rsidRPr="00DD0592">
              <w:rPr>
                <w:i/>
                <w:iCs/>
              </w:rPr>
              <w:t>Car3</w:t>
            </w:r>
            <w:r w:rsidRPr="00DD0592">
              <w:t xml:space="preserve">, </w:t>
            </w:r>
            <w:r w:rsidRPr="00DD0592">
              <w:rPr>
                <w:i/>
                <w:iCs/>
              </w:rPr>
              <w:t>Stmn2</w:t>
            </w:r>
            <w:r w:rsidRPr="00DD0592">
              <w:t xml:space="preserve">, </w:t>
            </w:r>
            <w:r w:rsidRPr="00DD0592">
              <w:rPr>
                <w:i/>
                <w:iCs/>
              </w:rPr>
              <w:t>Igfbp4</w:t>
            </w:r>
            <w:r w:rsidRPr="00DD0592">
              <w:t xml:space="preserve">, </w:t>
            </w:r>
            <w:r w:rsidRPr="00DD0592">
              <w:rPr>
                <w:i/>
                <w:iCs/>
              </w:rPr>
              <w:t>Cyp1b1</w:t>
            </w:r>
            <w:r w:rsidRPr="00DD0592">
              <w:t xml:space="preserve">, </w:t>
            </w:r>
            <w:r w:rsidRPr="00DD0592">
              <w:rPr>
                <w:i/>
                <w:iCs/>
              </w:rPr>
              <w:t>Htra1</w:t>
            </w:r>
            <w:r w:rsidRPr="00DD0592">
              <w:t xml:space="preserve">, </w:t>
            </w:r>
            <w:r w:rsidRPr="00DD0592">
              <w:rPr>
                <w:i/>
                <w:iCs/>
              </w:rPr>
              <w:t>Col12a1</w:t>
            </w:r>
            <w:r w:rsidRPr="00DD0592">
              <w:t xml:space="preserve">, </w:t>
            </w:r>
            <w:r w:rsidRPr="00DD0592">
              <w:rPr>
                <w:i/>
                <w:iCs/>
              </w:rPr>
              <w:t>Vim</w:t>
            </w:r>
          </w:p>
          <w:p w14:paraId="0C3DBE16"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rPr>
            </w:pPr>
          </w:p>
        </w:tc>
        <w:tc>
          <w:tcPr>
            <w:tcW w:w="0" w:type="auto"/>
            <w:shd w:val="clear" w:color="auto" w:fill="FFFFFF" w:themeFill="background1"/>
          </w:tcPr>
          <w:p w14:paraId="37B217AD"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rPr>
            </w:pPr>
            <w:r w:rsidRPr="00DD0592">
              <w:rPr>
                <w:rFonts w:cs="Times New Roman"/>
                <w:szCs w:val="24"/>
              </w:rPr>
              <w:t>GSE164557</w:t>
            </w:r>
          </w:p>
        </w:tc>
      </w:tr>
      <w:tr w:rsidR="00FA7DC0" w:rsidRPr="00DD0592" w14:paraId="2B1557CC" w14:textId="77777777" w:rsidTr="004E7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F81C3B2" w14:textId="403D6B4A" w:rsidR="00CA54EB" w:rsidRPr="00DD0592" w:rsidRDefault="00FA7DC0" w:rsidP="00CA54EB">
            <w:pPr>
              <w:rPr>
                <w:rFonts w:cs="Times New Roman"/>
                <w:b w:val="0"/>
                <w:bCs w:val="0"/>
                <w:szCs w:val="24"/>
              </w:rPr>
            </w:pPr>
            <w:r w:rsidRPr="00DD0592">
              <w:rPr>
                <w:rFonts w:cs="Times New Roman"/>
                <w:b w:val="0"/>
                <w:bCs w:val="0"/>
                <w:szCs w:val="24"/>
              </w:rPr>
              <w:t xml:space="preserve">Li et al. 2021 </w:t>
            </w:r>
            <w:r w:rsidR="00CA54EB" w:rsidRPr="00DD0592">
              <w:rPr>
                <w:rFonts w:cs="Times New Roman"/>
                <w:szCs w:val="24"/>
                <w:lang w:val="en-US"/>
              </w:rPr>
              <w:fldChar w:fldCharType="begin" w:fldLock="1"/>
            </w:r>
            <w:r w:rsidR="00CA54EB" w:rsidRPr="00DD0592">
              <w:rPr>
                <w:rFonts w:cs="Times New Roman"/>
                <w:b w:val="0"/>
                <w:bCs w:val="0"/>
                <w:szCs w:val="24"/>
              </w:rPr>
              <w:instrText>ADDIN CSL_CITATION {"citationItems":[{"id":"ITEM-1","itemData":{"DOI":"10.1111/cpr.13007","ISSN":"13652184","PMID":"33538002","abstract":"Objectives: Much of the information to date in terms of subtypes and function of bladder urothelial cells were derived from anatomical location or by the expression of a small number of marker genes. To have a comprehensive map of the cellular anatomy of bladder urothelial cells, we performed single-cell RNA sequencing to thoroughly characterize mouse bladder urothelium. Materials and methods: A total of 18,917 single cells from mouse bladder urothelium were analysed by unbiased single-cell RNA sequencing. The expression of the novel cell marker was confirmed by immunofluorescence using urinary tract infection models. Results: Unsupervised clustering analysis identified 8 transcriptionally distinct cell subpopulations from mouse bladder urothelial cells. We discovered a novel type of bladder urothelial cells marked by Plxna4 that may be involved with host response and wound healing. We also found a group of basal-like cells labelled by ASPM that could be the progenitor cells of adult bladder urothelium. ASPM+ urothelial cells are significantly increased after injury by UPEC. In addition, specific transcription factors were found to be associated with urothelial cell differentiation. At the last, a number of interstitial cystitis/bladder pain syndrome–regulating genes were found differentially expressed among different urothelial cell subpopulations. Conclusions: Our study provides a comprehensive characterization of bladder urothelial cells, which is fundamental to understanding the biology of bladder urothelium and associated bladder disease.","author":[{"dropping-particle":"","family":"Li","given":"Yan","non-dropping-particle":"","parse-names":false,"suffix":""},{"dropping-particle":"","family":"Liu","given":"Yaxiao","non-dropping-particle":"","parse-names":false,"suffix":""},{"dropping-particle":"","family":"Gao","given":"Zhengdong","non-dropping-particle":"","parse-names":false,"suffix":""},{"dropping-particle":"","family":"Zhang","given":"Lekai","non-dropping-particle":"","parse-names":false,"suffix":""},{"dropping-particle":"","family":"Chen","given":"Lipeng","non-dropping-particle":"","parse-names":false,"suffix":""},{"dropping-particle":"","family":"Wu","given":"Zonglong","non-dropping-particle":"","parse-names":false,"suffix":""},{"dropping-particle":"","family":"Liu","given":"Qinggang","non-dropping-particle":"","parse-names":false,"suffix":""},{"dropping-particle":"","family":"Wang","given":"Shuai","non-dropping-particle":"","parse-names":false,"suffix":""},{"dropping-particle":"","family":"Zhou","given":"Nan","non-dropping-particle":"","parse-names":false,"suffix":""},{"dropping-particle":"","family":"Chai","given":"Toby C.","non-dropping-particle":"","parse-names":false,"suffix":""},{"dropping-particle":"","family":"Shi","given":"Benkang","non-dropping-particle":"","parse-names":false,"suffix":""}],"container-title":"Cell Proliferation","id":"ITEM-1","issue":"4","issued":{"date-parts":[["2021"]]},"title":"Single-cell transcriptomes of mouse bladder urothelium uncover novel cell type markers and urothelial differentiation characteristics","type":"article-journal","volume":"54"},"uris":["http://www.mendeley.com/documents/?uuid=33944bec-428d-42ed-b97e-ff86fc3e98f0"]}],"mendeley":{"formattedCitation":"(9)","plainTextFormattedCitation":"(9)","previouslyFormattedCitation":"(9)"},"properties":{"noteIndex":0},"schema":"https://github.com/citation-style-language/schema/raw/master/csl-citation.json"}</w:instrText>
            </w:r>
            <w:r w:rsidR="00CA54EB" w:rsidRPr="00DD0592">
              <w:rPr>
                <w:rFonts w:cs="Times New Roman"/>
                <w:szCs w:val="24"/>
                <w:lang w:val="en-US"/>
              </w:rPr>
              <w:fldChar w:fldCharType="separate"/>
            </w:r>
            <w:r w:rsidR="00CA54EB" w:rsidRPr="00DD0592">
              <w:rPr>
                <w:rFonts w:cs="Times New Roman"/>
                <w:b w:val="0"/>
                <w:bCs w:val="0"/>
                <w:noProof/>
                <w:szCs w:val="24"/>
              </w:rPr>
              <w:t>(9)</w:t>
            </w:r>
            <w:r w:rsidR="00CA54EB" w:rsidRPr="00DD0592">
              <w:rPr>
                <w:rFonts w:cs="Times New Roman"/>
                <w:szCs w:val="24"/>
                <w:lang w:val="en-US"/>
              </w:rPr>
              <w:fldChar w:fldCharType="end"/>
            </w:r>
          </w:p>
          <w:p w14:paraId="44453837" w14:textId="6B419F1B" w:rsidR="00FA7DC0" w:rsidRPr="00DD0592" w:rsidRDefault="00FA7DC0" w:rsidP="00CA54EB">
            <w:pPr>
              <w:rPr>
                <w:rFonts w:cs="Times New Roman"/>
                <w:b w:val="0"/>
                <w:bCs w:val="0"/>
                <w:szCs w:val="24"/>
              </w:rPr>
            </w:pPr>
            <w:r w:rsidRPr="00DD0592">
              <w:rPr>
                <w:rFonts w:cs="Times New Roman"/>
                <w:b w:val="0"/>
                <w:bCs w:val="0"/>
                <w:szCs w:val="24"/>
              </w:rPr>
              <w:t xml:space="preserve">Figs. 1B, 1D and 8 </w:t>
            </w:r>
          </w:p>
        </w:tc>
        <w:tc>
          <w:tcPr>
            <w:tcW w:w="0" w:type="auto"/>
            <w:shd w:val="clear" w:color="auto" w:fill="FFFFFF" w:themeFill="background1"/>
          </w:tcPr>
          <w:p w14:paraId="2E8A7C55"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rPr>
            </w:pPr>
            <w:r w:rsidRPr="00DD0592">
              <w:rPr>
                <w:rFonts w:cs="Times New Roman"/>
                <w:szCs w:val="24"/>
              </w:rPr>
              <w:t>Mouse</w:t>
            </w:r>
          </w:p>
        </w:tc>
        <w:tc>
          <w:tcPr>
            <w:tcW w:w="0" w:type="auto"/>
            <w:shd w:val="clear" w:color="auto" w:fill="FFFFFF" w:themeFill="background1"/>
          </w:tcPr>
          <w:p w14:paraId="11D0A75E"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DD0592">
              <w:rPr>
                <w:rStyle w:val="spellingerror"/>
                <w:rFonts w:cs="Times New Roman"/>
                <w:b/>
                <w:bCs/>
                <w:i/>
                <w:iCs/>
                <w:szCs w:val="24"/>
              </w:rPr>
              <w:t>Plxna4</w:t>
            </w:r>
            <w:r w:rsidRPr="00DD0592">
              <w:rPr>
                <w:rStyle w:val="spellingerror"/>
                <w:rFonts w:cs="Times New Roman"/>
                <w:b/>
                <w:bCs/>
                <w:i/>
                <w:iCs/>
                <w:szCs w:val="24"/>
                <w:vertAlign w:val="superscript"/>
              </w:rPr>
              <w:t>+</w:t>
            </w:r>
            <w:r w:rsidRPr="00DD0592">
              <w:rPr>
                <w:rStyle w:val="spellingerror"/>
                <w:rFonts w:cs="Times New Roman"/>
                <w:b/>
                <w:bCs/>
                <w:szCs w:val="24"/>
              </w:rPr>
              <w:t xml:space="preserve"> cells: </w:t>
            </w:r>
            <w:r w:rsidRPr="00DD0592">
              <w:rPr>
                <w:rFonts w:cs="Times New Roman"/>
                <w:i/>
                <w:iCs/>
                <w:szCs w:val="24"/>
              </w:rPr>
              <w:t>Anxa1, Col6a1, Ildr2, Lrrn4, Ltbp4, Muc16, Plnxna4, Sema3c, Trp53, Upk3b</w:t>
            </w:r>
          </w:p>
          <w:p w14:paraId="0CB17680" w14:textId="3D8BE86C"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Style w:val="spellingerror"/>
                <w:rFonts w:cs="Times New Roman"/>
                <w:b/>
                <w:bCs/>
                <w:i/>
                <w:iCs/>
                <w:szCs w:val="24"/>
                <w:lang w:val="en-US"/>
              </w:rPr>
              <w:t>A</w:t>
            </w:r>
            <w:r w:rsidR="00AF785A" w:rsidRPr="00DD0592">
              <w:rPr>
                <w:rStyle w:val="spellingerror"/>
                <w:rFonts w:cs="Times New Roman"/>
                <w:b/>
                <w:bCs/>
                <w:i/>
                <w:iCs/>
                <w:szCs w:val="24"/>
                <w:lang w:val="en-US"/>
              </w:rPr>
              <w:t>spm</w:t>
            </w:r>
            <w:r w:rsidRPr="00DD0592">
              <w:rPr>
                <w:rStyle w:val="spellingerror"/>
                <w:rFonts w:cs="Times New Roman"/>
                <w:b/>
                <w:bCs/>
                <w:i/>
                <w:iCs/>
                <w:szCs w:val="24"/>
                <w:vertAlign w:val="superscript"/>
                <w:lang w:val="en-US"/>
              </w:rPr>
              <w:t>+</w:t>
            </w:r>
            <w:r w:rsidRPr="00DD0592">
              <w:rPr>
                <w:rStyle w:val="spellingerror"/>
                <w:rFonts w:cs="Times New Roman"/>
                <w:b/>
                <w:bCs/>
                <w:szCs w:val="24"/>
                <w:lang w:val="en-US"/>
              </w:rPr>
              <w:t xml:space="preserve"> basal-like cells: </w:t>
            </w:r>
            <w:r w:rsidRPr="00DD0592">
              <w:rPr>
                <w:rFonts w:cs="Times New Roman"/>
                <w:i/>
                <w:iCs/>
                <w:szCs w:val="24"/>
                <w:lang w:val="en-US"/>
              </w:rPr>
              <w:t>Anxa1, Arid1a, Aspm, Ccna2, Cd44, Itgb4, Kif4, Krt5, Shh, Trp63</w:t>
            </w:r>
          </w:p>
          <w:p w14:paraId="0F1BCC91"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Style w:val="spellingerror"/>
                <w:rFonts w:cs="Times New Roman"/>
                <w:i/>
                <w:iCs/>
                <w:szCs w:val="24"/>
                <w:lang w:val="en-US"/>
              </w:rPr>
            </w:pPr>
          </w:p>
        </w:tc>
        <w:tc>
          <w:tcPr>
            <w:tcW w:w="0" w:type="auto"/>
            <w:shd w:val="clear" w:color="auto" w:fill="FFFFFF" w:themeFill="background1"/>
          </w:tcPr>
          <w:p w14:paraId="388395C4"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rPr>
            </w:pPr>
            <w:r w:rsidRPr="00DD0592">
              <w:rPr>
                <w:rFonts w:cs="Times New Roman"/>
                <w:szCs w:val="24"/>
              </w:rPr>
              <w:t>GSE163029</w:t>
            </w:r>
          </w:p>
        </w:tc>
      </w:tr>
      <w:tr w:rsidR="00FA7DC0" w:rsidRPr="00DD0592" w14:paraId="289B6149" w14:textId="77777777" w:rsidTr="004E7EED">
        <w:tc>
          <w:tcPr>
            <w:cnfStyle w:val="001000000000" w:firstRow="0" w:lastRow="0" w:firstColumn="1" w:lastColumn="0" w:oddVBand="0" w:evenVBand="0" w:oddHBand="0" w:evenHBand="0" w:firstRowFirstColumn="0" w:firstRowLastColumn="0" w:lastRowFirstColumn="0" w:lastRowLastColumn="0"/>
            <w:tcW w:w="0" w:type="auto"/>
          </w:tcPr>
          <w:p w14:paraId="6CD5ED8C" w14:textId="0BA8242C" w:rsidR="00FA7DC0" w:rsidRPr="00DD0592" w:rsidRDefault="00FA7DC0" w:rsidP="001A59C4">
            <w:pPr>
              <w:rPr>
                <w:rFonts w:cs="Times New Roman"/>
                <w:szCs w:val="24"/>
                <w:lang w:val="en-US"/>
              </w:rPr>
            </w:pPr>
            <w:r w:rsidRPr="00DD0592">
              <w:rPr>
                <w:rFonts w:cs="Times New Roman"/>
                <w:b w:val="0"/>
                <w:bCs w:val="0"/>
                <w:szCs w:val="24"/>
                <w:lang w:val="en-US"/>
              </w:rPr>
              <w:t xml:space="preserve">Baker et al. 2021 </w:t>
            </w:r>
            <w:r w:rsidR="006C5D0A" w:rsidRPr="00DD0592">
              <w:rPr>
                <w:rFonts w:cs="Times New Roman"/>
                <w:szCs w:val="24"/>
                <w:lang w:val="en-US"/>
              </w:rPr>
              <w:fldChar w:fldCharType="begin" w:fldLock="1"/>
            </w:r>
            <w:r w:rsidR="006C5D0A" w:rsidRPr="00DD0592">
              <w:rPr>
                <w:rFonts w:cs="Times New Roman"/>
                <w:b w:val="0"/>
                <w:bCs w:val="0"/>
                <w:szCs w:val="24"/>
                <w:lang w:val="en-US"/>
              </w:rPr>
              <w:instrText>ADDIN CSL_CITATION {"citationItems":[{"id":"ITEM-1","itemData":{"abstract":"The urinary bladder functions as a reservoir to store and extrude liquid bodily waste. Significant debate exists as to this tissue’s cellular composition and genes associated with their functions. We use a repertoire of cell profiling tools to comprehensively define and spatial resolve cell types. We characterize spatially validated, basal-to-luminal gene expression dynamics within the urothelium, the cellular source of most bladder cancers. We define three distinct populations of fibroblasts that spatially organize from the sub-urothelial layer through to the detrusor muscle, clarifying knowledge around these controversial interstitial cells, and associate increased fibroblasts with aging. We overcome challenges of profiling the detrusor muscle, absence from earlier single cell studies, to report on its transcriptome with many novel and neuronal-like features presumably associated with neuromuscular junctions. Our approach provides a blueprint for tissue atlas construction and the data provides the foundation for future studies of bladder function in health and disease.","author":[{"dropping-particle":"","family":"Baker","given":"Dylan","non-dropping-particle":"","parse-names":false,"suffix":""},{"dropping-particle":"","family":"Al-Naggar","given":"Iman M.","non-dropping-particle":"","parse-names":false,"suffix":""},{"dropping-particle":"","family":"Sivajothi","given":"Santhosh","non-dropping-particle":"","parse-names":false,"suffix":""},{"dropping-particle":"","family":"Flynn","given":"William F","non-dropping-particle":"","parse-names":false,"suffix":""},{"dropping-particle":"","family":"Amir","given":"Anahitai","non-dropping-particle":"","parse-names":false,"suffix":""},{"dropping-particle":"","family":"Luo","given":"Diane","non-dropping-particle":"","parse-names":false,"suffix":""},{"dropping-particle":"","family":"Hardy","given":"Cara C","non-dropping-particle":"","parse-names":false,"suffix":""},{"dropping-particle":"","family":"Kuchel","given":"George A","non-dropping-particle":"","parse-names":false,"suffix":""},{"dropping-particle":"","family":"Smith","given":"Phillip P","non-dropping-particle":"","parse-names":false,"suffix":""},{"dropping-particle":"","family":"Robson","given":"Paul","non-dropping-particle":"","parse-names":false,"suffix":""}],"container-title":"BioRxiv","id":"ITEM-1","issued":{"date-parts":[["2021"]]},"page":"1-53","title":"A Cellular Reference Resource for the Mouse Urinary Bladder","type":"article-journal"},"uris":["http://www.mendeley.com/documents/?uuid=87f85772-1652-4b52-aa5f-5889aef6ee81"]}],"mendeley":{"formattedCitation":"(11)","plainTextFormattedCitation":"(11)","previouslyFormattedCitation":"(11)"},"properties":{"noteIndex":0},"schema":"https://github.com/citation-style-language/schema/raw/master/csl-citation.json"}</w:instrText>
            </w:r>
            <w:r w:rsidR="006C5D0A" w:rsidRPr="00DD0592">
              <w:rPr>
                <w:rFonts w:cs="Times New Roman"/>
                <w:szCs w:val="24"/>
                <w:lang w:val="en-US"/>
              </w:rPr>
              <w:fldChar w:fldCharType="separate"/>
            </w:r>
            <w:r w:rsidR="006C5D0A" w:rsidRPr="00DD0592">
              <w:rPr>
                <w:rFonts w:cs="Times New Roman"/>
                <w:b w:val="0"/>
                <w:bCs w:val="0"/>
                <w:noProof/>
                <w:szCs w:val="24"/>
                <w:lang w:val="en-US"/>
              </w:rPr>
              <w:t>(11)</w:t>
            </w:r>
            <w:r w:rsidR="006C5D0A" w:rsidRPr="00DD0592">
              <w:rPr>
                <w:rFonts w:cs="Times New Roman"/>
                <w:szCs w:val="24"/>
                <w:lang w:val="en-US"/>
              </w:rPr>
              <w:fldChar w:fldCharType="end"/>
            </w:r>
          </w:p>
          <w:p w14:paraId="6606F5CA" w14:textId="77777777" w:rsidR="00FA7DC0" w:rsidRPr="00DD0592" w:rsidRDefault="00FA7DC0" w:rsidP="001A59C4">
            <w:pPr>
              <w:rPr>
                <w:rFonts w:cs="Times New Roman"/>
                <w:szCs w:val="24"/>
                <w:lang w:val="en-US"/>
              </w:rPr>
            </w:pPr>
            <w:r w:rsidRPr="00DD0592">
              <w:rPr>
                <w:rFonts w:cs="Times New Roman"/>
                <w:b w:val="0"/>
                <w:bCs w:val="0"/>
                <w:szCs w:val="24"/>
                <w:lang w:val="en-US"/>
              </w:rPr>
              <w:t>Main text; Fig. 3C and Supplementary Table S8</w:t>
            </w:r>
          </w:p>
        </w:tc>
        <w:tc>
          <w:tcPr>
            <w:tcW w:w="0" w:type="auto"/>
          </w:tcPr>
          <w:p w14:paraId="34102FCF"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Mouse</w:t>
            </w:r>
          </w:p>
        </w:tc>
        <w:tc>
          <w:tcPr>
            <w:tcW w:w="0" w:type="auto"/>
          </w:tcPr>
          <w:p w14:paraId="6C06E17A" w14:textId="3B6055DF"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Fonts w:cs="Times New Roman"/>
                <w:b/>
                <w:bCs/>
                <w:i/>
                <w:iCs/>
                <w:szCs w:val="24"/>
                <w:lang w:val="en-US"/>
              </w:rPr>
              <w:t>Car3</w:t>
            </w:r>
            <w:r w:rsidRPr="00DD0592">
              <w:rPr>
                <w:rFonts w:cs="Times New Roman"/>
                <w:b/>
                <w:bCs/>
                <w:i/>
                <w:iCs/>
                <w:szCs w:val="24"/>
                <w:vertAlign w:val="superscript"/>
                <w:lang w:val="en-US"/>
              </w:rPr>
              <w:t>+</w:t>
            </w:r>
            <w:r w:rsidRPr="00DD0592">
              <w:rPr>
                <w:rFonts w:cs="Times New Roman"/>
                <w:b/>
                <w:bCs/>
                <w:szCs w:val="24"/>
                <w:lang w:val="en-US"/>
              </w:rPr>
              <w:t xml:space="preserve"> suburothelial fibroblasts</w:t>
            </w:r>
            <w:r w:rsidRPr="00DD0592">
              <w:rPr>
                <w:rFonts w:cs="Times New Roman"/>
                <w:szCs w:val="24"/>
                <w:vertAlign w:val="superscript"/>
                <w:lang w:val="en-US"/>
              </w:rPr>
              <w:t>∆</w:t>
            </w:r>
            <w:r w:rsidRPr="00DD0592">
              <w:rPr>
                <w:rFonts w:cs="Times New Roman"/>
                <w:b/>
                <w:bCs/>
                <w:szCs w:val="24"/>
                <w:lang w:val="en-US"/>
              </w:rPr>
              <w:t>:</w:t>
            </w:r>
            <w:r w:rsidRPr="00DD0592">
              <w:rPr>
                <w:rFonts w:cs="Times New Roman"/>
                <w:szCs w:val="24"/>
                <w:lang w:val="en-US"/>
              </w:rPr>
              <w:t xml:space="preserve"> </w:t>
            </w:r>
            <w:r w:rsidRPr="00DD0592">
              <w:rPr>
                <w:rFonts w:cs="Times New Roman"/>
                <w:i/>
                <w:iCs/>
                <w:szCs w:val="24"/>
                <w:lang w:val="en-US"/>
              </w:rPr>
              <w:t>Car3, Cxcl14, Gas6, Acta2, Rbp4, Fbln1, Thy1, Pi16</w:t>
            </w:r>
          </w:p>
          <w:p w14:paraId="5F04F7E2"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b/>
                <w:bCs/>
                <w:i/>
                <w:iCs/>
                <w:szCs w:val="24"/>
                <w:lang w:val="en-US"/>
              </w:rPr>
              <w:t>Npy1r</w:t>
            </w:r>
            <w:r w:rsidRPr="00DD0592">
              <w:rPr>
                <w:rFonts w:cs="Times New Roman"/>
                <w:b/>
                <w:bCs/>
                <w:i/>
                <w:iCs/>
                <w:szCs w:val="24"/>
                <w:vertAlign w:val="superscript"/>
                <w:lang w:val="en-US"/>
              </w:rPr>
              <w:t>+</w:t>
            </w:r>
            <w:r w:rsidRPr="00DD0592">
              <w:rPr>
                <w:rFonts w:cs="Times New Roman"/>
                <w:b/>
                <w:bCs/>
                <w:szCs w:val="24"/>
                <w:lang w:val="en-US"/>
              </w:rPr>
              <w:t xml:space="preserve"> lamina propria fibroblasts: </w:t>
            </w:r>
            <w:r w:rsidRPr="00DD0592">
              <w:rPr>
                <w:rFonts w:cs="Times New Roman"/>
                <w:i/>
                <w:iCs/>
                <w:szCs w:val="24"/>
                <w:lang w:val="en-US"/>
              </w:rPr>
              <w:t>Npy1r, Pi16, Fbln1, Lum, Cd34</w:t>
            </w:r>
          </w:p>
          <w:p w14:paraId="5CA68EF6"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Fonts w:cs="Times New Roman"/>
                <w:b/>
                <w:bCs/>
                <w:i/>
                <w:iCs/>
                <w:szCs w:val="24"/>
                <w:lang w:val="en-US"/>
              </w:rPr>
              <w:t>Penk</w:t>
            </w:r>
            <w:r w:rsidRPr="00DD0592">
              <w:rPr>
                <w:rFonts w:cs="Times New Roman"/>
                <w:b/>
                <w:bCs/>
                <w:i/>
                <w:iCs/>
                <w:szCs w:val="24"/>
                <w:vertAlign w:val="superscript"/>
                <w:lang w:val="en-US"/>
              </w:rPr>
              <w:t>+</w:t>
            </w:r>
            <w:r w:rsidRPr="00DD0592">
              <w:rPr>
                <w:rFonts w:cs="Times New Roman"/>
                <w:b/>
                <w:bCs/>
                <w:szCs w:val="24"/>
                <w:lang w:val="en-US"/>
              </w:rPr>
              <w:t xml:space="preserve"> detrusor fibroblasts: </w:t>
            </w:r>
            <w:r w:rsidRPr="00DD0592">
              <w:rPr>
                <w:rFonts w:cs="Times New Roman"/>
                <w:i/>
                <w:iCs/>
                <w:szCs w:val="24"/>
                <w:lang w:val="en-US"/>
              </w:rPr>
              <w:t>Penk, Dpt, Pi16, Fbln1, Lum, Cd34, Sultle1, Dlk1</w:t>
            </w:r>
          </w:p>
          <w:p w14:paraId="7CC768DA"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Style w:val="spellingerror"/>
                <w:rFonts w:cs="Times New Roman"/>
                <w:szCs w:val="24"/>
                <w:lang w:val="en-US"/>
              </w:rPr>
            </w:pPr>
            <w:r w:rsidRPr="00DD0592">
              <w:rPr>
                <w:rStyle w:val="spellingerror"/>
                <w:rFonts w:cs="Times New Roman"/>
                <w:b/>
                <w:bCs/>
                <w:szCs w:val="24"/>
                <w:lang w:val="en-US"/>
              </w:rPr>
              <w:t xml:space="preserve">Myelinating Schwann cells: </w:t>
            </w:r>
            <w:r w:rsidRPr="00DD0592">
              <w:rPr>
                <w:rStyle w:val="spellingerror"/>
                <w:rFonts w:cs="Times New Roman"/>
                <w:i/>
                <w:iCs/>
                <w:szCs w:val="24"/>
                <w:lang w:val="en-US"/>
              </w:rPr>
              <w:t>Igfbp6, Mpz, Pllp</w:t>
            </w:r>
          </w:p>
          <w:p w14:paraId="090E6C35"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 xml:space="preserve">Perisynaptic Schwann cells: </w:t>
            </w:r>
            <w:r w:rsidRPr="00DD0592">
              <w:rPr>
                <w:rStyle w:val="spellingerror"/>
                <w:rFonts w:eastAsiaTheme="majorEastAsia"/>
                <w:i/>
                <w:iCs/>
                <w:lang w:val="en-US"/>
              </w:rPr>
              <w:t>Pdgfb, Scn7a, Prnp, Apoe</w:t>
            </w:r>
          </w:p>
          <w:p w14:paraId="0959EE38"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 xml:space="preserve">Vascular smooth muscle cells: </w:t>
            </w:r>
            <w:r w:rsidRPr="00DD0592">
              <w:rPr>
                <w:rStyle w:val="spellingerror"/>
                <w:rFonts w:eastAsiaTheme="majorEastAsia"/>
                <w:i/>
                <w:iCs/>
                <w:lang w:val="en-US"/>
              </w:rPr>
              <w:t>Pln, Crip1, Mustn1, Tesc, Wtip</w:t>
            </w:r>
          </w:p>
          <w:p w14:paraId="5A14A053"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 xml:space="preserve">Detrusor smooth muscle cells: </w:t>
            </w:r>
            <w:r w:rsidRPr="00DD0592">
              <w:rPr>
                <w:rStyle w:val="spellingerror"/>
                <w:rFonts w:eastAsiaTheme="majorEastAsia"/>
                <w:i/>
                <w:iCs/>
                <w:lang w:val="en-US"/>
              </w:rPr>
              <w:t>Actg2, Acta1, Tnnt2, Mylk, Cnn1, Synpo2</w:t>
            </w:r>
          </w:p>
          <w:p w14:paraId="64578304"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 xml:space="preserve">Pericytes: </w:t>
            </w:r>
            <w:r w:rsidRPr="00DD0592">
              <w:rPr>
                <w:rStyle w:val="spellingerror"/>
                <w:rFonts w:eastAsiaTheme="majorEastAsia"/>
                <w:i/>
                <w:iCs/>
                <w:lang w:val="en-US"/>
              </w:rPr>
              <w:t>Rgs5, Colec11, Ifitm3, Pdgfrb, Kcnj8</w:t>
            </w:r>
          </w:p>
          <w:p w14:paraId="0C4A1BC1"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b/>
                <w:bCs/>
                <w:lang w:val="en-US"/>
              </w:rPr>
            </w:pPr>
          </w:p>
        </w:tc>
        <w:tc>
          <w:tcPr>
            <w:tcW w:w="0" w:type="auto"/>
          </w:tcPr>
          <w:p w14:paraId="121772CA"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lastRenderedPageBreak/>
              <w:t>GSE180128</w:t>
            </w:r>
          </w:p>
        </w:tc>
      </w:tr>
      <w:tr w:rsidR="00FA7DC0" w:rsidRPr="00DD0592" w14:paraId="7C82B704" w14:textId="77777777" w:rsidTr="004E7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BF0064F" w14:textId="77777777" w:rsidR="00FA7DC0" w:rsidRPr="00DD0592" w:rsidRDefault="00FA7DC0" w:rsidP="001A59C4">
            <w:pPr>
              <w:rPr>
                <w:rFonts w:cs="Times New Roman"/>
                <w:szCs w:val="24"/>
              </w:rPr>
            </w:pPr>
            <w:r w:rsidRPr="00DD0592">
              <w:rPr>
                <w:rFonts w:cs="Times New Roman"/>
                <w:b w:val="0"/>
                <w:bCs w:val="0"/>
                <w:szCs w:val="24"/>
              </w:rPr>
              <w:t xml:space="preserve">Muhl et al. 2020 </w:t>
            </w:r>
            <w:r w:rsidRPr="00DD0592">
              <w:rPr>
                <w:rFonts w:cs="Times New Roman"/>
                <w:szCs w:val="24"/>
              </w:rPr>
              <w:t xml:space="preserve"> </w:t>
            </w:r>
            <w:r w:rsidRPr="00DD0592">
              <w:rPr>
                <w:rFonts w:cs="Times New Roman"/>
                <w:szCs w:val="24"/>
                <w:lang w:val="en-US"/>
              </w:rPr>
              <w:fldChar w:fldCharType="begin" w:fldLock="1"/>
            </w:r>
            <w:r w:rsidRPr="00DD0592">
              <w:rPr>
                <w:rFonts w:cs="Times New Roman"/>
                <w:b w:val="0"/>
                <w:bCs w:val="0"/>
                <w:szCs w:val="24"/>
              </w:rPr>
              <w:instrText>ADDIN CSL_CITATION {"citationItems":[{"id":"ITEM-1","itemData":{"DOI":"10.1038/s41467-020-17740-1","ISSN":"20411723","PMID":"32769974","abstract":"Many important cell types in adult vertebrates have a mesenchymal origin, including fibroblasts and vascular mural cells. Although their biological importance is undisputed, the level of mesenchymal cell heterogeneity within and between organs, while appreciated, has not been analyzed in detail. Here, we compare single-cell transcriptional profiles of fibroblasts and vascular mural cells across four murine muscular organs: heart, skeletal muscle, intestine and bladder. We reveal gene expression signatures that demarcate fibroblasts from mural cells and provide molecular signatures for cell subtype identification. We observe striking inter- and intra-organ heterogeneity amongst the fibroblasts, primarily reflecting differences in the expression of extracellular matrix components. Fibroblast subtypes localize to discrete anatomical positions offering novel predictions about physiological function(s) and regulatory signaling circuits. Our data shed new light on the diversity of poorly defined classes of cells and provide a foundation for improved understanding of their roles in physiological and pathological processes.","author":[{"dropping-particle":"","family":"Muhl","given":"Lars","non-dropping-particle":"","parse-names":false,"suffix":""},{"dropping-particle":"","family":"Genové","given":"Guillem","non-dropping-particle":"","parse-names":false,"suffix":""},{"dropping-particle":"","family":"Leptidis","given":"Stefanos","non-dropping-particle":"","parse-names":false,"suffix":""},{"dropping-particle":"","family":"Liu","given":"Jianping","non-dropping-particle":"","parse-names":false,"suffix":""},{"dropping-particle":"","family":"He","given":"Liqun","non-dropping-particle":"","parse-names":false,"suffix":""},{"dropping-particle":"","family":"Mocci","given":"Giuseppe","non-dropping-particle":"","parse-names":false,"suffix":""},{"dropping-particle":"","family":"Sun","given":"Ying","non-dropping-particle":"","parse-names":false,"suffix":""},{"dropping-particle":"","family":"Gustafsson","given":"Sonja","non-dropping-particle":"","parse-names":false,"suffix":""},{"dropping-particle":"","family":"Buyandelger","given":"Byambajav","non-dropping-particle":"","parse-names":false,"suffix":""},{"dropping-particle":"V.","family":"Chivukula","given":"Indira","non-dropping-particle":"","parse-names":false,"suffix":""},{"dropping-particle":"","family":"Segerstolpe","given":"Åsa","non-dropping-particle":"","parse-names":false,"suffix":""},{"dropping-particle":"","family":"Raschperger","given":"Elisabeth","non-dropping-particle":"","parse-names":false,"suffix":""},{"dropping-particle":"","family":"Hansson","given":"Emil M.","non-dropping-particle":"","parse-names":false,"suffix":""},{"dropping-particle":"","family":"Björkegren","given":"Johan L.M.","non-dropping-particle":"","parse-names":false,"suffix":""},{"dropping-particle":"","family":"Peng","given":"Xiao Rong","non-dropping-particle":"","parse-names":false,"suffix":""},{"dropping-particle":"","family":"Vanlandewijck","given":"Michael","non-dropping-particle":"","parse-names":false,"suffix":""},{"dropping-particle":"","family":"Lendahl","given":"Urban","non-dropping-particle":"","parse-names":false,"suffix":""},{"dropping-particle":"","family":"Betsholtz","given":"Christer","non-dropping-particle":"","parse-names":false,"suffix":""}],"container-title":"Nature Communications","id":"ITEM-1","issue":"1","issued":{"date-parts":[["2020"]]},"page":"1-18","publisher":"Springer US","title":"Single-cell analysis uncovers fibroblast heterogeneity and criteria for fibroblast and mural cell identification and discrimination","type":"article-journal","volume":"11"},"uris":["http://www.mendeley.com/documents/?uuid=5fd03822-e061-4308-8a27-1d69de9a461b"]}],"mendeley":{"formattedCitation":"(8)","plainTextFormattedCitation":"(8)","previouslyFormattedCitation":"(8)"},"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rPr>
              <w:t>(8)</w:t>
            </w:r>
            <w:r w:rsidRPr="00DD0592">
              <w:rPr>
                <w:rFonts w:cs="Times New Roman"/>
                <w:szCs w:val="24"/>
                <w:lang w:val="en-US"/>
              </w:rPr>
              <w:fldChar w:fldCharType="end"/>
            </w:r>
          </w:p>
          <w:p w14:paraId="722EE7E7" w14:textId="77777777" w:rsidR="00FA7DC0" w:rsidRPr="00DD0592" w:rsidRDefault="00FA7DC0" w:rsidP="001A59C4">
            <w:pPr>
              <w:rPr>
                <w:rFonts w:cs="Times New Roman"/>
                <w:szCs w:val="24"/>
              </w:rPr>
            </w:pPr>
            <w:r w:rsidRPr="00DD0592">
              <w:rPr>
                <w:rFonts w:cs="Times New Roman"/>
                <w:b w:val="0"/>
                <w:bCs w:val="0"/>
                <w:szCs w:val="24"/>
              </w:rPr>
              <w:t>Supplementary Table 1, Supplementary Fig. S2,</w:t>
            </w:r>
            <w:r w:rsidRPr="00DD0592">
              <w:rPr>
                <w:rFonts w:cs="Times New Roman"/>
                <w:szCs w:val="24"/>
              </w:rPr>
              <w:t xml:space="preserve"> </w:t>
            </w:r>
            <w:r w:rsidRPr="00DD0592">
              <w:rPr>
                <w:rFonts w:cs="Times New Roman"/>
                <w:b w:val="0"/>
                <w:bCs w:val="0"/>
                <w:szCs w:val="24"/>
              </w:rPr>
              <w:t>and Supplementary Table 3</w:t>
            </w:r>
          </w:p>
        </w:tc>
        <w:tc>
          <w:tcPr>
            <w:tcW w:w="0" w:type="auto"/>
            <w:shd w:val="clear" w:color="auto" w:fill="FFFFFF" w:themeFill="background1"/>
          </w:tcPr>
          <w:p w14:paraId="0C8375A4"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Mouse</w:t>
            </w:r>
          </w:p>
        </w:tc>
        <w:tc>
          <w:tcPr>
            <w:tcW w:w="0" w:type="auto"/>
            <w:shd w:val="clear" w:color="auto" w:fill="FFFFFF" w:themeFill="background1"/>
          </w:tcPr>
          <w:p w14:paraId="2A44DDA3"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i/>
                <w:iCs/>
                <w:lang w:val="en-US"/>
              </w:rPr>
            </w:pPr>
            <w:r w:rsidRPr="00DD0592">
              <w:rPr>
                <w:b/>
                <w:bCs/>
                <w:i/>
                <w:iCs/>
                <w:lang w:val="en-US"/>
              </w:rPr>
              <w:t>Tnc</w:t>
            </w:r>
            <w:r w:rsidRPr="00DD0592">
              <w:rPr>
                <w:b/>
                <w:bCs/>
                <w:i/>
                <w:iCs/>
                <w:vertAlign w:val="superscript"/>
                <w:lang w:val="en-US"/>
              </w:rPr>
              <w:t xml:space="preserve">+ </w:t>
            </w:r>
            <w:r w:rsidRPr="00DD0592">
              <w:rPr>
                <w:b/>
                <w:bCs/>
                <w:i/>
                <w:iCs/>
                <w:lang w:val="en-US"/>
              </w:rPr>
              <w:t>Cd34</w:t>
            </w:r>
            <w:r w:rsidRPr="00DD0592">
              <w:rPr>
                <w:b/>
                <w:bCs/>
                <w:i/>
                <w:iCs/>
                <w:vertAlign w:val="superscript"/>
                <w:lang w:val="en-US"/>
              </w:rPr>
              <w:t>-</w:t>
            </w:r>
            <w:r w:rsidRPr="00DD0592">
              <w:rPr>
                <w:b/>
                <w:bCs/>
                <w:lang w:val="en-US"/>
              </w:rPr>
              <w:t xml:space="preserve"> fibroblasts: </w:t>
            </w:r>
            <w:r w:rsidRPr="00DD0592">
              <w:rPr>
                <w:i/>
                <w:iCs/>
                <w:lang w:val="en-US"/>
              </w:rPr>
              <w:t>Adam23, Col6a3, Tgm2, Gata5, Tnc, Car3, Sfrp2, Dkk2, Col16a1, Bmp3</w:t>
            </w:r>
          </w:p>
          <w:p w14:paraId="2EF76D83"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i/>
                <w:iCs/>
                <w:lang w:val="en-US"/>
              </w:rPr>
            </w:pPr>
            <w:r w:rsidRPr="00DD0592">
              <w:rPr>
                <w:b/>
                <w:bCs/>
                <w:i/>
                <w:iCs/>
                <w:lang w:val="en-US"/>
              </w:rPr>
              <w:t>Tnc</w:t>
            </w:r>
            <w:r w:rsidRPr="00DD0592">
              <w:rPr>
                <w:b/>
                <w:bCs/>
                <w:i/>
                <w:iCs/>
                <w:vertAlign w:val="superscript"/>
                <w:lang w:val="en-US"/>
              </w:rPr>
              <w:t xml:space="preserve">- </w:t>
            </w:r>
            <w:r w:rsidRPr="00DD0592">
              <w:rPr>
                <w:b/>
                <w:bCs/>
                <w:i/>
                <w:iCs/>
                <w:lang w:val="en-US"/>
              </w:rPr>
              <w:t>Cd34</w:t>
            </w:r>
            <w:r w:rsidRPr="00DD0592">
              <w:rPr>
                <w:b/>
                <w:bCs/>
                <w:i/>
                <w:iCs/>
                <w:vertAlign w:val="superscript"/>
                <w:lang w:val="en-US"/>
              </w:rPr>
              <w:t>+</w:t>
            </w:r>
            <w:r w:rsidRPr="00DD0592">
              <w:rPr>
                <w:b/>
                <w:bCs/>
                <w:lang w:val="en-US"/>
              </w:rPr>
              <w:t xml:space="preserve"> fibroblasts: </w:t>
            </w:r>
            <w:r w:rsidRPr="00DD0592">
              <w:rPr>
                <w:i/>
                <w:iCs/>
                <w:lang w:val="en-US"/>
              </w:rPr>
              <w:t>Cd34, Tcf21, Mgp, Dcn, Igfbp6, Scara5, Serpinf1, Sparc, Pi16, Gsn</w:t>
            </w:r>
          </w:p>
          <w:p w14:paraId="65311660"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i/>
                <w:iCs/>
                <w:lang w:val="en-US"/>
              </w:rPr>
            </w:pPr>
            <w:r w:rsidRPr="00DD0592">
              <w:rPr>
                <w:b/>
                <w:bCs/>
                <w:lang w:val="en-US"/>
              </w:rPr>
              <w:t xml:space="preserve">Bladder mural cells: </w:t>
            </w:r>
            <w:r w:rsidRPr="00DD0592">
              <w:rPr>
                <w:i/>
                <w:iCs/>
                <w:lang w:val="en-US"/>
              </w:rPr>
              <w:t>Kcne4, Ramp1, Btg2, Atf3, Cebpb, Efhd2, Cdk11b, Fosl2, Coro1c, Pdgfa</w:t>
            </w:r>
          </w:p>
          <w:p w14:paraId="27344E46"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spellingerror"/>
                <w:rFonts w:eastAsiaTheme="majorEastAsia"/>
                <w:b/>
                <w:bCs/>
                <w:lang w:val="en-US"/>
              </w:rPr>
            </w:pPr>
          </w:p>
        </w:tc>
        <w:tc>
          <w:tcPr>
            <w:tcW w:w="0" w:type="auto"/>
            <w:shd w:val="clear" w:color="auto" w:fill="FFFFFF" w:themeFill="background1"/>
          </w:tcPr>
          <w:p w14:paraId="1CAB8E67"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GSE150294</w:t>
            </w:r>
          </w:p>
        </w:tc>
      </w:tr>
      <w:tr w:rsidR="00FA7DC0" w:rsidRPr="00DD0592" w14:paraId="43169447" w14:textId="77777777" w:rsidTr="004E7EED">
        <w:tc>
          <w:tcPr>
            <w:cnfStyle w:val="001000000000" w:firstRow="0" w:lastRow="0" w:firstColumn="1" w:lastColumn="0" w:oddVBand="0" w:evenVBand="0" w:oddHBand="0" w:evenHBand="0" w:firstRowFirstColumn="0" w:firstRowLastColumn="0" w:lastRowFirstColumn="0" w:lastRowLastColumn="0"/>
            <w:tcW w:w="0" w:type="auto"/>
          </w:tcPr>
          <w:p w14:paraId="3DB41E19" w14:textId="728F299C" w:rsidR="00FA7DC0" w:rsidRPr="00DD0592" w:rsidRDefault="00FA7DC0" w:rsidP="001A59C4">
            <w:pPr>
              <w:rPr>
                <w:rFonts w:cs="Times New Roman"/>
                <w:szCs w:val="24"/>
                <w:lang w:val="en-US"/>
              </w:rPr>
            </w:pPr>
            <w:r w:rsidRPr="00DD0592">
              <w:rPr>
                <w:rFonts w:cs="Times New Roman"/>
                <w:b w:val="0"/>
                <w:bCs w:val="0"/>
                <w:szCs w:val="24"/>
                <w:lang w:val="en-US"/>
              </w:rPr>
              <w:t xml:space="preserve">Ligon et al. 2020  </w:t>
            </w:r>
            <w:r w:rsidR="009C5639" w:rsidRPr="00DD0592">
              <w:rPr>
                <w:rFonts w:cs="Times New Roman"/>
                <w:szCs w:val="24"/>
                <w:lang w:val="en-US"/>
              </w:rPr>
              <w:fldChar w:fldCharType="begin" w:fldLock="1"/>
            </w:r>
            <w:r w:rsidR="009C5639" w:rsidRPr="00DD0592">
              <w:rPr>
                <w:rFonts w:cs="Times New Roman"/>
                <w:b w:val="0"/>
                <w:bCs w:val="0"/>
                <w:szCs w:val="24"/>
                <w:lang w:val="en-US"/>
              </w:rPr>
              <w:instrText>ADDIN CSL_CITATION {"citationItems":[{"id":"ITEM-1","itemData":{"DOI":"10.1038/s41385-020-0290-x","ISSN":"19353456","PMID":"32366865","abstract":"Aging has multifaceted effects on the immune system, but how aging affects tissue-specific immunity is not well-defined. Bladder diseases characterized by chronic inflammation are highly prevalent in older women, but mechanisms by which aging promotes these pathologies remain unknown. Tissue transcriptomics of unperturbed, young and aged bladders identified a highly altered immune landscape as a fundamental feature of the aging female bladder. Detailed mapping of immune cells using single cell RNA-sequencing revealed novel subsets of macrophages and dendritic cells and unique changes to the immune repertoire in the aged bladder. B and T cells are highly enriched in aged bladders and spontaneously form organized bladder tertiary lymphoid tissues (bTLTs). Naïve, activated, and germinal center B cells and IgA+ plasma cells are found within bTLT and associated with increased urinary IgA concentrations. bTLTs form with increasing age and their formation is dependent on TNFα. Microbiota are not required to form bTLT, as aged germfree mice also harbor them. Thus, bTLTs require age-dependent TNFα but are independent of the microbiota. Our results indicate that chronic, age-associated inflammation underlies a fundamental alteration to the bladder and establishes a resource for further investigation of the bladder immune system in homeostasis, aging, and disease.","author":[{"dropping-particle":"","family":"Ligon","given":"Marianne M.","non-dropping-particle":"","parse-names":false,"suffix":""},{"dropping-particle":"","family":"Wang","given":"Caihong","non-dropping-particle":"","parse-names":false,"suffix":""},{"dropping-particle":"","family":"DeJong","given":"Erica N.","non-dropping-particle":"","parse-names":false,"suffix":""},{"dropping-particle":"","family":"Schulz","given":"Christian","non-dropping-particle":"","parse-names":false,"suffix":""},{"dropping-particle":"","family":"Bowdish","given":"Dawn M.E.","non-dropping-particle":"","parse-names":false,"suffix":""},{"dropping-particle":"","family":"Mysorekar","given":"Indira U.","non-dropping-particle":"","parse-names":false,"suffix":""}],"container-title":"Mucosal Immunology","id":"ITEM-1","issue":"6","issued":{"date-parts":[["2020"]]},"page":"908-918","publisher":"Springer US","title":"Single cell and tissue-transcriptomic analysis of murine bladders reveals age- and TNFα-dependent but microbiota-independent tertiary lymphoid tissue formation","type":"article-journal","volume":"13"},"uris":["http://www.mendeley.com/documents/?uuid=ed3c22d2-5765-4186-bd32-30eac52012b0"]}],"mendeley":{"formattedCitation":"(13)","plainTextFormattedCitation":"(13)","previouslyFormattedCitation":"(13)"},"properties":{"noteIndex":0},"schema":"https://github.com/citation-style-language/schema/raw/master/csl-citation.json"}</w:instrText>
            </w:r>
            <w:r w:rsidR="009C5639" w:rsidRPr="00DD0592">
              <w:rPr>
                <w:rFonts w:cs="Times New Roman"/>
                <w:szCs w:val="24"/>
                <w:lang w:val="en-US"/>
              </w:rPr>
              <w:fldChar w:fldCharType="separate"/>
            </w:r>
            <w:r w:rsidR="009C5639" w:rsidRPr="00DD0592">
              <w:rPr>
                <w:rFonts w:cs="Times New Roman"/>
                <w:b w:val="0"/>
                <w:bCs w:val="0"/>
                <w:noProof/>
                <w:szCs w:val="24"/>
                <w:lang w:val="en-US"/>
              </w:rPr>
              <w:t>(13)</w:t>
            </w:r>
            <w:r w:rsidR="009C5639" w:rsidRPr="00DD0592">
              <w:rPr>
                <w:rFonts w:cs="Times New Roman"/>
                <w:szCs w:val="24"/>
                <w:lang w:val="en-US"/>
              </w:rPr>
              <w:fldChar w:fldCharType="end"/>
            </w:r>
          </w:p>
          <w:p w14:paraId="41F3727C" w14:textId="77777777" w:rsidR="00FA7DC0" w:rsidRPr="00DD0592" w:rsidRDefault="00FA7DC0" w:rsidP="001A59C4">
            <w:pPr>
              <w:rPr>
                <w:rFonts w:cs="Times New Roman"/>
                <w:szCs w:val="24"/>
                <w:lang w:val="en-US"/>
              </w:rPr>
            </w:pPr>
            <w:r w:rsidRPr="00DD0592">
              <w:rPr>
                <w:rFonts w:cs="Times New Roman"/>
                <w:b w:val="0"/>
                <w:bCs w:val="0"/>
                <w:szCs w:val="24"/>
                <w:lang w:val="en-US"/>
              </w:rPr>
              <w:t>Supplementary Fig. S3 and Supplementary Table S2</w:t>
            </w:r>
          </w:p>
          <w:p w14:paraId="337BCAE0" w14:textId="77777777" w:rsidR="00FA7DC0" w:rsidRPr="00DD0592" w:rsidRDefault="00FA7DC0" w:rsidP="001A59C4">
            <w:pPr>
              <w:rPr>
                <w:rFonts w:cs="Times New Roman"/>
                <w:b w:val="0"/>
                <w:bCs w:val="0"/>
                <w:szCs w:val="24"/>
                <w:lang w:val="en-US"/>
              </w:rPr>
            </w:pPr>
          </w:p>
        </w:tc>
        <w:tc>
          <w:tcPr>
            <w:tcW w:w="0" w:type="auto"/>
          </w:tcPr>
          <w:p w14:paraId="2F22C652"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Mouse</w:t>
            </w:r>
          </w:p>
        </w:tc>
        <w:tc>
          <w:tcPr>
            <w:tcW w:w="0" w:type="auto"/>
          </w:tcPr>
          <w:p w14:paraId="641F148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Style w:val="spellingerror"/>
                <w:rFonts w:cs="Times New Roman"/>
                <w:b/>
                <w:bCs/>
                <w:i/>
                <w:iCs/>
                <w:szCs w:val="24"/>
                <w:lang w:val="en-US"/>
              </w:rPr>
              <w:t>Retnla</w:t>
            </w:r>
            <w:r w:rsidRPr="00DD0592">
              <w:rPr>
                <w:rStyle w:val="spellingerror"/>
                <w:rFonts w:cs="Times New Roman"/>
                <w:b/>
                <w:bCs/>
                <w:i/>
                <w:iCs/>
                <w:szCs w:val="24"/>
                <w:vertAlign w:val="superscript"/>
                <w:lang w:val="en-US"/>
              </w:rPr>
              <w:t>hi</w:t>
            </w:r>
            <w:r w:rsidRPr="00DD0592">
              <w:rPr>
                <w:rStyle w:val="spellingerror"/>
                <w:rFonts w:cs="Times New Roman"/>
                <w:b/>
                <w:bCs/>
                <w:i/>
                <w:iCs/>
                <w:szCs w:val="24"/>
                <w:lang w:val="en-US"/>
              </w:rPr>
              <w:t xml:space="preserve"> </w:t>
            </w:r>
            <w:r w:rsidRPr="00DD0592">
              <w:rPr>
                <w:rStyle w:val="spellingerror"/>
                <w:rFonts w:cs="Times New Roman"/>
                <w:b/>
                <w:bCs/>
                <w:szCs w:val="24"/>
                <w:lang w:val="en-US"/>
              </w:rPr>
              <w:t>macrophages:</w:t>
            </w:r>
            <w:r w:rsidRPr="00DD0592">
              <w:rPr>
                <w:rStyle w:val="spellingerror"/>
                <w:rFonts w:cs="Times New Roman"/>
                <w:szCs w:val="24"/>
                <w:lang w:val="en-US"/>
              </w:rPr>
              <w:t xml:space="preserve"> </w:t>
            </w:r>
            <w:r w:rsidRPr="00DD0592">
              <w:rPr>
                <w:rFonts w:cs="Times New Roman"/>
                <w:i/>
                <w:iCs/>
                <w:szCs w:val="24"/>
                <w:lang w:val="en-US"/>
              </w:rPr>
              <w:t>Retnla, Fcna, Folr2, Mafb, Cd209f, Lyve1, F13a1, Clec10a, Ccl24, C4b</w:t>
            </w:r>
          </w:p>
          <w:p w14:paraId="17643A1F"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Style w:val="spellingerror"/>
                <w:rFonts w:cs="Times New Roman"/>
                <w:i/>
                <w:iCs/>
                <w:szCs w:val="24"/>
                <w:lang w:val="en-US"/>
              </w:rPr>
            </w:pPr>
            <w:r w:rsidRPr="00DD0592">
              <w:rPr>
                <w:rStyle w:val="spellingerror"/>
                <w:rFonts w:cs="Times New Roman"/>
                <w:b/>
                <w:bCs/>
                <w:szCs w:val="24"/>
                <w:lang w:val="en-US"/>
              </w:rPr>
              <w:t>Bladder macrophages:</w:t>
            </w:r>
            <w:r w:rsidRPr="00DD0592">
              <w:rPr>
                <w:rStyle w:val="spellingerror"/>
                <w:rFonts w:cs="Times New Roman"/>
                <w:szCs w:val="24"/>
                <w:lang w:val="en-US"/>
              </w:rPr>
              <w:t xml:space="preserve"> </w:t>
            </w:r>
            <w:r w:rsidRPr="00DD0592">
              <w:rPr>
                <w:rStyle w:val="spellingerror"/>
                <w:rFonts w:cs="Times New Roman"/>
                <w:i/>
                <w:iCs/>
                <w:szCs w:val="24"/>
                <w:lang w:val="en-US"/>
              </w:rPr>
              <w:t>Mgl2, Sirpa, Adgre1, Ccl7, Ccl12, Ccl2, C1qa, Ccl8, C1qc, Pf4</w:t>
            </w:r>
          </w:p>
          <w:p w14:paraId="7B166304"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Style w:val="spellingerror"/>
                <w:rFonts w:cs="Times New Roman"/>
                <w:b/>
                <w:bCs/>
                <w:i/>
                <w:iCs/>
                <w:szCs w:val="24"/>
                <w:lang w:val="en-US"/>
              </w:rPr>
              <w:t>Cxcl13</w:t>
            </w:r>
            <w:r w:rsidRPr="00DD0592">
              <w:rPr>
                <w:rStyle w:val="spellingerror"/>
                <w:rFonts w:cs="Times New Roman"/>
                <w:b/>
                <w:bCs/>
                <w:i/>
                <w:iCs/>
                <w:szCs w:val="24"/>
                <w:vertAlign w:val="superscript"/>
                <w:lang w:val="en-US"/>
              </w:rPr>
              <w:t>+</w:t>
            </w:r>
            <w:r w:rsidRPr="00DD0592">
              <w:rPr>
                <w:rStyle w:val="spellingerror"/>
                <w:rFonts w:cs="Times New Roman"/>
                <w:b/>
                <w:bCs/>
                <w:szCs w:val="24"/>
                <w:lang w:val="en-US"/>
              </w:rPr>
              <w:t xml:space="preserve"> macrophages:</w:t>
            </w:r>
            <w:r w:rsidRPr="00DD0592">
              <w:rPr>
                <w:rStyle w:val="spellingerror"/>
                <w:rFonts w:cs="Times New Roman"/>
                <w:szCs w:val="24"/>
                <w:lang w:val="en-US"/>
              </w:rPr>
              <w:t xml:space="preserve"> </w:t>
            </w:r>
            <w:r w:rsidRPr="00DD0592">
              <w:rPr>
                <w:rFonts w:cs="Times New Roman"/>
                <w:i/>
                <w:iCs/>
                <w:szCs w:val="24"/>
                <w:lang w:val="en-US"/>
              </w:rPr>
              <w:t>Nr1h3, Colq, Cxcl13, Ccl8.2, Fabp5.1, C3, Gdf15, Cd63.3, C1qb.17, C1qa.17</w:t>
            </w:r>
          </w:p>
          <w:p w14:paraId="24E193A8"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Style w:val="spellingerror"/>
                <w:rFonts w:cs="Times New Roman"/>
                <w:szCs w:val="24"/>
                <w:lang w:val="en-US"/>
              </w:rPr>
            </w:pPr>
          </w:p>
        </w:tc>
        <w:tc>
          <w:tcPr>
            <w:tcW w:w="0" w:type="auto"/>
          </w:tcPr>
          <w:p w14:paraId="7CEA499A"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GSE149571</w:t>
            </w:r>
          </w:p>
        </w:tc>
      </w:tr>
      <w:tr w:rsidR="00FA7DC0" w:rsidRPr="00DD0592" w14:paraId="34AF60B5" w14:textId="77777777" w:rsidTr="004E7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4434108" w14:textId="77777777" w:rsidR="00FA7DC0" w:rsidRPr="00DD0592" w:rsidRDefault="00FA7DC0" w:rsidP="001A59C4">
            <w:pPr>
              <w:rPr>
                <w:rFonts w:cs="Times New Roman"/>
                <w:szCs w:val="24"/>
                <w:lang w:val="en-US"/>
              </w:rPr>
            </w:pPr>
            <w:r w:rsidRPr="00DD0592">
              <w:rPr>
                <w:rFonts w:cs="Times New Roman"/>
                <w:b w:val="0"/>
                <w:bCs w:val="0"/>
                <w:szCs w:val="24"/>
                <w:lang w:val="en-US"/>
              </w:rPr>
              <w:t xml:space="preserve">Han et al. 2018 </w:t>
            </w:r>
            <w:r w:rsidRPr="00DD0592">
              <w:rPr>
                <w:rFonts w:cs="Times New Roman"/>
                <w:szCs w:val="24"/>
                <w:lang w:val="en-US"/>
              </w:rPr>
              <w:fldChar w:fldCharType="begin" w:fldLock="1"/>
            </w:r>
            <w:r w:rsidRPr="00DD0592">
              <w:rPr>
                <w:rFonts w:cs="Times New Roman"/>
                <w:b w:val="0"/>
                <w:bCs w:val="0"/>
                <w:szCs w:val="24"/>
                <w:lang w:val="en-US"/>
              </w:rPr>
              <w:instrText>ADDIN CSL_CITATION {"citationItems":[{"id":"ITEM-1","itemData":{"DOI":"10.1016/j.cell.2018.02.001","ISSN":"10974172","PMID":"29474909","abstract":"Single-cell RNA sequencing (scRNA-seq) technologies are poised to reshape the current cell-type classification system. However, a transcriptome-based single-cell atlas has not been achieved for complex mammalian systems. Here, we developed Microwell-seq, a high-throughput and low-cost scRNA-seq platform using simple, inexpensive devices. Using Microwell-seq, we analyzed more than 400,000 single cells covering all of the major mouse organs and constructed a basic scheme for a mouse cell atlas (MCA). We reveal a single-cell hierarchy for many tissues that have not been well characterized previously. We built a web-based “single-cell MCA analysis” pipeline that accurately defines cell types based on single-cell digital expression. Our study demonstrates the wide applicability of the Microwell-seq technology and MCA resource. Development of Microwell-seq allows construction of a mouse cell atlas at the single-cell level with a high-throughput and low-cost platform.","author":[{"dropping-particle":"","family":"Han","given":"Xiaoping","non-dropping-particle":"","parse-names":false,"suffix":""},{"dropping-particle":"","family":"Wang","given":"Renying","non-dropping-particle":"","parse-names":false,"suffix":""},{"dropping-particle":"","family":"Zhou","given":"Yincong","non-dropping-particle":"","parse-names":false,"suffix":""},{"dropping-particle":"","family":"Fei","given":"Lijiang","non-dropping-particle":"","parse-names":false,"suffix":""},{"dropping-particle":"","family":"Sun","given":"Huiyu","non-dropping-particle":"","parse-names":false,"suffix":""},{"dropping-particle":"","family":"Lai","given":"Shujing","non-dropping-particle":"","parse-names":false,"suffix":""},{"dropping-particle":"","family":"Saadatpour","given":"Assieh","non-dropping-particle":"","parse-names":false,"suffix":""},{"dropping-particle":"","family":"Zhou","given":"Zimin","non-dropping-particle":"","parse-names":false,"suffix":""},{"dropping-particle":"","family":"Chen","given":"Haide","non-dropping-particle":"","parse-names":false,"suffix":""},{"dropping-particle":"","family":"Ye","given":"Fang","non-dropping-particle":"","parse-names":false,"suffix":""},{"dropping-particle":"","family":"Huang","given":"Daosheng","non-dropping-particle":"","parse-names":false,"suffix":""},{"dropping-particle":"","family":"Xu","given":"Yang","non-dropping-particle":"","parse-names":false,"suffix":""},{"dropping-particle":"","family":"Huang","given":"Wentao","non-dropping-particle":"","parse-names":false,"suffix":""},{"dropping-particle":"","family":"Jiang","given":"Mengmeng","non-dropping-particle":"","parse-names":false,"suffix":""},{"dropping-particle":"","family":"Jiang","given":"Xinyi","non-dropping-particle":"","parse-names":false,"suffix":""},{"dropping-particle":"","family":"Mao","given":"Jie","non-dropping-particle":"","parse-names":false,"suffix":""},{"dropping-particle":"","family":"Chen","given":"Yao","non-dropping-particle":"","parse-names":false,"suffix":""},{"dropping-particle":"","family":"Lu","given":"Chenyu","non-dropping-particle":"","parse-names":false,"suffix":""},{"dropping-particle":"","family":"Xie","given":"Jin","non-dropping-particle":"","parse-names":false,"suffix":""},{"dropping-particle":"","family":"Fang","given":"Qun","non-dropping-particle":"","parse-names":false,"suffix":""},{"dropping-particle":"","family":"Wang","given":"Yibin","non-dropping-particle":"","parse-names":false,"suffix":""},{"dropping-particle":"","family":"Yue","given":"Rui","non-dropping-particle":"","parse-names":false,"suffix":""},{"dropping-particle":"","family":"Li","given":"Tiefeng","non-dropping-particle":"","parse-names":false,"suffix":""},{"dropping-particle":"","family":"Huang","given":"He","non-dropping-particle":"","parse-names":false,"suffix":""},{"dropping-particle":"","family":"Orkin","given":"Stuart H.","non-dropping-particle":"","parse-names":false,"suffix":""},{"dropping-particle":"","family":"Yuan","given":"Guo Cheng","non-dropping-particle":"","parse-names":false,"suffix":""},{"dropping-particle":"","family":"Chen","given":"Ming","non-dropping-particle":"","parse-names":false,"suffix":""},{"dropping-particle":"","family":"Guo","given":"Guoji","non-dropping-particle":"","parse-names":false,"suffix":""}],"container-title":"Cell","id":"ITEM-1","issue":"5","issued":{"date-parts":[["2018"]]},"page":"1091-1107.e17","publisher":"Elsevier Inc.","title":"Mapping the Mouse Cell Atlas by Microwell-Seq","type":"article-journal","volume":"172"},"uris":["http://www.mendeley.com/documents/?uuid=84be8b48-afeb-42b2-b59d-c94d3a502a07"]}],"mendeley":{"formattedCitation":"(24)","plainTextFormattedCitation":"(24)","previouslyFormattedCitation":"(24)"},"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lang w:val="en-US"/>
              </w:rPr>
              <w:t>(24)</w:t>
            </w:r>
            <w:r w:rsidRPr="00DD0592">
              <w:rPr>
                <w:rFonts w:cs="Times New Roman"/>
                <w:szCs w:val="24"/>
                <w:lang w:val="en-US"/>
              </w:rPr>
              <w:fldChar w:fldCharType="end"/>
            </w:r>
          </w:p>
          <w:p w14:paraId="3322B68F" w14:textId="77777777" w:rsidR="00FA7DC0" w:rsidRPr="00DD0592" w:rsidRDefault="00FA7DC0" w:rsidP="001A59C4">
            <w:pPr>
              <w:rPr>
                <w:rFonts w:cs="Times New Roman"/>
                <w:b w:val="0"/>
                <w:bCs w:val="0"/>
                <w:szCs w:val="24"/>
                <w:lang w:val="en-US"/>
              </w:rPr>
            </w:pPr>
            <w:r w:rsidRPr="00DD0592">
              <w:rPr>
                <w:rFonts w:cs="Times New Roman"/>
                <w:b w:val="0"/>
                <w:bCs w:val="0"/>
                <w:szCs w:val="24"/>
                <w:lang w:val="en-US"/>
              </w:rPr>
              <w:t>Supplementary Table S5</w:t>
            </w:r>
          </w:p>
        </w:tc>
        <w:tc>
          <w:tcPr>
            <w:tcW w:w="0" w:type="auto"/>
            <w:shd w:val="clear" w:color="auto" w:fill="FFFFFF" w:themeFill="background1"/>
          </w:tcPr>
          <w:p w14:paraId="55C25FF1"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Mouse</w:t>
            </w:r>
          </w:p>
        </w:tc>
        <w:tc>
          <w:tcPr>
            <w:tcW w:w="0" w:type="auto"/>
            <w:shd w:val="clear" w:color="auto" w:fill="FFFFFF" w:themeFill="background1"/>
          </w:tcPr>
          <w:p w14:paraId="1CE79225"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Style w:val="spellingerror"/>
                <w:rFonts w:cs="Times New Roman"/>
                <w:b/>
                <w:bCs/>
                <w:szCs w:val="24"/>
                <w:lang w:val="en-US"/>
              </w:rPr>
              <w:t>Stromal cells (</w:t>
            </w:r>
            <w:r w:rsidRPr="00DD0592">
              <w:rPr>
                <w:rStyle w:val="spellingerror"/>
                <w:rFonts w:cs="Times New Roman"/>
                <w:b/>
                <w:bCs/>
                <w:i/>
                <w:iCs/>
                <w:szCs w:val="24"/>
                <w:lang w:val="en-US"/>
              </w:rPr>
              <w:t>Dpt</w:t>
            </w:r>
            <w:r w:rsidRPr="00DD0592">
              <w:rPr>
                <w:rStyle w:val="spellingerror"/>
                <w:rFonts w:cs="Times New Roman"/>
                <w:b/>
                <w:bCs/>
                <w:i/>
                <w:iCs/>
                <w:szCs w:val="24"/>
                <w:vertAlign w:val="superscript"/>
                <w:lang w:val="en-US"/>
              </w:rPr>
              <w:t>hi</w:t>
            </w:r>
            <w:r w:rsidRPr="00DD0592">
              <w:rPr>
                <w:rStyle w:val="spellingerror"/>
                <w:rFonts w:cs="Times New Roman"/>
                <w:b/>
                <w:bCs/>
                <w:szCs w:val="24"/>
                <w:lang w:val="en-US"/>
              </w:rPr>
              <w:t xml:space="preserve">): </w:t>
            </w:r>
            <w:r w:rsidRPr="00DD0592">
              <w:rPr>
                <w:rFonts w:cs="Times New Roman"/>
                <w:i/>
                <w:iCs/>
                <w:szCs w:val="24"/>
                <w:lang w:val="en-US"/>
              </w:rPr>
              <w:t>Dpt, Gas1, Cxcl12, Mgp, Clec3b, Mfap4, Htra3, Serpinf1, Gsn, Cd55</w:t>
            </w:r>
          </w:p>
          <w:p w14:paraId="7ADE5700"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Fonts w:cs="Times New Roman"/>
                <w:b/>
                <w:bCs/>
                <w:szCs w:val="24"/>
                <w:lang w:val="en-US"/>
              </w:rPr>
              <w:t>Stromal cells (</w:t>
            </w:r>
            <w:r w:rsidRPr="00DD0592">
              <w:rPr>
                <w:rFonts w:cs="Times New Roman"/>
                <w:b/>
                <w:bCs/>
                <w:i/>
                <w:iCs/>
                <w:szCs w:val="24"/>
                <w:lang w:val="en-US"/>
              </w:rPr>
              <w:t>Car3</w:t>
            </w:r>
            <w:r w:rsidRPr="00DD0592">
              <w:rPr>
                <w:rFonts w:cs="Times New Roman"/>
                <w:b/>
                <w:bCs/>
                <w:i/>
                <w:iCs/>
                <w:szCs w:val="24"/>
                <w:vertAlign w:val="superscript"/>
                <w:lang w:val="en-US"/>
              </w:rPr>
              <w:t>hi</w:t>
            </w:r>
            <w:r w:rsidRPr="00DD0592">
              <w:rPr>
                <w:rFonts w:cs="Times New Roman"/>
                <w:b/>
                <w:bCs/>
                <w:szCs w:val="24"/>
                <w:lang w:val="en-US"/>
              </w:rPr>
              <w:t>)</w:t>
            </w:r>
            <w:r w:rsidRPr="00DD0592">
              <w:rPr>
                <w:rFonts w:cs="Times New Roman"/>
                <w:szCs w:val="24"/>
                <w:lang w:val="en-US"/>
              </w:rPr>
              <w:t xml:space="preserve"> </w:t>
            </w:r>
            <w:r w:rsidRPr="00DD0592">
              <w:rPr>
                <w:rFonts w:cs="Times New Roman"/>
                <w:szCs w:val="24"/>
                <w:vertAlign w:val="superscript"/>
                <w:lang w:val="en-US"/>
              </w:rPr>
              <w:t>∆</w:t>
            </w:r>
            <w:r w:rsidRPr="00DD0592">
              <w:rPr>
                <w:rFonts w:cs="Times New Roman"/>
                <w:b/>
                <w:bCs/>
                <w:szCs w:val="24"/>
                <w:lang w:val="en-US"/>
              </w:rPr>
              <w:t xml:space="preserve">: </w:t>
            </w:r>
            <w:r w:rsidRPr="00DD0592">
              <w:rPr>
                <w:rFonts w:cs="Times New Roman"/>
                <w:i/>
                <w:iCs/>
                <w:szCs w:val="24"/>
                <w:lang w:val="en-US"/>
              </w:rPr>
              <w:t>Car3, Cxcl14, Tnc, Rbp4, Dkk2, Adamdec1, Bmp5, Thbs2, Aldh1a2, Gpx3</w:t>
            </w:r>
          </w:p>
          <w:p w14:paraId="3EBC98BB"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Style w:val="spellingerror"/>
                <w:rFonts w:cs="Times New Roman"/>
                <w:i/>
                <w:iCs/>
                <w:szCs w:val="24"/>
                <w:lang w:val="en-US"/>
              </w:rPr>
            </w:pPr>
            <w:r w:rsidRPr="00DD0592">
              <w:rPr>
                <w:rStyle w:val="spellingerror"/>
                <w:rFonts w:cs="Times New Roman"/>
                <w:b/>
                <w:bCs/>
                <w:szCs w:val="24"/>
                <w:lang w:val="en-US"/>
              </w:rPr>
              <w:t>Tissue resident macrophages:</w:t>
            </w:r>
            <w:r w:rsidRPr="00DD0592">
              <w:rPr>
                <w:rStyle w:val="spellingerror"/>
                <w:rFonts w:cs="Times New Roman"/>
                <w:szCs w:val="24"/>
                <w:lang w:val="en-US"/>
              </w:rPr>
              <w:t xml:space="preserve"> </w:t>
            </w:r>
            <w:r w:rsidRPr="00DD0592">
              <w:rPr>
                <w:rStyle w:val="spellingerror"/>
                <w:rFonts w:cs="Times New Roman"/>
                <w:i/>
                <w:iCs/>
                <w:szCs w:val="24"/>
                <w:lang w:val="en-US"/>
              </w:rPr>
              <w:t>Pf4, C1qc, C1qa, Apoe, Ccl8, Mrc1, Csf1r, Mgl2, Clec10a, Cd209f</w:t>
            </w:r>
          </w:p>
          <w:p w14:paraId="643C0FFA"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Style w:val="spellingerror"/>
                <w:rFonts w:cs="Times New Roman"/>
                <w:i/>
                <w:iCs/>
                <w:szCs w:val="24"/>
                <w:lang w:val="en-US"/>
              </w:rPr>
            </w:pPr>
          </w:p>
        </w:tc>
        <w:tc>
          <w:tcPr>
            <w:tcW w:w="0" w:type="auto"/>
            <w:shd w:val="clear" w:color="auto" w:fill="FFFFFF" w:themeFill="background1"/>
          </w:tcPr>
          <w:p w14:paraId="6F3DE60D"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GSE108097</w:t>
            </w:r>
          </w:p>
        </w:tc>
      </w:tr>
      <w:tr w:rsidR="00FA7DC0" w:rsidRPr="00DD0592" w14:paraId="77E3EB38" w14:textId="77777777" w:rsidTr="004E7EED">
        <w:tc>
          <w:tcPr>
            <w:cnfStyle w:val="001000000000" w:firstRow="0" w:lastRow="0" w:firstColumn="1" w:lastColumn="0" w:oddVBand="0" w:evenVBand="0" w:oddHBand="0" w:evenHBand="0" w:firstRowFirstColumn="0" w:firstRowLastColumn="0" w:lastRowFirstColumn="0" w:lastRowLastColumn="0"/>
            <w:tcW w:w="0" w:type="auto"/>
          </w:tcPr>
          <w:p w14:paraId="471DCD74" w14:textId="77777777" w:rsidR="00FA7DC0" w:rsidRPr="00DD0592" w:rsidRDefault="00FA7DC0" w:rsidP="001A59C4">
            <w:pPr>
              <w:rPr>
                <w:rFonts w:cs="Times New Roman"/>
                <w:b w:val="0"/>
                <w:bCs w:val="0"/>
                <w:szCs w:val="24"/>
                <w:lang w:val="en-US"/>
              </w:rPr>
            </w:pPr>
            <w:r w:rsidRPr="00DD0592">
              <w:rPr>
                <w:rFonts w:cs="Times New Roman"/>
                <w:b w:val="0"/>
                <w:bCs w:val="0"/>
                <w:szCs w:val="24"/>
                <w:lang w:val="en-US"/>
              </w:rPr>
              <w:t xml:space="preserve">Han et al. 2020 </w:t>
            </w:r>
            <w:r w:rsidRPr="00DD0592">
              <w:rPr>
                <w:rFonts w:cs="Times New Roman"/>
                <w:szCs w:val="24"/>
                <w:lang w:val="en-US"/>
              </w:rPr>
              <w:fldChar w:fldCharType="begin" w:fldLock="1"/>
            </w:r>
            <w:r w:rsidRPr="00DD0592">
              <w:rPr>
                <w:rFonts w:cs="Times New Roman"/>
                <w:b w:val="0"/>
                <w:bCs w:val="0"/>
                <w:szCs w:val="24"/>
                <w:lang w:val="en-US"/>
              </w:rPr>
              <w:instrText>ADDIN CSL_CITATION {"citationItems":[{"id":"ITEM-1","itemData":{"DOI":"10.1038/s41586-020-2157-4","ISSN":"14764687","PMID":"32214235","abstract":"Single-cell analysis is a valuable tool for dissecting cellular heterogeneity in complex systems1. However, a comprehensive single-cell atlas has not been achieved for humans. Here we use single-cell mRNA sequencing to determine the cell-type composition of all major human organs and construct a scheme for the human cell landscape (HCL). We have uncovered a single-cell hierarchy for many tissues that have not been well characterized. We established a ‘single-cell HCL analysis’ pipeline that helps to define human cell identity. Finally, we performed a single-cell comparative analysis of landscapes from human and mouse to identify conserved genetic networks. We found that stem and progenitor cells exhibit strong transcriptomic stochasticity, whereas differentiated cells are more distinct. Our results provide a useful resource for the study of human biology.","author":[{"dropping-particle":"","family":"Han","given":"Xiaoping","non-dropping-particle":"","parse-names":false,"suffix":""},{"dropping-particle":"","family":"Zhou","given":"Ziming","non-dropping-particle":"","parse-names":false,"suffix":""},{"dropping-particle":"","family":"Fei","given":"Lijiang","non-dropping-particle":"","parse-names":false,"suffix":""},{"dropping-particle":"","family":"Sun","given":"Huiyu","non-dropping-particle":"","parse-names":false,"suffix":""},{"dropping-particle":"","family":"Wang","given":"Renying","non-dropping-particle":"","parse-names":false,"suffix":""},{"dropping-particle":"","family":"Chen","given":"Yao","non-dropping-particle":"","parse-names":false,"suffix":""},{"dropping-particle":"","family":"Chen","given":"Haide","non-dropping-particle":"","parse-names":false,"suffix":""},{"dropping-particle":"","family":"Wang","given":"Jingjing","non-dropping-particle":"","parse-names":false,"suffix":""},{"dropping-particle":"","family":"Tang","given":"Huanna","non-dropping-particle":"","parse-names":false,"suffix":""},{"dropping-particle":"","family":"Ge","given":"Wenhao","non-dropping-particle":"","parse-names":false,"suffix":""},{"dropping-particle":"","family":"Zhou","given":"Yincong","non-dropping-particle":"","parse-names":false,"suffix":""},{"dropping-particle":"","family":"Ye","given":"Fang","non-dropping-particle":"","parse-names":false,"suffix":""},{"dropping-particle":"","family":"Jiang","given":"Mengmeng","non-dropping-particle":"","parse-names":false,"suffix":""},{"dropping-particle":"","family":"Wu","given":"Junqing","non-dropping-particle":"","parse-names":false,"suffix":""},{"dropping-particle":"","family":"Xiao","given":"Yanyu","non-dropping-particle":"","parse-names":false,"suffix":""},{"dropping-particle":"","family":"Jia","given":"Xiaoning","non-dropping-particle":"","parse-names":false,"suffix":""},{"dropping-particle":"","family":"Zhang","given":"Tingyue","non-dropping-particle":"","parse-names":false,"suffix":""},{"dropping-particle":"","family":"Ma","given":"Xiaojie","non-dropping-particle":"","parse-names":false,"suffix":""},{"dropping-particle":"","family":"Zhang","given":"Qi","non-dropping-particle":"","parse-names":false,"suffix":""},{"dropping-particle":"","family":"Bai","given":"Xueli","non-dropping-particle":"","parse-names":false,"suffix":""},{"dropping-particle":"","family":"Lai","given":"Shujing","non-dropping-particle":"","parse-names":false,"suffix":""},{"dropping-particle":"","family":"Yu","given":"Chengxuan","non-dropping-particle":"","parse-names":false,"suffix":""},{"dropping-particle":"","family":"Zhu","given":"Lijun","non-dropping-particle":"","parse-names":false,"suffix":""},{"dropping-particle":"","family":"Lin","given":"Rui","non-dropping-particle":"","parse-names":false,"suffix":""},{"dropping-particle":"","family":"Gao","given":"Yuchi","non-dropping-particle":"","parse-names":false,"suffix":""},{"dropping-particle":"","family":"Wang","given":"Min","non-dropping-particle":"","parse-names":false,"suffix":""},{"dropping-particle":"","family":"Wu","given":"Yiqing","non-dropping-particle":"","parse-names":false,"suffix":""},{"dropping-particle":"","family":"Zhang","given":"Jianming","non-dropping-particle":"","parse-names":false,"suffix":""},{"dropping-particle":"","family":"Zhan","given":"Renya","non-dropping-particle":"","parse-names":false,"suffix":""},{"dropping-particle":"","family":"Zhu","given":"Saiyong","non-dropping-particle":"","parse-names":false,"suffix":""},{"dropping-particle":"","family":"Hu","given":"Hailan","non-dropping-particle":"","parse-names":false,"suffix":""},{"dropping-particle":"","family":"Wang","given":"Changchun","non-dropping-particle":"","parse-names":false,"suffix":""},{"dropping-particle":"","family":"Chen","given":"Ming","non-dropping-particle":"","parse-names":false,"suffix":""},{"dropping-particle":"","family":"Huang","given":"He","non-dropping-particle":"","parse-names":false,"suffix":""},{"dropping-particle":"","family":"Liang","given":"Tingbo","non-dropping-particle":"","parse-names":false,"suffix":""},{"dropping-particle":"","family":"Chen","given":"Jianghua","non-dropping-particle":"","parse-names":false,"suffix":""},{"dropping-particle":"","family":"Wang","given":"Weilin","non-dropping-particle":"","parse-names":false,"suffix":""},{"dropping-particle":"","family":"Zhang","given":"Dan","non-dropping-particle":"","parse-names":false,"suffix":""},{"dropping-particle":"","family":"Guo","given":"Guoji","non-dropping-particle":"","parse-names":false,"suffix":""}],"container-title":"Nature","id":"ITEM-1","issue":"7808","issued":{"date-parts":[["2020"]]},"page":"303-309","publisher":"Springer US","title":"Construction of a human cell landscape at single-cell level","type":"article-journal","volume":"581"},"uris":["http://www.mendeley.com/documents/?uuid=572fcee0-fc1d-484d-8f2b-f6b56c7e2c84"]}],"mendeley":{"formattedCitation":"(21)","plainTextFormattedCitation":"(21)","previouslyFormattedCitation":"(21)"},"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lang w:val="en-US"/>
              </w:rPr>
              <w:t>(21)</w:t>
            </w:r>
            <w:r w:rsidRPr="00DD0592">
              <w:rPr>
                <w:rFonts w:cs="Times New Roman"/>
                <w:szCs w:val="24"/>
                <w:lang w:val="en-US"/>
              </w:rPr>
              <w:fldChar w:fldCharType="end"/>
            </w:r>
          </w:p>
          <w:p w14:paraId="5D5FC2D7" w14:textId="77777777" w:rsidR="00FA7DC0" w:rsidRPr="00DD0592" w:rsidRDefault="00FA7DC0" w:rsidP="001A59C4">
            <w:pPr>
              <w:rPr>
                <w:rFonts w:cs="Times New Roman"/>
                <w:szCs w:val="24"/>
                <w:lang w:val="en-US"/>
              </w:rPr>
            </w:pPr>
            <w:r w:rsidRPr="00DD0592">
              <w:rPr>
                <w:rFonts w:cs="Times New Roman"/>
                <w:b w:val="0"/>
                <w:bCs w:val="0"/>
                <w:szCs w:val="24"/>
                <w:lang w:val="en-US"/>
              </w:rPr>
              <w:t>Supplementary Table 3</w:t>
            </w:r>
          </w:p>
        </w:tc>
        <w:tc>
          <w:tcPr>
            <w:tcW w:w="0" w:type="auto"/>
          </w:tcPr>
          <w:p w14:paraId="3DC29AEE"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Human</w:t>
            </w:r>
          </w:p>
        </w:tc>
        <w:tc>
          <w:tcPr>
            <w:tcW w:w="0" w:type="auto"/>
          </w:tcPr>
          <w:p w14:paraId="6DBE7AB8"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b/>
                <w:bCs/>
                <w:lang w:val="en-US"/>
              </w:rPr>
            </w:pPr>
            <w:r w:rsidRPr="00DD0592">
              <w:rPr>
                <w:rStyle w:val="spellingerror"/>
                <w:rFonts w:eastAsiaTheme="majorEastAsia"/>
                <w:b/>
                <w:bCs/>
                <w:lang w:val="en-US"/>
              </w:rPr>
              <w:t>Bladder-specific endothelial cells:</w:t>
            </w:r>
          </w:p>
          <w:p w14:paraId="3F76D204"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Fonts w:cs="Times New Roman"/>
                <w:i/>
                <w:iCs/>
                <w:szCs w:val="24"/>
                <w:lang w:val="en-US"/>
              </w:rPr>
              <w:t>AQP1, IL6, PECAM1, HLA-DRB1, VWF, POSTN, IGFBP4, HLA-DRA, SPRY1, HLA-DPA1</w:t>
            </w:r>
          </w:p>
          <w:p w14:paraId="4C63AFF4"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Style w:val="spellingerror"/>
                <w:rFonts w:cs="Times New Roman"/>
                <w:i/>
                <w:iCs/>
                <w:szCs w:val="24"/>
                <w:lang w:val="en-US"/>
              </w:rPr>
            </w:pPr>
          </w:p>
        </w:tc>
        <w:tc>
          <w:tcPr>
            <w:tcW w:w="0" w:type="auto"/>
          </w:tcPr>
          <w:p w14:paraId="27620EF1"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GSE134355</w:t>
            </w:r>
          </w:p>
        </w:tc>
      </w:tr>
      <w:tr w:rsidR="00FA7DC0" w:rsidRPr="00DD0592" w14:paraId="24854F86" w14:textId="77777777" w:rsidTr="004E7EED">
        <w:trPr>
          <w:cnfStyle w:val="000000100000" w:firstRow="0" w:lastRow="0" w:firstColumn="0" w:lastColumn="0" w:oddVBand="0" w:evenVBand="0" w:oddHBand="1" w:evenHBand="0" w:firstRowFirstColumn="0" w:firstRowLastColumn="0" w:lastRowFirstColumn="0" w:lastRowLastColumn="0"/>
          <w:trHeight w:val="144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DC3C1F8" w14:textId="77777777" w:rsidR="00FA7DC0" w:rsidRPr="00DD0592" w:rsidRDefault="00FA7DC0" w:rsidP="001A59C4">
            <w:pPr>
              <w:rPr>
                <w:rFonts w:cs="Times New Roman"/>
                <w:szCs w:val="24"/>
                <w:lang w:val="en-US"/>
              </w:rPr>
            </w:pPr>
            <w:r w:rsidRPr="00DD0592">
              <w:rPr>
                <w:rFonts w:cs="Times New Roman"/>
                <w:b w:val="0"/>
                <w:bCs w:val="0"/>
                <w:szCs w:val="24"/>
                <w:lang w:val="en-US"/>
              </w:rPr>
              <w:t xml:space="preserve">He et al. 2020 </w:t>
            </w:r>
            <w:r w:rsidRPr="00DD0592">
              <w:rPr>
                <w:rFonts w:cs="Times New Roman"/>
                <w:szCs w:val="24"/>
                <w:lang w:val="en-US"/>
              </w:rPr>
              <w:fldChar w:fldCharType="begin" w:fldLock="1"/>
            </w:r>
            <w:r w:rsidRPr="00DD0592">
              <w:rPr>
                <w:rFonts w:cs="Times New Roman"/>
                <w:b w:val="0"/>
                <w:bCs w:val="0"/>
                <w:szCs w:val="24"/>
                <w:lang w:val="en-US"/>
              </w:rPr>
              <w:instrText>ADDIN CSL_CITATION {"citationItems":[{"id":"ITEM-1","itemData":{"DOI":"10.1186/s13059-020-02210-0","ISSN":"1474760X","PMID":"33287869","abstract":"Background: As core units of organ tissues, cells of various types play their harmonious rhythms to maintain the homeostasis of the human body. It is essential to identify the characteristics of cells in human organs and their regulatory networks for understanding the biological mechanisms related to health and disease. However, a systematic and comprehensive single-cell transcriptional profile across multiple organs of a normal human adult is missing. Results: We perform single-cell transcriptomes of 84,363 cells derived from 15 tissue organs of one adult donor and generate an adult human cell atlas. The adult human cell atlas depicts 252 subtypes of cells, including major cell types such as T, B, myeloid, epithelial, and stromal cells, as well as novel COCH+ fibroblasts and FibSmo cells, each of which is distinguished by multiple marker genes and transcriptional profiles. These collectively contribute to the heterogeneity of major human organs. Moreover, T cell and B cell receptor repertoire comparisons and trajectory analyses reveal direct clonal sharing of T and B cells with various developmental states among different tissues. Furthermore, novel cell markers</w:instrText>
            </w:r>
            <w:r w:rsidRPr="00DD0592">
              <w:rPr>
                <w:rFonts w:cs="Times New Roman"/>
                <w:b w:val="0"/>
                <w:bCs w:val="0"/>
                <w:szCs w:val="24"/>
              </w:rPr>
              <w:instrText>, transcription factors, and ligand-receptor pairs are identified with potential functional regulations in maintaining the homeostasis of human cells among tissues. Conclusions: The adult human cell atlas reveals the inter- and intra-organ heterogeneity of cell characteristics and provides a useful resource in uncovering key events during the development of human diseases in the context of the heterogeneity of cells and organs.","author":[{"dropping-particle":"","family":"He","given":"Shuai","non-dropping-particle":"","parse-names":false,"suffix":""},{"dropping-particle":"","family":"Wang","given":"Lin He","non-dropping-particle":"","parse-names":false,"suffix":""},{"dropping-particle":"","family":"Liu","given":"Yang","non-dropping-particle":"","parse-names":false,"suffix":""},{"dropping-particle":"","family":"Li","given":"Yi Qi","non-dropping-particle":"","parse-names":false,"suffix":""},{"dropping-particle":"","family":"Chen","given":"Hai Tian","non-dropping-particle":"","parse-names":false,"suffix":""},{"dropping-particle":"","family":"Xu","given":"Jing Hong","non-dropping-particle":"","parse-names":false,"suffix":""},{"dropping-particle":"","family":"Peng","given":"Wan","non-dropping-particle":"","parse-names":false,"suffix":</w:instrText>
            </w:r>
            <w:r w:rsidRPr="00DD0592">
              <w:rPr>
                <w:rFonts w:cs="Times New Roman"/>
                <w:b w:val="0"/>
                <w:bCs w:val="0"/>
                <w:szCs w:val="24"/>
                <w:lang w:val="en-US"/>
              </w:rPr>
              <w:instrText>""},{"dropping-particle":"","family":"Lin","given":"Guo Wang","non-dropping-particle":"","parse-names":false,"suffix":""},{"dropping-particle":"","family":"Wei","given":"Pan Pan","non-dropping-particle":"","parse-names":false,"suffix":""},{"dropping-particle":"","family":"Li","given":"Bo","non-dropping-particle":"","parse-names":false,"suffix":""},{"dropping-particle":"","family":"Xia","given":"Xiaojun","non-dropping-particle":"","parse-names":false,"suffix":""},{"dropping-particle":"","family":"Wang","given":"Dan","non-dropping-particle":"","parse-names":false,"suffix":""},{"dropping-particle":"","family":"Bei","given":"Jin Xin","non-dropping-particle":"","parse-names":false,"suffix":""},{"dropping-particle":"","family":"He","given":"Xiaoshun","non-dropping-particle":"","parse-names":false,"suffix":""},{"dropping-particle":"","family":"Guo","given":"Zhiyong","non-dropping-particle":"","parse-names":false,"suffix":""}],"container-title":"Genome Biology","id":"ITEM-1","issue":"1","issued":{"date-parts":[["2020"]]},"page":"1-34","title":"Single-cell transcriptome profiling of an adult human cell atlas of 15 major organs","type":"article-journal","volume":"21"},"uris":["http://www.mendeley.com/documents/?uuid=b9ee6e63-50e1-43de-81f6-9b6376bcd685"]}],"mendeley":{"formattedCitation":"(25)","plainTextFormattedCitation":"(25)","previouslyFormattedCitation":"(25)"},"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lang w:val="en-US"/>
              </w:rPr>
              <w:t>(25)</w:t>
            </w:r>
            <w:r w:rsidRPr="00DD0592">
              <w:rPr>
                <w:rFonts w:cs="Times New Roman"/>
                <w:szCs w:val="24"/>
                <w:lang w:val="en-US"/>
              </w:rPr>
              <w:fldChar w:fldCharType="end"/>
            </w:r>
          </w:p>
          <w:p w14:paraId="59F54665" w14:textId="77777777" w:rsidR="00FA7DC0" w:rsidRPr="00DD0592" w:rsidRDefault="00FA7DC0" w:rsidP="001A59C4">
            <w:pPr>
              <w:rPr>
                <w:rFonts w:cs="Times New Roman"/>
                <w:szCs w:val="24"/>
                <w:lang w:val="en-US"/>
              </w:rPr>
            </w:pPr>
            <w:r w:rsidRPr="00DD0592">
              <w:rPr>
                <w:rFonts w:cs="Times New Roman"/>
                <w:b w:val="0"/>
                <w:bCs w:val="0"/>
                <w:szCs w:val="24"/>
                <w:lang w:val="en-US"/>
              </w:rPr>
              <w:t>Supplementary Fig. S23</w:t>
            </w:r>
          </w:p>
        </w:tc>
        <w:tc>
          <w:tcPr>
            <w:tcW w:w="0" w:type="auto"/>
            <w:shd w:val="clear" w:color="auto" w:fill="FFFFFF" w:themeFill="background1"/>
          </w:tcPr>
          <w:p w14:paraId="319A81E9"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Human</w:t>
            </w:r>
          </w:p>
        </w:tc>
        <w:tc>
          <w:tcPr>
            <w:tcW w:w="0" w:type="auto"/>
            <w:shd w:val="clear" w:color="auto" w:fill="FFFFFF" w:themeFill="background1"/>
          </w:tcPr>
          <w:p w14:paraId="0F768CBB" w14:textId="77777777" w:rsidR="00FA7DC0" w:rsidRPr="00DD0592" w:rsidRDefault="00FA7DC0" w:rsidP="001A59C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 xml:space="preserve">FibSmo cells: </w:t>
            </w:r>
            <w:r w:rsidRPr="00DD0592">
              <w:rPr>
                <w:rStyle w:val="spellingerror"/>
                <w:rFonts w:eastAsiaTheme="majorEastAsia"/>
                <w:i/>
                <w:iCs/>
                <w:lang w:val="en-US"/>
              </w:rPr>
              <w:t>MMP2, DCN, PLAT, ID1, COL1A1, COL3A1, BMP4, BMP5, ACTA2, MYH11</w:t>
            </w:r>
          </w:p>
        </w:tc>
        <w:tc>
          <w:tcPr>
            <w:tcW w:w="0" w:type="auto"/>
            <w:shd w:val="clear" w:color="auto" w:fill="FFFFFF" w:themeFill="background1"/>
          </w:tcPr>
          <w:p w14:paraId="5201A78B"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GSE159929</w:t>
            </w:r>
          </w:p>
        </w:tc>
      </w:tr>
      <w:tr w:rsidR="00FA7DC0" w:rsidRPr="00DD0592" w14:paraId="57F964C2" w14:textId="77777777" w:rsidTr="004E7EED">
        <w:tc>
          <w:tcPr>
            <w:cnfStyle w:val="001000000000" w:firstRow="0" w:lastRow="0" w:firstColumn="1" w:lastColumn="0" w:oddVBand="0" w:evenVBand="0" w:oddHBand="0" w:evenHBand="0" w:firstRowFirstColumn="0" w:firstRowLastColumn="0" w:lastRowFirstColumn="0" w:lastRowLastColumn="0"/>
            <w:tcW w:w="0" w:type="auto"/>
          </w:tcPr>
          <w:p w14:paraId="29487ADC" w14:textId="77777777" w:rsidR="00FA7DC0" w:rsidRPr="00DD0592" w:rsidRDefault="00FA7DC0" w:rsidP="001A59C4">
            <w:pPr>
              <w:rPr>
                <w:rFonts w:cs="Times New Roman"/>
                <w:szCs w:val="24"/>
                <w:lang w:val="en-US"/>
              </w:rPr>
            </w:pPr>
            <w:r w:rsidRPr="00DD0592">
              <w:rPr>
                <w:rFonts w:cs="Times New Roman"/>
                <w:b w:val="0"/>
                <w:bCs w:val="0"/>
                <w:szCs w:val="24"/>
                <w:lang w:val="en-US"/>
              </w:rPr>
              <w:t xml:space="preserve">The Tabula Muris Consortium 2018 </w:t>
            </w:r>
            <w:r w:rsidRPr="00DD0592">
              <w:rPr>
                <w:rFonts w:cs="Times New Roman"/>
                <w:szCs w:val="24"/>
                <w:lang w:val="en-US"/>
              </w:rPr>
              <w:fldChar w:fldCharType="begin" w:fldLock="1"/>
            </w:r>
            <w:r w:rsidRPr="00DD0592">
              <w:rPr>
                <w:rFonts w:cs="Times New Roman"/>
                <w:b w:val="0"/>
                <w:bCs w:val="0"/>
                <w:szCs w:val="24"/>
                <w:lang w:val="en-US"/>
              </w:rPr>
              <w:instrText>ADDIN CSL_CITATION {"citationItems":[{"id":"ITEM-1","itemData":{"DOI":"10.1038/s41586-018-0590-4","ISSN":"14764687","PMID":"30283141","abstract":"Here we present a compendium of single-cell transcriptomic data from the model organism Mus musculus that comprises more than 100,000 cells from 20 organs and tissues. These data represent a new resource for cell biology, reveal gene expression in poorly characterized cell populations and enable the direct and controlled comparison of gene expression in cell types that are shared between tissues, such as T lymphocytes and endothelial cells from different anatomical locations. Two distinct technical approaches were used for most organs: one approach, microfluidic droplet-based 3′-end counting, enabled the survey of thousands of cells at relatively low coverage, whereas the other, full-length transcript analysis based on fluorescence-activated cell sorting, enabled the characterization of cell types with high sensitivity and coverage. The cumulative data provide the foundation for an atlas of transcriptomic cell biology.","author":[{"dropping-particle":"","family":"Tabula Muris","given":"C. et al.","non-dropping-particle":"","parse-names":false,"suffix":""}],"container-title":"Nature","id":"ITEM-1","issue":"7727","issued":{"date-parts":[["2018"]]},"page":"367-372","title":"Single-cell transcriptomics of 20 mouse organs creates a Tabula Muris","type":"article-journal","volume":"562"},"uris":["http://www.mendeley.com/documents/?uuid=e06b10a2-6265-422f-89fd-e1098e151c4c"]}],"mendeley":{"formattedCitation":"(26)","plainTextFormattedCitation":"(26)","previouslyFormattedCitation":"(26)"},"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lang w:val="en-US"/>
              </w:rPr>
              <w:t>(26)</w:t>
            </w:r>
            <w:r w:rsidRPr="00DD0592">
              <w:rPr>
                <w:rFonts w:cs="Times New Roman"/>
                <w:szCs w:val="24"/>
                <w:lang w:val="en-US"/>
              </w:rPr>
              <w:fldChar w:fldCharType="end"/>
            </w:r>
          </w:p>
          <w:p w14:paraId="5C9DFFB8" w14:textId="77777777" w:rsidR="00FA7DC0" w:rsidRPr="00DD0592" w:rsidRDefault="00FA7DC0" w:rsidP="001A59C4">
            <w:pPr>
              <w:rPr>
                <w:rFonts w:cs="Times New Roman"/>
                <w:szCs w:val="24"/>
                <w:lang w:val="en-US"/>
              </w:rPr>
            </w:pPr>
            <w:r w:rsidRPr="00DD0592">
              <w:rPr>
                <w:rFonts w:cs="Times New Roman"/>
                <w:b w:val="0"/>
                <w:bCs w:val="0"/>
                <w:szCs w:val="24"/>
                <w:lang w:val="en-US"/>
              </w:rPr>
              <w:t>Supplementary information</w:t>
            </w:r>
          </w:p>
          <w:p w14:paraId="34681FB8" w14:textId="77777777" w:rsidR="00FA7DC0" w:rsidRPr="00DD0592" w:rsidRDefault="00FA7DC0" w:rsidP="001A59C4">
            <w:pPr>
              <w:rPr>
                <w:rFonts w:cs="Times New Roman"/>
                <w:b w:val="0"/>
                <w:bCs w:val="0"/>
                <w:szCs w:val="24"/>
                <w:lang w:val="en-US"/>
              </w:rPr>
            </w:pPr>
          </w:p>
        </w:tc>
        <w:tc>
          <w:tcPr>
            <w:tcW w:w="0" w:type="auto"/>
          </w:tcPr>
          <w:p w14:paraId="1995A293"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lastRenderedPageBreak/>
              <w:t>Mouse</w:t>
            </w:r>
          </w:p>
        </w:tc>
        <w:tc>
          <w:tcPr>
            <w:tcW w:w="0" w:type="auto"/>
          </w:tcPr>
          <w:p w14:paraId="1C8A94E1"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b/>
                <w:bCs/>
                <w:lang w:val="en-US"/>
              </w:rPr>
            </w:pPr>
            <w:r w:rsidRPr="00DD0592">
              <w:rPr>
                <w:rStyle w:val="spellingerror"/>
                <w:rFonts w:eastAsiaTheme="majorEastAsia"/>
                <w:b/>
                <w:bCs/>
                <w:lang w:val="en-US"/>
              </w:rPr>
              <w:t>Droplet:</w:t>
            </w:r>
          </w:p>
          <w:p w14:paraId="0B7E4D6A"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Bladder cell/mesenchymal cells</w:t>
            </w:r>
            <w:r w:rsidRPr="00DD0592">
              <w:rPr>
                <w:vertAlign w:val="superscript"/>
                <w:lang w:val="en-US"/>
              </w:rPr>
              <w:t>∆</w:t>
            </w:r>
            <w:r w:rsidRPr="00DD0592">
              <w:rPr>
                <w:rStyle w:val="spellingerror"/>
                <w:rFonts w:eastAsiaTheme="majorEastAsia"/>
                <w:b/>
                <w:bCs/>
                <w:lang w:val="en-US"/>
              </w:rPr>
              <w:t>:</w:t>
            </w:r>
            <w:r w:rsidRPr="00DD0592">
              <w:rPr>
                <w:rStyle w:val="spellingerror"/>
                <w:rFonts w:eastAsiaTheme="majorEastAsia"/>
                <w:lang w:val="en-US"/>
              </w:rPr>
              <w:t xml:space="preserve"> </w:t>
            </w:r>
            <w:r w:rsidRPr="00DD0592">
              <w:rPr>
                <w:rStyle w:val="spellingerror"/>
                <w:rFonts w:eastAsiaTheme="majorEastAsia"/>
                <w:i/>
                <w:iCs/>
                <w:lang w:val="en-US"/>
              </w:rPr>
              <w:t>Car3, Col1a1, Col8a1, Dcn, Scara5</w:t>
            </w:r>
          </w:p>
          <w:p w14:paraId="076C8E8A"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lastRenderedPageBreak/>
              <w:t>Bladder urothelial cells:</w:t>
            </w:r>
            <w:r w:rsidRPr="00DD0592">
              <w:rPr>
                <w:rStyle w:val="spellingerror"/>
                <w:rFonts w:eastAsiaTheme="majorEastAsia"/>
                <w:lang w:val="en-US"/>
              </w:rPr>
              <w:t xml:space="preserve"> </w:t>
            </w:r>
            <w:r w:rsidRPr="00DD0592">
              <w:rPr>
                <w:rStyle w:val="spellingerror"/>
                <w:rFonts w:eastAsiaTheme="majorEastAsia"/>
                <w:i/>
                <w:iCs/>
                <w:lang w:val="en-US"/>
              </w:rPr>
              <w:t>Epcam, Grhl3, Krt5, Krt14, Upk1b, Upk3a</w:t>
            </w:r>
          </w:p>
          <w:p w14:paraId="6AA4EBFE"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lang w:val="en-US"/>
              </w:rPr>
            </w:pPr>
            <w:r w:rsidRPr="00DD0592">
              <w:rPr>
                <w:rStyle w:val="spellingerror"/>
                <w:rFonts w:eastAsiaTheme="majorEastAsia"/>
                <w:b/>
                <w:bCs/>
                <w:lang w:val="en-US"/>
              </w:rPr>
              <w:t>Endothelial cells</w:t>
            </w:r>
            <w:r w:rsidRPr="00DD0592">
              <w:rPr>
                <w:rStyle w:val="spellingerror"/>
                <w:rFonts w:eastAsiaTheme="majorEastAsia"/>
                <w:lang w:val="en-US"/>
              </w:rPr>
              <w:t xml:space="preserve">: </w:t>
            </w:r>
            <w:r w:rsidRPr="00DD0592">
              <w:rPr>
                <w:rStyle w:val="spellingerror"/>
                <w:rFonts w:eastAsiaTheme="majorEastAsia"/>
                <w:i/>
                <w:iCs/>
                <w:lang w:val="en-US"/>
              </w:rPr>
              <w:t>Pecam1</w:t>
            </w:r>
          </w:p>
          <w:p w14:paraId="53FE6163"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Leukocytes:</w:t>
            </w:r>
            <w:r w:rsidRPr="00DD0592">
              <w:rPr>
                <w:rStyle w:val="spellingerror"/>
                <w:rFonts w:eastAsiaTheme="majorEastAsia"/>
                <w:lang w:val="en-US"/>
              </w:rPr>
              <w:t xml:space="preserve"> </w:t>
            </w:r>
            <w:r w:rsidRPr="00DD0592">
              <w:rPr>
                <w:rStyle w:val="spellingerror"/>
                <w:rFonts w:eastAsiaTheme="majorEastAsia"/>
                <w:i/>
                <w:iCs/>
                <w:lang w:val="en-US"/>
              </w:rPr>
              <w:t>Cd14, Ptprc</w:t>
            </w:r>
          </w:p>
          <w:p w14:paraId="60EB054E"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lang w:val="en-US"/>
              </w:rPr>
            </w:pPr>
          </w:p>
          <w:p w14:paraId="33376238"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b/>
                <w:bCs/>
                <w:lang w:val="en-US"/>
              </w:rPr>
            </w:pPr>
            <w:r w:rsidRPr="00DD0592">
              <w:rPr>
                <w:rStyle w:val="spellingerror"/>
                <w:rFonts w:eastAsiaTheme="majorEastAsia"/>
                <w:b/>
                <w:bCs/>
                <w:lang w:val="en-US"/>
              </w:rPr>
              <w:t xml:space="preserve">FACS: </w:t>
            </w:r>
          </w:p>
          <w:p w14:paraId="6EBFD2DC"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Bladder cells</w:t>
            </w:r>
            <w:r w:rsidRPr="00DD0592">
              <w:rPr>
                <w:vertAlign w:val="superscript"/>
                <w:lang w:val="en-US"/>
              </w:rPr>
              <w:t>∆</w:t>
            </w:r>
            <w:r w:rsidRPr="00DD0592">
              <w:rPr>
                <w:rStyle w:val="spellingerror"/>
                <w:rFonts w:eastAsiaTheme="majorEastAsia"/>
                <w:b/>
                <w:bCs/>
                <w:lang w:val="en-US"/>
              </w:rPr>
              <w:t xml:space="preserve">: </w:t>
            </w:r>
            <w:r w:rsidRPr="00DD0592">
              <w:rPr>
                <w:rStyle w:val="spellingerror"/>
                <w:rFonts w:eastAsiaTheme="majorEastAsia"/>
                <w:i/>
                <w:iCs/>
                <w:lang w:val="en-US"/>
              </w:rPr>
              <w:t>Car3, Col1a1, Col8a1, Dcn, Scara5</w:t>
            </w:r>
          </w:p>
          <w:p w14:paraId="50093DED"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i/>
                <w:iCs/>
                <w:lang w:val="en-US"/>
              </w:rPr>
            </w:pPr>
            <w:r w:rsidRPr="00DD0592">
              <w:rPr>
                <w:rStyle w:val="spellingerror"/>
                <w:rFonts w:eastAsiaTheme="majorEastAsia"/>
                <w:b/>
                <w:bCs/>
                <w:lang w:val="en-US"/>
              </w:rPr>
              <w:t xml:space="preserve">Bladder urothelial cells: </w:t>
            </w:r>
            <w:r w:rsidRPr="00DD0592">
              <w:rPr>
                <w:rStyle w:val="spellingerror"/>
                <w:rFonts w:eastAsiaTheme="majorEastAsia"/>
                <w:i/>
                <w:iCs/>
                <w:lang w:val="en-US"/>
              </w:rPr>
              <w:t>Cd14, Epcam, Grhl3, Krt5, Krt14, Upk1b, Upk3a</w:t>
            </w:r>
          </w:p>
          <w:p w14:paraId="0D999E9E" w14:textId="77777777" w:rsidR="00FA7DC0" w:rsidRPr="00DD0592" w:rsidRDefault="00FA7DC0" w:rsidP="001A59C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spellingerror"/>
                <w:rFonts w:eastAsiaTheme="majorEastAsia"/>
                <w:b/>
                <w:bCs/>
                <w:lang w:val="en-US"/>
              </w:rPr>
            </w:pPr>
          </w:p>
        </w:tc>
        <w:tc>
          <w:tcPr>
            <w:tcW w:w="0" w:type="auto"/>
          </w:tcPr>
          <w:p w14:paraId="5966CDFE"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lastRenderedPageBreak/>
              <w:t>GSE109774</w:t>
            </w:r>
          </w:p>
        </w:tc>
      </w:tr>
      <w:tr w:rsidR="00FA7DC0" w:rsidRPr="00DD0592" w14:paraId="15E3FA86" w14:textId="77777777" w:rsidTr="004E7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59B5E5D" w14:textId="77777777" w:rsidR="00FA7DC0" w:rsidRPr="00DD0592" w:rsidRDefault="00FA7DC0" w:rsidP="001A59C4">
            <w:pPr>
              <w:rPr>
                <w:rFonts w:cs="Times New Roman"/>
                <w:szCs w:val="24"/>
                <w:lang w:val="en-US"/>
              </w:rPr>
            </w:pPr>
            <w:r w:rsidRPr="00DD0592">
              <w:rPr>
                <w:rFonts w:cs="Times New Roman"/>
                <w:b w:val="0"/>
                <w:bCs w:val="0"/>
                <w:szCs w:val="24"/>
                <w:lang w:val="en-US"/>
              </w:rPr>
              <w:t xml:space="preserve">The Tabula Muris Consortium 2020 </w:t>
            </w:r>
            <w:r w:rsidRPr="00DD0592">
              <w:rPr>
                <w:rFonts w:cs="Times New Roman"/>
                <w:szCs w:val="24"/>
                <w:lang w:val="en-US"/>
              </w:rPr>
              <w:fldChar w:fldCharType="begin" w:fldLock="1"/>
            </w:r>
            <w:r w:rsidRPr="00DD0592">
              <w:rPr>
                <w:rFonts w:cs="Times New Roman"/>
                <w:b w:val="0"/>
                <w:bCs w:val="0"/>
                <w:szCs w:val="24"/>
                <w:lang w:val="en-US"/>
              </w:rPr>
              <w:instrText>ADDIN CSL_CITATION {"citationItems":[{"id":"ITEM-1","itemData":{"DOI":"10.1038/s41586-020-2496-1","ISSN":"14764687","PMID":"32669714","abstract":"Ageing is characterized by a progressive loss of physiological integrity, leading to impaired function and increased vulnerability to death1. Despite rapid advances over recent years, many of the molecular and cellular processes that underlie the progressive loss of healthy physiology are poorly understood2. To gain a better insight into these processes, here we generate a single-cell transcriptomic atlas across the lifespan of Mus musculus that includes data from 23 tissues and organs. We found cell-specific changes occurring across multiple cell types and organs, as well as age-related changes in the cellular composition of different organs. Using single-cell transcriptomic data, we assessed cell-type-specific manifestations of different hallmarks of ageing—such as senescence3, genomic instability4 and changes in the immune system2. This transcriptomic atlas—which we denote Tabula Muris Senis, or ‘Mouse Ageing Cell Atlas’—provides molecular information about how the most important hallmarks of ageing are reflected in a broad range of tissues and cell types.","author":[{"dropping-particle":"","family":"Tabula Muris","given":"C.","non-dropping-particle":"","parse-names":false,"suffix":""}],"container-title":"Nature","id":"ITEM-1","issue":"7817","issued":{"date-parts":[["2020"]]},"page":"590-595","title":"A single-cell transcriptomic atlas characterizes ageing tissues in the mouse","type":"article-journal","volume":"583"},"uris":["http://www.mendeley.com/documents/?uuid=9d827d8d-721d-4fc3-9ce3-bb304094850e"]}],"mendeley":{"formattedCitation":"(27)","plainTextFormattedCitation":"(27)","previouslyFormattedCitation":"(27)"},"properties":{"noteIndex":0},"schema":"https://github.com/citation-style-language/schema/raw/master/csl-citation.json"}</w:instrText>
            </w:r>
            <w:r w:rsidRPr="00DD0592">
              <w:rPr>
                <w:rFonts w:cs="Times New Roman"/>
                <w:szCs w:val="24"/>
                <w:lang w:val="en-US"/>
              </w:rPr>
              <w:fldChar w:fldCharType="separate"/>
            </w:r>
            <w:r w:rsidRPr="00DD0592">
              <w:rPr>
                <w:rFonts w:cs="Times New Roman"/>
                <w:b w:val="0"/>
                <w:bCs w:val="0"/>
                <w:noProof/>
                <w:szCs w:val="24"/>
                <w:lang w:val="en-US"/>
              </w:rPr>
              <w:t>(27)</w:t>
            </w:r>
            <w:r w:rsidRPr="00DD0592">
              <w:rPr>
                <w:rFonts w:cs="Times New Roman"/>
                <w:szCs w:val="24"/>
                <w:lang w:val="en-US"/>
              </w:rPr>
              <w:fldChar w:fldCharType="end"/>
            </w:r>
          </w:p>
          <w:p w14:paraId="047FE13E" w14:textId="77777777" w:rsidR="00FA7DC0" w:rsidRPr="00DD0592" w:rsidRDefault="00FA7DC0" w:rsidP="001A59C4">
            <w:pPr>
              <w:rPr>
                <w:rFonts w:cs="Times New Roman"/>
                <w:b w:val="0"/>
                <w:bCs w:val="0"/>
                <w:szCs w:val="24"/>
                <w:lang w:val="en-US"/>
              </w:rPr>
            </w:pPr>
            <w:r w:rsidRPr="00DD0592">
              <w:rPr>
                <w:rFonts w:cs="Times New Roman"/>
                <w:b w:val="0"/>
                <w:bCs w:val="0"/>
                <w:szCs w:val="24"/>
                <w:lang w:val="en-US"/>
              </w:rPr>
              <w:t>Fig. 2F and</w:t>
            </w:r>
          </w:p>
          <w:p w14:paraId="38F0B7A1" w14:textId="77777777" w:rsidR="00FA7DC0" w:rsidRPr="00DD0592" w:rsidRDefault="00FA7DC0" w:rsidP="001A59C4">
            <w:pPr>
              <w:rPr>
                <w:rFonts w:cs="Times New Roman"/>
                <w:b w:val="0"/>
                <w:bCs w:val="0"/>
                <w:szCs w:val="24"/>
                <w:lang w:val="en-US"/>
              </w:rPr>
            </w:pPr>
            <w:r w:rsidRPr="00DD0592">
              <w:rPr>
                <w:rFonts w:cs="Times New Roman"/>
                <w:b w:val="0"/>
                <w:bCs w:val="0"/>
                <w:szCs w:val="24"/>
                <w:lang w:val="en-US"/>
              </w:rPr>
              <w:t>Supplementary Table 6</w:t>
            </w:r>
          </w:p>
        </w:tc>
        <w:tc>
          <w:tcPr>
            <w:tcW w:w="0" w:type="auto"/>
            <w:shd w:val="clear" w:color="auto" w:fill="FFFFFF" w:themeFill="background1"/>
          </w:tcPr>
          <w:p w14:paraId="05C1667F"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Mouse</w:t>
            </w:r>
          </w:p>
        </w:tc>
        <w:tc>
          <w:tcPr>
            <w:tcW w:w="0" w:type="auto"/>
            <w:shd w:val="clear" w:color="auto" w:fill="FFFFFF" w:themeFill="background1"/>
          </w:tcPr>
          <w:p w14:paraId="6785C2CB"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Fonts w:cs="Times New Roman"/>
                <w:b/>
                <w:bCs/>
                <w:szCs w:val="24"/>
                <w:lang w:val="en-US"/>
              </w:rPr>
              <w:t>Downregulated stromal-associated genes (bladder cell genes)</w:t>
            </w:r>
            <w:r w:rsidRPr="00DD0592">
              <w:rPr>
                <w:rFonts w:cs="Times New Roman"/>
                <w:szCs w:val="24"/>
                <w:lang w:val="en-US"/>
              </w:rPr>
              <w:t xml:space="preserve"> </w:t>
            </w:r>
            <w:r w:rsidRPr="00DD0592">
              <w:rPr>
                <w:rFonts w:cs="Times New Roman"/>
                <w:szCs w:val="24"/>
                <w:vertAlign w:val="superscript"/>
                <w:lang w:val="en-US"/>
              </w:rPr>
              <w:t>∆</w:t>
            </w:r>
            <w:r w:rsidRPr="00DD0592">
              <w:rPr>
                <w:rFonts w:cs="Times New Roman"/>
                <w:b/>
                <w:bCs/>
                <w:szCs w:val="24"/>
                <w:lang w:val="en-US"/>
              </w:rPr>
              <w:t xml:space="preserve">: </w:t>
            </w:r>
            <w:r w:rsidRPr="00DD0592">
              <w:rPr>
                <w:rFonts w:cs="Times New Roman"/>
                <w:i/>
                <w:iCs/>
                <w:szCs w:val="24"/>
                <w:lang w:val="en-US"/>
              </w:rPr>
              <w:t>Car3, Col1a1, Col3a1, Col5a2, Col6a2, Dcn, Htra1, Mgp, Serpinh1, Sparc</w:t>
            </w:r>
          </w:p>
          <w:p w14:paraId="118EC97B"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Fonts w:cs="Times New Roman"/>
                <w:b/>
                <w:bCs/>
                <w:szCs w:val="24"/>
                <w:lang w:val="en-US"/>
              </w:rPr>
              <w:t xml:space="preserve">Downregulated bladder endothelial cells: </w:t>
            </w:r>
            <w:r w:rsidRPr="00DD0592">
              <w:rPr>
                <w:rFonts w:cs="Times New Roman"/>
                <w:i/>
                <w:iCs/>
                <w:szCs w:val="24"/>
                <w:lang w:val="en-US"/>
              </w:rPr>
              <w:t xml:space="preserve">Zfp955b, Gm2027, Txnip, Sparc, Col3a1, Sdpr, Tsc22d3, Agbl5, Col1a2, Fam198b, </w:t>
            </w:r>
          </w:p>
          <w:p w14:paraId="2DD41E18"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Fonts w:cs="Times New Roman"/>
                <w:b/>
                <w:bCs/>
                <w:szCs w:val="24"/>
                <w:lang w:val="en-US"/>
              </w:rPr>
              <w:t>Upregulated epithelial-associated genes (urothelial cell genes):</w:t>
            </w:r>
            <w:r w:rsidRPr="00DD0592">
              <w:rPr>
                <w:rFonts w:cs="Times New Roman"/>
                <w:szCs w:val="24"/>
                <w:lang w:val="en-US"/>
              </w:rPr>
              <w:br/>
            </w:r>
            <w:r w:rsidRPr="00DD0592">
              <w:rPr>
                <w:rFonts w:cs="Times New Roman"/>
                <w:i/>
                <w:iCs/>
                <w:szCs w:val="24"/>
                <w:lang w:val="en-US"/>
              </w:rPr>
              <w:t>Ly6d, Gsta4, Krt18, Sfn, Krt8, Areg, Igfbp2, Gstm1, Cldn4, Krt7</w:t>
            </w:r>
          </w:p>
          <w:p w14:paraId="3D935137"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i/>
                <w:iCs/>
                <w:szCs w:val="24"/>
                <w:lang w:val="en-US"/>
              </w:rPr>
            </w:pPr>
            <w:r w:rsidRPr="00DD0592">
              <w:rPr>
                <w:rFonts w:cs="Times New Roman"/>
                <w:b/>
                <w:bCs/>
                <w:szCs w:val="24"/>
                <w:lang w:val="en-US"/>
              </w:rPr>
              <w:t xml:space="preserve">Upregulated bladder leukocytes: </w:t>
            </w:r>
            <w:r w:rsidRPr="00DD0592">
              <w:rPr>
                <w:rFonts w:cs="Times New Roman"/>
                <w:i/>
                <w:iCs/>
                <w:szCs w:val="24"/>
                <w:lang w:val="en-US"/>
              </w:rPr>
              <w:t>Ccl5, Srgn, Gm11428, Lgals3, Rbp4, Cstb, Rps24, Ccl8, Clec7a, Cd44</w:t>
            </w:r>
          </w:p>
          <w:p w14:paraId="579F844B"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lang w:val="en-US" w:eastAsia="da-DK"/>
              </w:rPr>
            </w:pPr>
          </w:p>
        </w:tc>
        <w:tc>
          <w:tcPr>
            <w:tcW w:w="0" w:type="auto"/>
            <w:shd w:val="clear" w:color="auto" w:fill="FFFFFF" w:themeFill="background1"/>
          </w:tcPr>
          <w:p w14:paraId="1DA31EDE" w14:textId="77777777" w:rsidR="00FA7DC0" w:rsidRPr="00DD0592" w:rsidRDefault="00FA7DC0" w:rsidP="001A59C4">
            <w:pP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DD0592">
              <w:rPr>
                <w:rFonts w:cs="Times New Roman"/>
                <w:szCs w:val="24"/>
                <w:lang w:val="en-US"/>
              </w:rPr>
              <w:t>GSE132042</w:t>
            </w:r>
          </w:p>
        </w:tc>
      </w:tr>
      <w:tr w:rsidR="00FA7DC0" w:rsidRPr="00DD0592" w14:paraId="59E65B5E" w14:textId="77777777" w:rsidTr="004E7EED">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tcPr>
          <w:p w14:paraId="660EB248" w14:textId="6063DE69" w:rsidR="00FA7DC0" w:rsidRPr="00DD0592" w:rsidRDefault="00FA7DC0" w:rsidP="001A59C4">
            <w:pPr>
              <w:rPr>
                <w:rFonts w:cs="Times New Roman"/>
                <w:szCs w:val="24"/>
                <w:lang w:val="en-US"/>
              </w:rPr>
            </w:pPr>
            <w:r w:rsidRPr="00DD0592">
              <w:rPr>
                <w:rFonts w:cs="Times New Roman"/>
                <w:b w:val="0"/>
                <w:bCs w:val="0"/>
                <w:szCs w:val="24"/>
                <w:lang w:val="en-US"/>
              </w:rPr>
              <w:t xml:space="preserve">Santo et al. 2025 </w:t>
            </w:r>
            <w:r w:rsidR="00D4644D" w:rsidRPr="00DD0592">
              <w:rPr>
                <w:rFonts w:cs="Times New Roman"/>
                <w:szCs w:val="24"/>
                <w:lang w:val="en-US"/>
              </w:rPr>
              <w:fldChar w:fldCharType="begin" w:fldLock="1"/>
            </w:r>
            <w:r w:rsidR="00D4644D" w:rsidRPr="00DD0592">
              <w:rPr>
                <w:rFonts w:cs="Times New Roman"/>
                <w:b w:val="0"/>
                <w:bCs w:val="0"/>
                <w:szCs w:val="24"/>
                <w:lang w:val="en-US"/>
              </w:rPr>
              <w:instrText>ADDIN CSL_CITATION {"citationItems":[{"id":"ITEM-1","itemData":{"DOI":"10.1016/j.isci.2024.111628","ISSN":"25890042","abstract":"Single cell sequencing technologies have revolutionized our understanding of biology by mapping cell diversity and gene expression in healthy and diseased tissues. While single-cell RNA sequencing (scRNA-seq) has been widely used, interest in single-nucleus RNA sequencing (snRNA-seq) is growing due to its benefits, including the ability to analyze archival tissues and capture rare cell types that are challenging to dissociate. However, comparative studies across tissues have yielded mixed results, with some reporting enhanced cell type retention using snRNA-seq while others finding cell type identification to be challenging in snRNA-seq data. The GUDMAP consortium aims to construct a molecular atlas of the lower urinary tract (LUT); thus, we set out to determine the strengths and limitations of each approach in characterizing LUT cell types. Using the human bladder, we determined that scRNA-seq offered more discriminative gene sets for identification while snRNA-seq could facilitate capture of previously underrepresented cell types.","author":[{"dropping-particle":"","family":"Santo","given":"Briana","non-dropping-particle":"","parse-names":false,"suffix":""},{"dropping-particle":"","family":"Fink","given":"Emily E","non-dropping-particle":"","parse-names":false,"suffix":""},{"dropping-particle":"","family":"Krylova","given":"Alexandra E","non-dropping-particle":"","parse-names":false,"suffix":""},{"dropping-particle":"","family":"Lin","given":"Yi Chia","non-dropping-particle":"","parse-names":false,"suffix":""},{"dropping-particle":"","family":"Eltemamy","given":"Mohamed","non-dropping-particle":"","parse-names":false,"suffix":""},{"dropping-particle":"","family":"Wee","given":"Alvin","non-dropping-particle":"","parse-names":false,"suffix":""},{"dropping-particle":"","family":"Wessely","given":"Oliver","non-dropping-particle":"","parse-names":false,"suffix":""},{"dropping-particle":"","family":"Lee","given":"Byron H","non-dropping-particle":"","parse-names":false,"suffix":""},{"dropping-particle":"","family":"Ting","given":"Angela H","non-dropping-particle":"","parse-names":false,"suffix":""}],"container-title":"iScience","id":"ITEM-1","issue":"1","issued":{"date-parts":[["2025"]]},"page":"111628","publisher":"The Author(s)","title":"Exploring the utility of snRNA-seq in profiling human bladder tissue: A comprehensive comparison with scRNA-seq","type":"article-journal","volume":"28"},"uris":["http://www.mendeley.com/documents/?uuid=a859342d-e812-41c0-8ac9-ff1ca1025cfc"]}],"mendeley":{"formattedCitation":"(12)","plainTextFormattedCitation":"(12)","previouslyFormattedCitation":"(12)"},"properties":{"noteIndex":0},"schema":"https://github.com/citation-style-language/schema/raw/master/csl-citation.json"}</w:instrText>
            </w:r>
            <w:r w:rsidR="00D4644D" w:rsidRPr="00DD0592">
              <w:rPr>
                <w:rFonts w:cs="Times New Roman"/>
                <w:szCs w:val="24"/>
                <w:lang w:val="en-US"/>
              </w:rPr>
              <w:fldChar w:fldCharType="separate"/>
            </w:r>
            <w:r w:rsidR="00D4644D" w:rsidRPr="00DD0592">
              <w:rPr>
                <w:rFonts w:cs="Times New Roman"/>
                <w:b w:val="0"/>
                <w:bCs w:val="0"/>
                <w:noProof/>
                <w:szCs w:val="24"/>
                <w:lang w:val="en-US"/>
              </w:rPr>
              <w:t>(12)</w:t>
            </w:r>
            <w:r w:rsidR="00D4644D" w:rsidRPr="00DD0592">
              <w:rPr>
                <w:rFonts w:cs="Times New Roman"/>
                <w:szCs w:val="24"/>
                <w:lang w:val="en-US"/>
              </w:rPr>
              <w:fldChar w:fldCharType="end"/>
            </w:r>
          </w:p>
          <w:p w14:paraId="5CDA588F" w14:textId="77777777" w:rsidR="00FA7DC0" w:rsidRPr="00DD0592" w:rsidRDefault="00FA7DC0" w:rsidP="001A59C4">
            <w:pPr>
              <w:rPr>
                <w:rFonts w:cs="Times New Roman"/>
                <w:b w:val="0"/>
                <w:bCs w:val="0"/>
                <w:szCs w:val="24"/>
                <w:lang w:val="en-US"/>
              </w:rPr>
            </w:pPr>
            <w:r w:rsidRPr="00DD0592">
              <w:rPr>
                <w:rFonts w:cs="Times New Roman"/>
                <w:b w:val="0"/>
                <w:bCs w:val="0"/>
                <w:szCs w:val="24"/>
                <w:lang w:val="en-US"/>
              </w:rPr>
              <w:t>Supplementary Table S3 and S4</w:t>
            </w:r>
          </w:p>
        </w:tc>
        <w:tc>
          <w:tcPr>
            <w:tcW w:w="0" w:type="auto"/>
            <w:tcBorders>
              <w:bottom w:val="single" w:sz="12" w:space="0" w:color="auto"/>
            </w:tcBorders>
          </w:tcPr>
          <w:p w14:paraId="3F844F13"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Human</w:t>
            </w:r>
          </w:p>
        </w:tc>
        <w:tc>
          <w:tcPr>
            <w:tcW w:w="0" w:type="auto"/>
            <w:tcBorders>
              <w:bottom w:val="single" w:sz="12" w:space="0" w:color="auto"/>
            </w:tcBorders>
          </w:tcPr>
          <w:p w14:paraId="51DA5FA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b/>
                <w:bCs/>
                <w:szCs w:val="24"/>
                <w:lang w:val="en-US"/>
              </w:rPr>
            </w:pPr>
            <w:r w:rsidRPr="00DD0592">
              <w:rPr>
                <w:rFonts w:cs="Times New Roman"/>
                <w:b/>
                <w:bCs/>
                <w:szCs w:val="24"/>
                <w:lang w:val="en-US"/>
              </w:rPr>
              <w:t>scRNA-seq</w:t>
            </w:r>
          </w:p>
          <w:p w14:paraId="4195262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Fonts w:cs="Times New Roman"/>
                <w:b/>
                <w:bCs/>
                <w:szCs w:val="24"/>
                <w:lang w:val="en-US"/>
              </w:rPr>
              <w:t xml:space="preserve">Smooth muscle cells: </w:t>
            </w:r>
            <w:r w:rsidRPr="00DD0592">
              <w:rPr>
                <w:rFonts w:cs="Times New Roman"/>
                <w:i/>
                <w:iCs/>
                <w:szCs w:val="24"/>
                <w:lang w:val="en-US"/>
              </w:rPr>
              <w:t>ACTC1, RBFOX3, DES, PCP4, ACTG2, AC079313.2, KCNQ5, P2RX1, NCKAP1L, PTGS1</w:t>
            </w:r>
          </w:p>
          <w:p w14:paraId="11E633EA"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Fonts w:cs="Times New Roman"/>
                <w:b/>
                <w:bCs/>
                <w:szCs w:val="24"/>
                <w:lang w:val="en-US"/>
              </w:rPr>
              <w:t xml:space="preserve">Vascular smooth muscle cells: </w:t>
            </w:r>
            <w:r w:rsidRPr="00DD0592">
              <w:rPr>
                <w:rFonts w:cs="Times New Roman"/>
                <w:i/>
                <w:iCs/>
                <w:szCs w:val="24"/>
                <w:lang w:val="en-US"/>
              </w:rPr>
              <w:t>RGS5, GPR20, LRRC10B, KCNAB1, FHL5, RERGL, CDH6, NDUFA4L2, ADRA2A, NOTCH3</w:t>
            </w:r>
          </w:p>
          <w:p w14:paraId="476247E3"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p>
          <w:p w14:paraId="206CABEE"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b/>
                <w:bCs/>
                <w:szCs w:val="24"/>
                <w:lang w:val="en-US"/>
              </w:rPr>
            </w:pPr>
            <w:r w:rsidRPr="00DD0592">
              <w:rPr>
                <w:rFonts w:cs="Times New Roman"/>
                <w:b/>
                <w:bCs/>
                <w:szCs w:val="24"/>
                <w:lang w:val="en-US"/>
              </w:rPr>
              <w:t>snRNA-seq</w:t>
            </w:r>
          </w:p>
          <w:p w14:paraId="040C827C"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i/>
                <w:iCs/>
                <w:szCs w:val="24"/>
                <w:lang w:val="en-US"/>
              </w:rPr>
            </w:pPr>
            <w:r w:rsidRPr="00DD0592">
              <w:rPr>
                <w:rFonts w:cs="Times New Roman"/>
                <w:b/>
                <w:bCs/>
                <w:szCs w:val="24"/>
                <w:lang w:val="en-US"/>
              </w:rPr>
              <w:t>Smooth muscle cells:</w:t>
            </w:r>
            <w:r w:rsidRPr="00DD0592">
              <w:rPr>
                <w:rFonts w:cs="Times New Roman"/>
                <w:i/>
                <w:iCs/>
                <w:szCs w:val="24"/>
                <w:lang w:val="en-US"/>
              </w:rPr>
              <w:t xml:space="preserve"> ASB5, RBFOX3, GTSF1, AC233701.1, PCA3, CHRM3-AS2, COL19A1, KCNN2, AC005180.1, AC079313.2</w:t>
            </w:r>
          </w:p>
          <w:p w14:paraId="6EF68B49"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Style w:val="spellingerror"/>
                <w:rFonts w:cs="Times New Roman"/>
                <w:lang w:val="en-US"/>
              </w:rPr>
            </w:pPr>
            <w:r w:rsidRPr="00DD0592">
              <w:rPr>
                <w:rFonts w:cs="Times New Roman"/>
                <w:b/>
                <w:bCs/>
                <w:szCs w:val="24"/>
                <w:lang w:val="en-US"/>
              </w:rPr>
              <w:t xml:space="preserve">Vascular smooth muscle cells: </w:t>
            </w:r>
            <w:r w:rsidRPr="00DD0592">
              <w:rPr>
                <w:rFonts w:cs="Times New Roman"/>
                <w:i/>
                <w:iCs/>
                <w:szCs w:val="24"/>
                <w:lang w:val="en-US"/>
              </w:rPr>
              <w:t>FHL5, AC013565.1, GPR20, SLC6A1, AL450332.1, NMNAT2, ADRA2A, RGS6, NOTCH3, ANO3</w:t>
            </w:r>
          </w:p>
        </w:tc>
        <w:tc>
          <w:tcPr>
            <w:tcW w:w="0" w:type="auto"/>
            <w:tcBorders>
              <w:bottom w:val="single" w:sz="12" w:space="0" w:color="auto"/>
            </w:tcBorders>
          </w:tcPr>
          <w:p w14:paraId="034A7139" w14:textId="77777777" w:rsidR="00FA7DC0" w:rsidRPr="00DD0592" w:rsidRDefault="00FA7DC0" w:rsidP="001A59C4">
            <w:pP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DD0592">
              <w:rPr>
                <w:rFonts w:cs="Times New Roman"/>
                <w:szCs w:val="24"/>
                <w:lang w:val="en-US"/>
              </w:rPr>
              <w:t>GSE267964</w:t>
            </w:r>
          </w:p>
        </w:tc>
      </w:tr>
    </w:tbl>
    <w:p w14:paraId="754BFFD0" w14:textId="1124CAD0" w:rsidR="00FA7DC0" w:rsidRPr="00DD0592" w:rsidRDefault="00FA7DC0" w:rsidP="00FA7DC0">
      <w:pPr>
        <w:rPr>
          <w:lang w:val="en-US"/>
        </w:rPr>
      </w:pPr>
      <w:r w:rsidRPr="00DD0592">
        <w:rPr>
          <w:lang w:val="en-US"/>
        </w:rPr>
        <w:t>*</w:t>
      </w:r>
      <w:r w:rsidR="00CB146E" w:rsidRPr="00DD0592">
        <w:rPr>
          <w:lang w:val="en-US"/>
        </w:rPr>
        <w:t>The g</w:t>
      </w:r>
      <w:r w:rsidRPr="00DD0592">
        <w:rPr>
          <w:lang w:val="en-US"/>
        </w:rPr>
        <w:t xml:space="preserve">ene expression of fibroblasts was comparable between humans and rats. </w:t>
      </w:r>
    </w:p>
    <w:p w14:paraId="2EC64B52" w14:textId="4618B8A2" w:rsidR="00DF6EF3" w:rsidRPr="00D4644D" w:rsidRDefault="00FA7DC0" w:rsidP="00FA7DC0">
      <w:pPr>
        <w:rPr>
          <w:rFonts w:cs="Times New Roman"/>
          <w:szCs w:val="24"/>
          <w:lang w:val="en-US"/>
        </w:rPr>
      </w:pPr>
      <w:r w:rsidRPr="00DD0592">
        <w:rPr>
          <w:rFonts w:cs="Times New Roman"/>
          <w:szCs w:val="24"/>
          <w:lang w:val="en-US"/>
        </w:rPr>
        <w:t xml:space="preserve">∆Similar </w:t>
      </w:r>
      <w:r w:rsidR="00751CAF" w:rsidRPr="00DD0592">
        <w:rPr>
          <w:rFonts w:cs="Times New Roman"/>
          <w:szCs w:val="24"/>
          <w:lang w:val="en-US"/>
        </w:rPr>
        <w:t>cell types</w:t>
      </w:r>
      <w:r w:rsidRPr="00DD0592">
        <w:rPr>
          <w:rFonts w:cs="Times New Roman"/>
          <w:szCs w:val="24"/>
          <w:lang w:val="en-US"/>
        </w:rPr>
        <w:t xml:space="preserve"> were identified across multiple studies through data integration.</w:t>
      </w:r>
    </w:p>
    <w:p w14:paraId="3388232C" w14:textId="77777777" w:rsidR="008E2A7B" w:rsidRPr="00FA7DC0" w:rsidRDefault="008E2A7B">
      <w:pPr>
        <w:rPr>
          <w:lang w:val="en-US"/>
        </w:rPr>
      </w:pPr>
    </w:p>
    <w:sectPr w:rsidR="008E2A7B" w:rsidRPr="00FA7DC0" w:rsidSect="00C61E63">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DC0"/>
    <w:rsid w:val="00046A8C"/>
    <w:rsid w:val="00085995"/>
    <w:rsid w:val="002A3318"/>
    <w:rsid w:val="003266D1"/>
    <w:rsid w:val="003F0CF4"/>
    <w:rsid w:val="004B7797"/>
    <w:rsid w:val="004E7EED"/>
    <w:rsid w:val="00603728"/>
    <w:rsid w:val="006C5D0A"/>
    <w:rsid w:val="00751CAF"/>
    <w:rsid w:val="008E2A7B"/>
    <w:rsid w:val="00931C74"/>
    <w:rsid w:val="009C5639"/>
    <w:rsid w:val="00AB6077"/>
    <w:rsid w:val="00AC06D4"/>
    <w:rsid w:val="00AF785A"/>
    <w:rsid w:val="00B01AC4"/>
    <w:rsid w:val="00C61E63"/>
    <w:rsid w:val="00CA54EB"/>
    <w:rsid w:val="00CB146E"/>
    <w:rsid w:val="00CF0BBC"/>
    <w:rsid w:val="00D218AD"/>
    <w:rsid w:val="00D4644D"/>
    <w:rsid w:val="00D61CE1"/>
    <w:rsid w:val="00D90F13"/>
    <w:rsid w:val="00DD0592"/>
    <w:rsid w:val="00DF6EF3"/>
    <w:rsid w:val="00E66969"/>
    <w:rsid w:val="00FA7DC0"/>
    <w:rsid w:val="00FD12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5A886"/>
  <w15:chartTrackingRefBased/>
  <w15:docId w15:val="{3D1EC9CA-6EDC-414B-BE6D-BC6C3D95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C0"/>
    <w:rPr>
      <w:rFonts w:ascii="Times New Roman" w:hAnsi="Times New Roman"/>
      <w:kern w:val="0"/>
      <w:sz w:val="24"/>
      <w14:ligatures w14:val="none"/>
    </w:rPr>
  </w:style>
  <w:style w:type="paragraph" w:styleId="Overskrift1">
    <w:name w:val="heading 1"/>
    <w:basedOn w:val="Normal"/>
    <w:next w:val="Normal"/>
    <w:link w:val="Overskrift1Tegn"/>
    <w:uiPriority w:val="9"/>
    <w:qFormat/>
    <w:rsid w:val="00FA7DC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FA7DC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FA7DC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FA7DC0"/>
    <w:pPr>
      <w:keepNext/>
      <w:keepLines/>
      <w:spacing w:before="80" w:after="40"/>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Overskrift5">
    <w:name w:val="heading 5"/>
    <w:basedOn w:val="Normal"/>
    <w:next w:val="Normal"/>
    <w:link w:val="Overskrift5Tegn"/>
    <w:uiPriority w:val="9"/>
    <w:semiHidden/>
    <w:unhideWhenUsed/>
    <w:qFormat/>
    <w:rsid w:val="00FA7DC0"/>
    <w:pPr>
      <w:keepNext/>
      <w:keepLines/>
      <w:spacing w:before="80" w:after="40"/>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Overskrift6">
    <w:name w:val="heading 6"/>
    <w:basedOn w:val="Normal"/>
    <w:next w:val="Normal"/>
    <w:link w:val="Overskrift6Tegn"/>
    <w:uiPriority w:val="9"/>
    <w:semiHidden/>
    <w:unhideWhenUsed/>
    <w:qFormat/>
    <w:rsid w:val="00FA7DC0"/>
    <w:pPr>
      <w:keepNext/>
      <w:keepLines/>
      <w:spacing w:before="40" w:after="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Overskrift7">
    <w:name w:val="heading 7"/>
    <w:basedOn w:val="Normal"/>
    <w:next w:val="Normal"/>
    <w:link w:val="Overskrift7Tegn"/>
    <w:uiPriority w:val="9"/>
    <w:semiHidden/>
    <w:unhideWhenUsed/>
    <w:qFormat/>
    <w:rsid w:val="00FA7DC0"/>
    <w:pPr>
      <w:keepNext/>
      <w:keepLines/>
      <w:spacing w:before="40" w:after="0"/>
      <w:outlineLvl w:val="6"/>
    </w:pPr>
    <w:rPr>
      <w:rFonts w:asciiTheme="minorHAnsi" w:eastAsiaTheme="majorEastAsia" w:hAnsiTheme="minorHAnsi" w:cstheme="majorBidi"/>
      <w:color w:val="595959" w:themeColor="text1" w:themeTint="A6"/>
      <w:kern w:val="2"/>
      <w:sz w:val="22"/>
      <w14:ligatures w14:val="standardContextual"/>
    </w:rPr>
  </w:style>
  <w:style w:type="paragraph" w:styleId="Overskrift8">
    <w:name w:val="heading 8"/>
    <w:basedOn w:val="Normal"/>
    <w:next w:val="Normal"/>
    <w:link w:val="Overskrift8Tegn"/>
    <w:uiPriority w:val="9"/>
    <w:semiHidden/>
    <w:unhideWhenUsed/>
    <w:qFormat/>
    <w:rsid w:val="00FA7DC0"/>
    <w:pPr>
      <w:keepNext/>
      <w:keepLines/>
      <w:spacing w:after="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Overskrift9">
    <w:name w:val="heading 9"/>
    <w:basedOn w:val="Normal"/>
    <w:next w:val="Normal"/>
    <w:link w:val="Overskrift9Tegn"/>
    <w:uiPriority w:val="9"/>
    <w:semiHidden/>
    <w:unhideWhenUsed/>
    <w:qFormat/>
    <w:rsid w:val="00FA7DC0"/>
    <w:pPr>
      <w:keepNext/>
      <w:keepLines/>
      <w:spacing w:after="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A7DC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A7DC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A7DC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A7DC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A7DC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A7DC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A7DC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A7DC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A7DC0"/>
    <w:rPr>
      <w:rFonts w:eastAsiaTheme="majorEastAsia" w:cstheme="majorBidi"/>
      <w:color w:val="272727" w:themeColor="text1" w:themeTint="D8"/>
    </w:rPr>
  </w:style>
  <w:style w:type="paragraph" w:styleId="Titel">
    <w:name w:val="Title"/>
    <w:basedOn w:val="Normal"/>
    <w:next w:val="Normal"/>
    <w:link w:val="TitelTegn"/>
    <w:uiPriority w:val="10"/>
    <w:qFormat/>
    <w:rsid w:val="00FA7DC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uiPriority w:val="10"/>
    <w:rsid w:val="00FA7DC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A7DC0"/>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uiPriority w:val="11"/>
    <w:rsid w:val="00FA7DC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A7DC0"/>
    <w:pPr>
      <w:spacing w:before="160"/>
      <w:jc w:val="center"/>
    </w:pPr>
    <w:rPr>
      <w:rFonts w:asciiTheme="minorHAnsi" w:hAnsiTheme="minorHAnsi"/>
      <w:i/>
      <w:iCs/>
      <w:color w:val="404040" w:themeColor="text1" w:themeTint="BF"/>
      <w:kern w:val="2"/>
      <w:sz w:val="22"/>
      <w14:ligatures w14:val="standardContextual"/>
    </w:rPr>
  </w:style>
  <w:style w:type="character" w:customStyle="1" w:styleId="CitatTegn">
    <w:name w:val="Citat Tegn"/>
    <w:basedOn w:val="Standardskrifttypeiafsnit"/>
    <w:link w:val="Citat"/>
    <w:uiPriority w:val="29"/>
    <w:rsid w:val="00FA7DC0"/>
    <w:rPr>
      <w:i/>
      <w:iCs/>
      <w:color w:val="404040" w:themeColor="text1" w:themeTint="BF"/>
    </w:rPr>
  </w:style>
  <w:style w:type="paragraph" w:styleId="Listeafsnit">
    <w:name w:val="List Paragraph"/>
    <w:basedOn w:val="Normal"/>
    <w:uiPriority w:val="34"/>
    <w:qFormat/>
    <w:rsid w:val="00FA7DC0"/>
    <w:pPr>
      <w:ind w:left="720"/>
      <w:contextualSpacing/>
    </w:pPr>
    <w:rPr>
      <w:rFonts w:asciiTheme="minorHAnsi" w:hAnsiTheme="minorHAnsi"/>
      <w:kern w:val="2"/>
      <w:sz w:val="22"/>
      <w14:ligatures w14:val="standardContextual"/>
    </w:rPr>
  </w:style>
  <w:style w:type="character" w:styleId="Kraftigfremhvning">
    <w:name w:val="Intense Emphasis"/>
    <w:basedOn w:val="Standardskrifttypeiafsnit"/>
    <w:uiPriority w:val="21"/>
    <w:qFormat/>
    <w:rsid w:val="00FA7DC0"/>
    <w:rPr>
      <w:i/>
      <w:iCs/>
      <w:color w:val="0F4761" w:themeColor="accent1" w:themeShade="BF"/>
    </w:rPr>
  </w:style>
  <w:style w:type="paragraph" w:styleId="Strktcitat">
    <w:name w:val="Intense Quote"/>
    <w:basedOn w:val="Normal"/>
    <w:next w:val="Normal"/>
    <w:link w:val="StrktcitatTegn"/>
    <w:uiPriority w:val="30"/>
    <w:qFormat/>
    <w:rsid w:val="00FA7DC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14:ligatures w14:val="standardContextual"/>
    </w:rPr>
  </w:style>
  <w:style w:type="character" w:customStyle="1" w:styleId="StrktcitatTegn">
    <w:name w:val="Stærkt citat Tegn"/>
    <w:basedOn w:val="Standardskrifttypeiafsnit"/>
    <w:link w:val="Strktcitat"/>
    <w:uiPriority w:val="30"/>
    <w:rsid w:val="00FA7DC0"/>
    <w:rPr>
      <w:i/>
      <w:iCs/>
      <w:color w:val="0F4761" w:themeColor="accent1" w:themeShade="BF"/>
    </w:rPr>
  </w:style>
  <w:style w:type="character" w:styleId="Kraftighenvisning">
    <w:name w:val="Intense Reference"/>
    <w:basedOn w:val="Standardskrifttypeiafsnit"/>
    <w:uiPriority w:val="32"/>
    <w:qFormat/>
    <w:rsid w:val="00FA7DC0"/>
    <w:rPr>
      <w:b/>
      <w:bCs/>
      <w:smallCaps/>
      <w:color w:val="0F4761" w:themeColor="accent1" w:themeShade="BF"/>
      <w:spacing w:val="5"/>
    </w:rPr>
  </w:style>
  <w:style w:type="paragraph" w:customStyle="1" w:styleId="paragraph">
    <w:name w:val="paragraph"/>
    <w:basedOn w:val="Normal"/>
    <w:rsid w:val="00FA7DC0"/>
    <w:pPr>
      <w:spacing w:before="100" w:beforeAutospacing="1" w:after="100" w:afterAutospacing="1" w:line="240" w:lineRule="auto"/>
    </w:pPr>
    <w:rPr>
      <w:rFonts w:eastAsia="Times New Roman" w:cs="Times New Roman"/>
      <w:szCs w:val="24"/>
      <w:lang w:eastAsia="da-DK"/>
    </w:rPr>
  </w:style>
  <w:style w:type="character" w:customStyle="1" w:styleId="normaltextrun">
    <w:name w:val="normaltextrun"/>
    <w:basedOn w:val="Standardskrifttypeiafsnit"/>
    <w:rsid w:val="00FA7DC0"/>
  </w:style>
  <w:style w:type="character" w:customStyle="1" w:styleId="spellingerror">
    <w:name w:val="spellingerror"/>
    <w:basedOn w:val="Standardskrifttypeiafsnit"/>
    <w:rsid w:val="00FA7DC0"/>
  </w:style>
  <w:style w:type="table" w:styleId="Almindeligtabel4">
    <w:name w:val="Plain Table 4"/>
    <w:basedOn w:val="Tabel-Normal"/>
    <w:uiPriority w:val="44"/>
    <w:rsid w:val="00FA7DC0"/>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CEF1400-90D1-41A9-819D-5D0B5290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6669</Words>
  <Characters>40684</Characters>
  <Application>Microsoft Office Word</Application>
  <DocSecurity>0</DocSecurity>
  <Lines>339</Lines>
  <Paragraphs>94</Paragraphs>
  <ScaleCrop>false</ScaleCrop>
  <Company/>
  <LinksUpToDate>false</LinksUpToDate>
  <CharactersWithSpaces>47259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Padi</dc:creator>
  <cp:keywords/>
  <dc:description/>
  <cp:lastModifiedBy>Eugene Padi</cp:lastModifiedBy>
  <cp:revision>24</cp:revision>
  <dcterms:created xsi:type="dcterms:W3CDTF">2025-12-12T10:51:00Z</dcterms:created>
  <dcterms:modified xsi:type="dcterms:W3CDTF">2025-12-17T12:18:00Z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dc3297bf-362b-3f98-aa32-41531f4ec506</vt:lpwstr>
  </property>
  <property fmtid="{D5CDD505-2E9C-101B-9397-08002B2CF9AE}" pid="24" name="Mendeley Citation Style_1">
    <vt:lpwstr>http://www.zotero.org/styles/vancouver</vt:lpwstr>
  </property>
</Properties>
</file>