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8C96D" w14:textId="77777777" w:rsidR="00230105" w:rsidRPr="00A2372E" w:rsidRDefault="00230105" w:rsidP="00A2372E">
      <w:pPr>
        <w:spacing w:line="480" w:lineRule="auto"/>
        <w:jc w:val="left"/>
        <w:rPr>
          <w:rFonts w:ascii="Arial" w:hAnsi="Arial" w:cs="Arial"/>
          <w:b/>
          <w:bCs/>
          <w:sz w:val="24"/>
        </w:rPr>
      </w:pPr>
      <w:r w:rsidRPr="00A2372E">
        <w:rPr>
          <w:rFonts w:ascii="Arial" w:hAnsi="Arial" w:cs="Arial"/>
          <w:b/>
          <w:bCs/>
          <w:sz w:val="24"/>
        </w:rPr>
        <w:t>Supplementary Online Content</w:t>
      </w:r>
    </w:p>
    <w:p w14:paraId="17470C97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6515F034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552F4C75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5E79B59E" w14:textId="77777777" w:rsidR="00230105" w:rsidRPr="00A2372E" w:rsidRDefault="00230105" w:rsidP="00230105">
      <w:pPr>
        <w:spacing w:line="480" w:lineRule="auto"/>
        <w:jc w:val="center"/>
        <w:rPr>
          <w:rFonts w:ascii="Arial" w:eastAsia="Myriad Pro Light" w:hAnsi="Arial" w:cs="Arial"/>
          <w:b/>
          <w:bCs/>
          <w:kern w:val="0"/>
          <w:sz w:val="24"/>
        </w:rPr>
      </w:pPr>
      <w:bookmarkStart w:id="0" w:name="_Hlk218013244"/>
      <w:r w:rsidRPr="00A2372E">
        <w:rPr>
          <w:rFonts w:ascii="Arial" w:hAnsi="Arial" w:cs="Arial"/>
          <w:b/>
          <w:bCs/>
          <w:sz w:val="24"/>
        </w:rPr>
        <w:t>Prospective Association Between the Triglyceride-Glucose Index</w:t>
      </w:r>
      <w:r w:rsidRPr="00A2372E" w:rsidDel="002031D3">
        <w:rPr>
          <w:rFonts w:ascii="Arial" w:hAnsi="Arial" w:cs="Arial"/>
          <w:b/>
          <w:bCs/>
          <w:sz w:val="24"/>
        </w:rPr>
        <w:t xml:space="preserve"> </w:t>
      </w:r>
      <w:r w:rsidRPr="00A2372E">
        <w:rPr>
          <w:rFonts w:ascii="Arial" w:hAnsi="Arial" w:cs="Arial"/>
          <w:b/>
          <w:bCs/>
          <w:sz w:val="24"/>
        </w:rPr>
        <w:t xml:space="preserve">and Frailty in Middle-aged and Older Adults: Insights </w:t>
      </w:r>
      <w:proofErr w:type="gramStart"/>
      <w:r w:rsidRPr="00A2372E">
        <w:rPr>
          <w:rFonts w:ascii="Arial" w:hAnsi="Arial" w:cs="Arial"/>
          <w:b/>
          <w:bCs/>
          <w:sz w:val="24"/>
        </w:rPr>
        <w:t>From</w:t>
      </w:r>
      <w:proofErr w:type="gramEnd"/>
      <w:r w:rsidRPr="00A2372E">
        <w:rPr>
          <w:rFonts w:ascii="Arial" w:hAnsi="Arial" w:cs="Arial"/>
          <w:b/>
          <w:bCs/>
          <w:sz w:val="24"/>
        </w:rPr>
        <w:t xml:space="preserve"> a Nationwide Cohort Study</w:t>
      </w:r>
    </w:p>
    <w:bookmarkEnd w:id="0"/>
    <w:p w14:paraId="780E11BA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31CCC506" w14:textId="77777777" w:rsidR="00230105" w:rsidRDefault="00230105">
      <w:pPr>
        <w:jc w:val="left"/>
        <w:rPr>
          <w:rFonts w:ascii="Arial" w:hAnsi="Arial" w:cs="Arial"/>
          <w:sz w:val="24"/>
        </w:rPr>
      </w:pPr>
    </w:p>
    <w:p w14:paraId="06F0D0CA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3E593D1E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4CA4A200" w14:textId="2E359ECE" w:rsidR="00230105" w:rsidRPr="00A2372E" w:rsidRDefault="00230105">
      <w:pPr>
        <w:jc w:val="left"/>
        <w:rPr>
          <w:rFonts w:ascii="Arial" w:hAnsi="Arial" w:cs="Arial"/>
          <w:b/>
          <w:bCs/>
          <w:sz w:val="24"/>
        </w:rPr>
      </w:pPr>
      <w:r w:rsidRPr="00A2372E">
        <w:rPr>
          <w:rFonts w:ascii="Arial" w:hAnsi="Arial" w:cs="Arial"/>
          <w:b/>
          <w:bCs/>
          <w:sz w:val="24"/>
        </w:rPr>
        <w:t>Table of Contents:</w:t>
      </w:r>
    </w:p>
    <w:p w14:paraId="21E7E9C0" w14:textId="77777777" w:rsidR="00230105" w:rsidRDefault="00230105">
      <w:pPr>
        <w:jc w:val="left"/>
        <w:rPr>
          <w:rFonts w:ascii="Arial" w:hAnsi="Arial" w:cs="Arial"/>
          <w:sz w:val="24"/>
        </w:rPr>
      </w:pPr>
    </w:p>
    <w:p w14:paraId="73FAF109" w14:textId="77777777" w:rsidR="00230105" w:rsidRDefault="00230105">
      <w:pPr>
        <w:jc w:val="left"/>
        <w:rPr>
          <w:rFonts w:ascii="Arial" w:hAnsi="Arial" w:cs="Arial"/>
          <w:sz w:val="24"/>
        </w:rPr>
      </w:pPr>
    </w:p>
    <w:p w14:paraId="38B2221D" w14:textId="77777777" w:rsidR="00230105" w:rsidRPr="00A2372E" w:rsidRDefault="00230105">
      <w:pPr>
        <w:jc w:val="left"/>
        <w:rPr>
          <w:rFonts w:ascii="Arial" w:hAnsi="Arial" w:cs="Arial"/>
          <w:sz w:val="24"/>
        </w:rPr>
      </w:pPr>
    </w:p>
    <w:p w14:paraId="4E417B7B" w14:textId="666B1C06" w:rsidR="00230105" w:rsidRDefault="00230105" w:rsidP="00230105">
      <w:pPr>
        <w:jc w:val="left"/>
        <w:rPr>
          <w:rFonts w:ascii="Arial" w:hAnsi="Arial" w:cs="Arial"/>
          <w:b/>
          <w:bCs/>
          <w:sz w:val="24"/>
        </w:rPr>
      </w:pPr>
      <w:r w:rsidRPr="00A2372E">
        <w:rPr>
          <w:rFonts w:ascii="Arial" w:hAnsi="Arial" w:cs="Arial"/>
          <w:b/>
          <w:bCs/>
          <w:sz w:val="24"/>
        </w:rPr>
        <w:t xml:space="preserve">Supplementary tables: </w:t>
      </w:r>
    </w:p>
    <w:p w14:paraId="2C3A9149" w14:textId="77777777" w:rsidR="00230105" w:rsidRPr="00A2372E" w:rsidRDefault="00230105" w:rsidP="00230105">
      <w:pPr>
        <w:jc w:val="left"/>
        <w:rPr>
          <w:rFonts w:ascii="Arial" w:hAnsi="Arial" w:cs="Arial"/>
          <w:b/>
          <w:bCs/>
          <w:sz w:val="24"/>
        </w:rPr>
      </w:pPr>
    </w:p>
    <w:p w14:paraId="572F98BF" w14:textId="124B98A9" w:rsidR="00230105" w:rsidRPr="00A2372E" w:rsidRDefault="00230105" w:rsidP="00A2372E">
      <w:pPr>
        <w:rPr>
          <w:rFonts w:ascii="Arial" w:eastAsia="宋体" w:hAnsi="Arial" w:cs="Arial"/>
          <w:b/>
          <w:bCs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eTable</w:t>
      </w:r>
      <w:proofErr w:type="spellEnd"/>
      <w:r w:rsidRPr="00A2372E">
        <w:rPr>
          <w:rFonts w:ascii="Arial" w:hAnsi="Arial" w:cs="Arial"/>
          <w:sz w:val="24"/>
        </w:rPr>
        <w:t xml:space="preserve"> 1: The Construction of Frailty Index</w:t>
      </w:r>
    </w:p>
    <w:p w14:paraId="187DA8A3" w14:textId="14D520CA" w:rsidR="00311D47" w:rsidRPr="00A2372E" w:rsidRDefault="00230105">
      <w:pPr>
        <w:rPr>
          <w:rFonts w:ascii="Arial" w:hAnsi="Arial" w:cs="Arial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eTable</w:t>
      </w:r>
      <w:proofErr w:type="spellEnd"/>
      <w:r w:rsidRPr="00A2372E">
        <w:rPr>
          <w:rFonts w:ascii="Arial" w:hAnsi="Arial" w:cs="Arial"/>
          <w:sz w:val="24"/>
        </w:rPr>
        <w:t xml:space="preserve"> 2. Association Between the </w:t>
      </w:r>
      <w:proofErr w:type="spellStart"/>
      <w:r w:rsidRPr="00A2372E">
        <w:rPr>
          <w:rFonts w:ascii="Arial" w:hAnsi="Arial" w:cs="Arial"/>
          <w:sz w:val="24"/>
        </w:rPr>
        <w:t>TyG</w:t>
      </w:r>
      <w:proofErr w:type="spellEnd"/>
      <w:r w:rsidRPr="00A2372E">
        <w:rPr>
          <w:rFonts w:ascii="Arial" w:hAnsi="Arial" w:cs="Arial"/>
          <w:sz w:val="24"/>
        </w:rPr>
        <w:t xml:space="preserve"> Index and Frailty at Baseline in 2011</w:t>
      </w:r>
    </w:p>
    <w:p w14:paraId="252F998E" w14:textId="77777777" w:rsidR="00230105" w:rsidRDefault="00230105" w:rsidP="00230105">
      <w:pPr>
        <w:jc w:val="left"/>
        <w:rPr>
          <w:rFonts w:ascii="Arial" w:hAnsi="Arial" w:cs="Arial"/>
          <w:b/>
          <w:bCs/>
          <w:sz w:val="24"/>
        </w:rPr>
      </w:pPr>
    </w:p>
    <w:p w14:paraId="3F75893B" w14:textId="77777777" w:rsidR="00230105" w:rsidRDefault="00230105" w:rsidP="00230105">
      <w:pPr>
        <w:jc w:val="left"/>
        <w:rPr>
          <w:rFonts w:ascii="Arial" w:hAnsi="Arial" w:cs="Arial"/>
          <w:b/>
          <w:bCs/>
          <w:sz w:val="24"/>
        </w:rPr>
      </w:pPr>
    </w:p>
    <w:p w14:paraId="0CD20B5E" w14:textId="390C3A91" w:rsidR="00230105" w:rsidRPr="00A2372E" w:rsidRDefault="00230105" w:rsidP="00A2372E">
      <w:pPr>
        <w:jc w:val="left"/>
        <w:rPr>
          <w:rFonts w:ascii="Arial" w:hAnsi="Arial" w:cs="Arial"/>
          <w:b/>
          <w:bCs/>
          <w:sz w:val="24"/>
        </w:rPr>
      </w:pPr>
      <w:r w:rsidRPr="00A2372E">
        <w:rPr>
          <w:rFonts w:ascii="Arial" w:hAnsi="Arial" w:cs="Arial"/>
          <w:b/>
          <w:bCs/>
          <w:sz w:val="24"/>
        </w:rPr>
        <w:t xml:space="preserve">Supplementary figures: </w:t>
      </w:r>
    </w:p>
    <w:p w14:paraId="444281AF" w14:textId="77777777" w:rsidR="00230105" w:rsidRPr="00A2372E" w:rsidRDefault="00230105" w:rsidP="00A2372E">
      <w:pPr>
        <w:jc w:val="left"/>
        <w:rPr>
          <w:rFonts w:ascii="Arial" w:hAnsi="Arial" w:cs="Arial"/>
          <w:b/>
          <w:bCs/>
          <w:sz w:val="24"/>
        </w:rPr>
      </w:pPr>
    </w:p>
    <w:p w14:paraId="27BB2432" w14:textId="325DE74A" w:rsidR="00311D47" w:rsidRPr="00A2372E" w:rsidRDefault="00230105">
      <w:pPr>
        <w:rPr>
          <w:rFonts w:ascii="Arial" w:hAnsi="Arial" w:cs="Arial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eFigure</w:t>
      </w:r>
      <w:proofErr w:type="spellEnd"/>
      <w:r w:rsidRPr="00A2372E">
        <w:rPr>
          <w:rFonts w:ascii="Arial" w:hAnsi="Arial" w:cs="Arial"/>
          <w:sz w:val="24"/>
        </w:rPr>
        <w:t xml:space="preserve"> 1. Selection of Covariates Using the Boruta Algorithm</w:t>
      </w:r>
    </w:p>
    <w:p w14:paraId="516867BB" w14:textId="0CC9E90C" w:rsidR="00311D47" w:rsidRPr="00A2372E" w:rsidRDefault="00230105">
      <w:pPr>
        <w:rPr>
          <w:rFonts w:ascii="Arial" w:hAnsi="Arial" w:cs="Arial"/>
          <w:color w:val="000000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eFigure</w:t>
      </w:r>
      <w:proofErr w:type="spellEnd"/>
      <w:r w:rsidRPr="00A2372E">
        <w:rPr>
          <w:rFonts w:ascii="Arial" w:hAnsi="Arial" w:cs="Arial"/>
          <w:sz w:val="24"/>
        </w:rPr>
        <w:t xml:space="preserve"> 2. The Distribution of </w:t>
      </w:r>
      <w:proofErr w:type="spellStart"/>
      <w:r w:rsidRPr="00A2372E">
        <w:rPr>
          <w:rFonts w:ascii="Arial" w:hAnsi="Arial" w:cs="Arial"/>
          <w:sz w:val="24"/>
        </w:rPr>
        <w:t>TyG</w:t>
      </w:r>
      <w:proofErr w:type="spellEnd"/>
      <w:r w:rsidRPr="00A2372E">
        <w:rPr>
          <w:rFonts w:ascii="Arial" w:hAnsi="Arial" w:cs="Arial"/>
          <w:sz w:val="24"/>
        </w:rPr>
        <w:t xml:space="preserve"> and the Incidence of Frailty</w:t>
      </w:r>
    </w:p>
    <w:p w14:paraId="2D605B68" w14:textId="62D33B6D" w:rsidR="00311D47" w:rsidRPr="00A2372E" w:rsidRDefault="00230105">
      <w:pPr>
        <w:rPr>
          <w:rFonts w:ascii="Arial" w:hAnsi="Arial" w:cs="Arial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eFigure</w:t>
      </w:r>
      <w:proofErr w:type="spellEnd"/>
      <w:r w:rsidRPr="00A2372E">
        <w:rPr>
          <w:rFonts w:ascii="Arial" w:hAnsi="Arial" w:cs="Arial"/>
          <w:sz w:val="24"/>
        </w:rPr>
        <w:t xml:space="preserve"> 3. Kaplan-Meier Curves for Frailty-Free Survival Probability According to </w:t>
      </w:r>
      <w:proofErr w:type="spellStart"/>
      <w:r w:rsidRPr="00A2372E">
        <w:rPr>
          <w:rFonts w:ascii="Arial" w:hAnsi="Arial" w:cs="Arial"/>
          <w:sz w:val="24"/>
        </w:rPr>
        <w:t>TyG</w:t>
      </w:r>
      <w:proofErr w:type="spellEnd"/>
      <w:r w:rsidRPr="00A2372E">
        <w:rPr>
          <w:rFonts w:ascii="Arial" w:hAnsi="Arial" w:cs="Arial"/>
          <w:sz w:val="24"/>
        </w:rPr>
        <w:t xml:space="preserve"> Index Tertiles</w:t>
      </w:r>
    </w:p>
    <w:p w14:paraId="1D0E485A" w14:textId="67043959" w:rsidR="00230105" w:rsidRPr="00A2372E" w:rsidRDefault="00230105">
      <w:pPr>
        <w:rPr>
          <w:rFonts w:ascii="Arial" w:hAnsi="Arial" w:cs="Arial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eFigure</w:t>
      </w:r>
      <w:proofErr w:type="spellEnd"/>
      <w:r w:rsidRPr="00A2372E">
        <w:rPr>
          <w:rFonts w:ascii="Arial" w:hAnsi="Arial" w:cs="Arial"/>
          <w:sz w:val="24"/>
        </w:rPr>
        <w:t xml:space="preserve"> 4.</w:t>
      </w:r>
      <w:r w:rsidRPr="00A2372E" w:rsidDel="00757DCF">
        <w:rPr>
          <w:rFonts w:ascii="Arial" w:hAnsi="Arial" w:cs="Arial"/>
          <w:sz w:val="24"/>
        </w:rPr>
        <w:t xml:space="preserve"> </w:t>
      </w:r>
      <w:r w:rsidRPr="00A2372E">
        <w:rPr>
          <w:rFonts w:ascii="Arial" w:hAnsi="Arial" w:cs="Arial"/>
          <w:sz w:val="24"/>
        </w:rPr>
        <w:t xml:space="preserve">Restricted Cubic Spline Analysis of the Association Between the </w:t>
      </w:r>
      <w:proofErr w:type="spellStart"/>
      <w:r w:rsidRPr="00A2372E">
        <w:rPr>
          <w:rFonts w:ascii="Arial" w:hAnsi="Arial" w:cs="Arial"/>
          <w:sz w:val="24"/>
        </w:rPr>
        <w:t>TyG</w:t>
      </w:r>
      <w:proofErr w:type="spellEnd"/>
      <w:r w:rsidRPr="00A2372E">
        <w:rPr>
          <w:rFonts w:ascii="Arial" w:hAnsi="Arial" w:cs="Arial"/>
          <w:sz w:val="24"/>
        </w:rPr>
        <w:t xml:space="preserve"> Index and Risk of New-onset Frailty</w:t>
      </w:r>
    </w:p>
    <w:p w14:paraId="236DC30F" w14:textId="65F51B37" w:rsidR="00230105" w:rsidRPr="00A2372E" w:rsidRDefault="00230105">
      <w:pPr>
        <w:rPr>
          <w:rFonts w:ascii="Arial" w:hAnsi="Arial" w:cs="Arial"/>
          <w:sz w:val="24"/>
        </w:rPr>
      </w:pPr>
      <w:proofErr w:type="spellStart"/>
      <w:r w:rsidRPr="00A2372E">
        <w:rPr>
          <w:rFonts w:ascii="Arial" w:hAnsi="Arial" w:cs="Arial"/>
          <w:sz w:val="24"/>
        </w:rPr>
        <w:t>eFigure</w:t>
      </w:r>
      <w:proofErr w:type="spellEnd"/>
      <w:r w:rsidRPr="00A2372E">
        <w:rPr>
          <w:rFonts w:ascii="Arial" w:hAnsi="Arial" w:cs="Arial"/>
          <w:sz w:val="24"/>
        </w:rPr>
        <w:t xml:space="preserve"> 5. Subgroup Analyses of the Association Between the </w:t>
      </w:r>
      <w:proofErr w:type="spellStart"/>
      <w:r w:rsidRPr="00A2372E">
        <w:rPr>
          <w:rFonts w:ascii="Arial" w:hAnsi="Arial" w:cs="Arial"/>
          <w:sz w:val="24"/>
        </w:rPr>
        <w:t>TyG</w:t>
      </w:r>
      <w:proofErr w:type="spellEnd"/>
      <w:r w:rsidRPr="00A2372E">
        <w:rPr>
          <w:rFonts w:ascii="Arial" w:hAnsi="Arial" w:cs="Arial"/>
          <w:sz w:val="24"/>
        </w:rPr>
        <w:t xml:space="preserve"> index and Risk of New-Onset Frailty</w:t>
      </w:r>
    </w:p>
    <w:p w14:paraId="2316F490" w14:textId="77777777" w:rsidR="00230105" w:rsidRDefault="00230105">
      <w:pPr>
        <w:rPr>
          <w:rFonts w:ascii="Arial" w:eastAsia="宋体" w:hAnsi="Arial" w:cs="Arial"/>
          <w:b/>
          <w:bCs/>
          <w:sz w:val="24"/>
        </w:rPr>
      </w:pPr>
    </w:p>
    <w:p w14:paraId="649F82E4" w14:textId="77777777" w:rsidR="00311D47" w:rsidRDefault="00311D47">
      <w:pPr>
        <w:rPr>
          <w:rFonts w:ascii="Times New Roman" w:hAnsi="Times New Roman" w:cs="Times New Roman"/>
          <w:b/>
          <w:bCs/>
        </w:rPr>
        <w:sectPr w:rsidR="00311D47">
          <w:pgSz w:w="12240" w:h="15840"/>
          <w:pgMar w:top="1440" w:right="1800" w:bottom="1440" w:left="1800" w:header="720" w:footer="720" w:gutter="0"/>
          <w:cols w:space="720"/>
        </w:sectPr>
      </w:pPr>
    </w:p>
    <w:p w14:paraId="566D4410" w14:textId="77777777" w:rsidR="00311D47" w:rsidRDefault="00000000">
      <w:pPr>
        <w:rPr>
          <w:rFonts w:ascii="Times New Roman" w:eastAsia="宋体" w:hAnsi="Times New Roman" w:cs="Times New Roman"/>
          <w:b/>
          <w:bCs/>
          <w:szCs w:val="21"/>
        </w:rPr>
      </w:pPr>
      <w:proofErr w:type="spellStart"/>
      <w:r>
        <w:rPr>
          <w:rFonts w:ascii="Arial" w:eastAsia="宋体" w:hAnsi="Arial" w:cs="Arial"/>
          <w:b/>
          <w:bCs/>
          <w:sz w:val="24"/>
        </w:rPr>
        <w:lastRenderedPageBreak/>
        <w:t>eTable</w:t>
      </w:r>
      <w:proofErr w:type="spellEnd"/>
      <w:r>
        <w:rPr>
          <w:rFonts w:ascii="Arial" w:eastAsia="宋体" w:hAnsi="Arial" w:cs="Arial" w:hint="eastAsia"/>
          <w:b/>
          <w:bCs/>
          <w:sz w:val="24"/>
        </w:rPr>
        <w:t xml:space="preserve"> </w:t>
      </w:r>
      <w:r>
        <w:rPr>
          <w:rFonts w:ascii="Arial" w:eastAsia="宋体" w:hAnsi="Arial" w:cs="Arial"/>
          <w:b/>
          <w:bCs/>
          <w:sz w:val="24"/>
        </w:rPr>
        <w:t>1</w:t>
      </w:r>
      <w:r>
        <w:rPr>
          <w:rFonts w:ascii="Arial" w:eastAsia="宋体" w:hAnsi="Arial" w:cs="Arial" w:hint="eastAsia"/>
          <w:b/>
          <w:bCs/>
          <w:sz w:val="24"/>
        </w:rPr>
        <w:t>.</w:t>
      </w:r>
      <w:r>
        <w:rPr>
          <w:rFonts w:ascii="Arial" w:eastAsia="宋体" w:hAnsi="Arial" w:cs="Arial"/>
          <w:b/>
          <w:bCs/>
          <w:sz w:val="24"/>
        </w:rPr>
        <w:t xml:space="preserve"> </w:t>
      </w:r>
      <w:r>
        <w:rPr>
          <w:rFonts w:ascii="Arial" w:eastAsia="宋体" w:hAnsi="Arial" w:cs="Arial" w:hint="eastAsia"/>
          <w:b/>
          <w:bCs/>
          <w:sz w:val="24"/>
        </w:rPr>
        <w:t>T</w:t>
      </w:r>
      <w:r>
        <w:rPr>
          <w:rFonts w:ascii="Arial" w:eastAsia="宋体" w:hAnsi="Arial" w:cs="Arial"/>
          <w:b/>
          <w:bCs/>
          <w:sz w:val="24"/>
        </w:rPr>
        <w:t xml:space="preserve">he </w:t>
      </w:r>
      <w:r>
        <w:rPr>
          <w:rFonts w:ascii="Arial" w:eastAsia="宋体" w:hAnsi="Arial" w:cs="Arial" w:hint="eastAsia"/>
          <w:b/>
          <w:bCs/>
          <w:sz w:val="24"/>
        </w:rPr>
        <w:t>C</w:t>
      </w:r>
      <w:r>
        <w:rPr>
          <w:rFonts w:ascii="Arial" w:eastAsia="宋体" w:hAnsi="Arial" w:cs="Arial"/>
          <w:b/>
          <w:bCs/>
          <w:sz w:val="24"/>
        </w:rPr>
        <w:t xml:space="preserve">onstruction of </w:t>
      </w:r>
      <w:r>
        <w:rPr>
          <w:rFonts w:ascii="Arial" w:eastAsia="宋体" w:hAnsi="Arial" w:cs="Arial" w:hint="eastAsia"/>
          <w:b/>
          <w:bCs/>
          <w:sz w:val="24"/>
        </w:rPr>
        <w:t>F</w:t>
      </w:r>
      <w:r>
        <w:rPr>
          <w:rFonts w:ascii="Arial" w:eastAsia="宋体" w:hAnsi="Arial" w:cs="Arial"/>
          <w:b/>
          <w:bCs/>
          <w:sz w:val="24"/>
        </w:rPr>
        <w:t xml:space="preserve">railty </w:t>
      </w:r>
      <w:r>
        <w:rPr>
          <w:rFonts w:ascii="Arial" w:eastAsia="宋体" w:hAnsi="Arial" w:cs="Arial" w:hint="eastAsia"/>
          <w:b/>
          <w:bCs/>
          <w:sz w:val="24"/>
        </w:rPr>
        <w:t>I</w:t>
      </w:r>
      <w:r>
        <w:rPr>
          <w:rFonts w:ascii="Arial" w:eastAsia="宋体" w:hAnsi="Arial" w:cs="Arial"/>
          <w:b/>
          <w:bCs/>
          <w:sz w:val="24"/>
        </w:rPr>
        <w:t>ndex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26"/>
        <w:gridCol w:w="5155"/>
        <w:gridCol w:w="2841"/>
      </w:tblGrid>
      <w:tr w:rsidR="00311D47" w14:paraId="33D7D7DF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EE7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C843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hypertension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9B89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5185275B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5EA6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01F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diabetes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22E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09F30756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A38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3BB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cancer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30C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33BFBFBC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2012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245D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arthritis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C4B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17F2DD32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5BC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8C68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chronic lung disease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4FD1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748B5E09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7997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790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any emotional, nervous, or psychiatric problems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212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7B710F15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834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B030" w14:textId="77777777" w:rsidR="00311D47" w:rsidRDefault="00000000">
            <w:pPr>
              <w:jc w:val="left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physician diagnosed memory-related disease</w:t>
            </w:r>
            <w:r>
              <w:rPr>
                <w:rFonts w:ascii="Arial" w:eastAsia="宋体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宋体" w:hAnsi="Arial" w:cs="Arial" w:hint="eastAsia"/>
                <w:sz w:val="20"/>
                <w:szCs w:val="20"/>
                <w:vertAlign w:val="superscript"/>
              </w:rPr>
              <w:t>a</w:t>
            </w:r>
            <w:r>
              <w:rPr>
                <w:rFonts w:ascii="Arial" w:eastAsia="宋体" w:hAnsi="Arial" w:cs="Arial" w:hint="eastAsia"/>
                <w:sz w:val="20"/>
                <w:szCs w:val="20"/>
              </w:rPr>
              <w:t xml:space="preserve"> 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D00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1878ECB9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97B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D6FD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vision problems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98C2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6D4A2FE6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290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F29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hearing problems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C2C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735E8FD4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8D4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1D4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Self-reported general health status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A959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Very poor or poor = 1, </w:t>
            </w:r>
          </w:p>
          <w:p w14:paraId="1172922D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Very good, good, or fair = 0</w:t>
            </w:r>
          </w:p>
        </w:tc>
      </w:tr>
      <w:tr w:rsidR="00311D47" w14:paraId="5830545F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9CC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FD6D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dressing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04B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3244184D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A391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D077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bathing or showering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1017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07DE9234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028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17D1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eating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8E1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339450E7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9A0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B14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getting in and out of bed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A2E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589D2F2A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8C7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070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using the toilet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6D4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0A6BBC7B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3254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92B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managing money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3E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298CCB95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62C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003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taking medication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70A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139B3176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DD16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32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shopping for groceries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02C6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79DAF220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32F1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0E6E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Difficulty with preparing meals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8BB8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204A7B74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9F1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5ED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walking 100 yards or one block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7F7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24E286D6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E3B6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9D67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getting up from a chair after sitting for long periods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3B8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111C6375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87D3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973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climbing several flights of stairs without resting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1BC7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04D5AADB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41E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9F1F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lifting or carrying weights over 10 pounds/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jins</w:t>
            </w:r>
            <w:proofErr w:type="spellEnd"/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333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164B8CE6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552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5DA1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picking up a coin from the table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BB62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2192856E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156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76C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stooping, kneeling, or crouching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655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3B47701D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9ED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25D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Mobility: difficulty with reaching arms above shoulder level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046B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42328560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C9F3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38B5" w14:textId="77777777" w:rsidR="00311D47" w:rsidRDefault="00000000">
            <w:pPr>
              <w:jc w:val="left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Depression: CESD-10 questionnaire</w:t>
            </w:r>
            <w:r>
              <w:rPr>
                <w:rFonts w:ascii="Arial" w:eastAsia="宋体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宋体" w:hAnsi="Arial" w:cs="Arial" w:hint="eastAsia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51E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Yes/No =1/ 0</w:t>
            </w:r>
          </w:p>
        </w:tc>
      </w:tr>
      <w:tr w:rsidR="00311D47" w14:paraId="3FD46094" w14:textId="7777777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CC8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D460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Cognition: (memory test score + orientation test score</w:t>
            </w:r>
            <w:r>
              <w:rPr>
                <w:rFonts w:ascii="Arial" w:eastAsia="宋体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宋体" w:hAnsi="Arial" w:cs="Arial" w:hint="eastAsia"/>
                <w:sz w:val="20"/>
                <w:szCs w:val="20"/>
                <w:vertAlign w:val="superscript"/>
              </w:rPr>
              <w:t>c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) / 14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7145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CESD-10 ＞10 =1,</w:t>
            </w:r>
          </w:p>
          <w:p w14:paraId="595C2A6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CESD-10 ≤10 =0</w:t>
            </w:r>
          </w:p>
        </w:tc>
      </w:tr>
      <w:tr w:rsidR="00311D47" w14:paraId="60966BBE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475" w14:textId="77777777" w:rsidR="00311D47" w:rsidRDefault="00311D47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3C6A" w14:textId="77777777" w:rsidR="00311D47" w:rsidRDefault="00311D47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752A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Continuous variable, ranging </w:t>
            </w:r>
          </w:p>
          <w:p w14:paraId="490BB11C" w14:textId="77777777" w:rsidR="00311D47" w:rsidRDefault="00000000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from 0 to 1</w:t>
            </w:r>
          </w:p>
        </w:tc>
      </w:tr>
    </w:tbl>
    <w:p w14:paraId="05B0396F" w14:textId="77777777" w:rsidR="00311D47" w:rsidRDefault="00000000">
      <w:pPr>
        <w:jc w:val="left"/>
        <w:rPr>
          <w:rFonts w:ascii="Arial" w:eastAsia="宋体" w:hAnsi="Arial" w:cs="Arial"/>
          <w:sz w:val="16"/>
          <w:szCs w:val="16"/>
        </w:rPr>
      </w:pPr>
      <w:r>
        <w:rPr>
          <w:rFonts w:ascii="Arial" w:eastAsia="宋体" w:hAnsi="Arial" w:cs="Arial" w:hint="eastAsia"/>
          <w:sz w:val="16"/>
          <w:szCs w:val="16"/>
          <w:vertAlign w:val="superscript"/>
        </w:rPr>
        <w:t>a</w:t>
      </w:r>
      <w:r>
        <w:rPr>
          <w:rFonts w:ascii="Arial" w:eastAsia="宋体" w:hAnsi="Arial" w:cs="Arial" w:hint="eastAsia"/>
          <w:sz w:val="16"/>
          <w:szCs w:val="16"/>
        </w:rPr>
        <w:t xml:space="preserve"> </w:t>
      </w:r>
      <w:r>
        <w:rPr>
          <w:rFonts w:ascii="Arial" w:eastAsia="宋体" w:hAnsi="Arial" w:cs="Arial"/>
          <w:sz w:val="16"/>
          <w:szCs w:val="16"/>
        </w:rPr>
        <w:t xml:space="preserve">Memory-related disease included Alzheimer’s disease, dementia, organic brain senility, and other severe memory impairment. </w:t>
      </w:r>
    </w:p>
    <w:p w14:paraId="54980FE5" w14:textId="77777777" w:rsidR="00311D47" w:rsidRDefault="00000000">
      <w:pPr>
        <w:jc w:val="left"/>
        <w:rPr>
          <w:rFonts w:ascii="Arial" w:eastAsia="宋体" w:hAnsi="Arial" w:cs="Arial"/>
          <w:sz w:val="16"/>
          <w:szCs w:val="16"/>
        </w:rPr>
      </w:pPr>
      <w:r>
        <w:rPr>
          <w:rFonts w:ascii="Arial" w:eastAsia="宋体" w:hAnsi="Arial" w:cs="Arial" w:hint="eastAsia"/>
          <w:sz w:val="16"/>
          <w:szCs w:val="16"/>
          <w:vertAlign w:val="superscript"/>
        </w:rPr>
        <w:t>b</w:t>
      </w:r>
      <w:r>
        <w:rPr>
          <w:rFonts w:ascii="Arial" w:eastAsia="宋体" w:hAnsi="Arial" w:cs="Arial" w:hint="eastAsia"/>
          <w:sz w:val="16"/>
          <w:szCs w:val="16"/>
        </w:rPr>
        <w:t xml:space="preserve"> </w:t>
      </w:r>
      <w:r>
        <w:rPr>
          <w:rFonts w:ascii="Arial" w:eastAsia="宋体" w:hAnsi="Arial" w:cs="Arial"/>
          <w:sz w:val="16"/>
          <w:szCs w:val="16"/>
        </w:rPr>
        <w:t xml:space="preserve">Depression was assessed using the Center for Epidemiologic Studies Depression Scale (CESD), with the CESD-10 version employed. The total score on this scale ranged from 0 to 30, with higher scores indicating more severe depressive symptoms. </w:t>
      </w:r>
    </w:p>
    <w:p w14:paraId="68A6A359" w14:textId="77777777" w:rsidR="00311D47" w:rsidRDefault="00000000">
      <w:pPr>
        <w:jc w:val="left"/>
        <w:rPr>
          <w:rFonts w:ascii="Arial" w:eastAsia="宋体" w:hAnsi="Arial" w:cs="Arial"/>
          <w:sz w:val="16"/>
          <w:szCs w:val="16"/>
        </w:rPr>
        <w:sectPr w:rsidR="00311D47">
          <w:pgSz w:w="12240" w:h="15840"/>
          <w:pgMar w:top="1440" w:right="1800" w:bottom="1440" w:left="1800" w:header="720" w:footer="720" w:gutter="0"/>
          <w:cols w:space="720"/>
        </w:sectPr>
      </w:pPr>
      <w:r>
        <w:rPr>
          <w:rFonts w:ascii="Arial" w:eastAsia="宋体" w:hAnsi="Arial" w:cs="Arial" w:hint="eastAsia"/>
          <w:sz w:val="16"/>
          <w:szCs w:val="16"/>
          <w:vertAlign w:val="superscript"/>
        </w:rPr>
        <w:t>c</w:t>
      </w:r>
      <w:r>
        <w:rPr>
          <w:rFonts w:ascii="Arial" w:eastAsia="宋体" w:hAnsi="Arial" w:cs="Arial" w:hint="eastAsia"/>
          <w:sz w:val="16"/>
          <w:szCs w:val="16"/>
        </w:rPr>
        <w:t xml:space="preserve"> </w:t>
      </w:r>
      <w:proofErr w:type="gramStart"/>
      <w:r>
        <w:rPr>
          <w:rFonts w:ascii="Arial" w:eastAsia="宋体" w:hAnsi="Arial" w:cs="Arial"/>
          <w:sz w:val="16"/>
          <w:szCs w:val="16"/>
        </w:rPr>
        <w:t>The</w:t>
      </w:r>
      <w:proofErr w:type="gramEnd"/>
      <w:r>
        <w:rPr>
          <w:rFonts w:ascii="Arial" w:eastAsia="宋体" w:hAnsi="Arial" w:cs="Arial"/>
          <w:sz w:val="16"/>
          <w:szCs w:val="16"/>
        </w:rPr>
        <w:t xml:space="preserve"> memory score was calculated as the average number of words not recalled in the immediate and delayed word recall tasks, with a range of 0 to 10. The orientation test comprised four questions regarding the day of the week, month, date, and year. One point was assigned for each incorrect answer, with a total score ranging from 0 to 4.</w:t>
      </w:r>
    </w:p>
    <w:p w14:paraId="5BD58165" w14:textId="2214D342" w:rsidR="00311D47" w:rsidRDefault="00000000">
      <w:pPr>
        <w:rPr>
          <w:rFonts w:ascii="Arial" w:hAnsi="Arial" w:cs="Arial"/>
          <w:b/>
          <w:bCs/>
          <w:sz w:val="24"/>
          <w:szCs w:val="32"/>
        </w:rPr>
      </w:pPr>
      <w:proofErr w:type="spellStart"/>
      <w:r>
        <w:rPr>
          <w:rFonts w:ascii="Arial" w:hAnsi="Arial" w:cs="Arial"/>
          <w:b/>
          <w:bCs/>
          <w:sz w:val="24"/>
          <w:szCs w:val="32"/>
        </w:rPr>
        <w:lastRenderedPageBreak/>
        <w:t>eTable</w:t>
      </w:r>
      <w:proofErr w:type="spellEnd"/>
      <w:r>
        <w:rPr>
          <w:rFonts w:ascii="Arial" w:hAnsi="Arial" w:cs="Arial"/>
          <w:b/>
          <w:bCs/>
          <w:sz w:val="24"/>
          <w:szCs w:val="32"/>
        </w:rPr>
        <w:t xml:space="preserve"> 2. </w:t>
      </w:r>
      <w:r w:rsidR="00892F7A">
        <w:rPr>
          <w:rFonts w:ascii="Arial" w:hAnsi="Arial" w:cs="Arial" w:hint="eastAsia"/>
          <w:b/>
          <w:bCs/>
          <w:sz w:val="24"/>
          <w:szCs w:val="32"/>
        </w:rPr>
        <w:t>Association</w:t>
      </w:r>
      <w:r>
        <w:rPr>
          <w:rFonts w:ascii="Arial" w:hAnsi="Arial" w:cs="Arial"/>
          <w:b/>
          <w:bCs/>
          <w:sz w:val="24"/>
          <w:szCs w:val="32"/>
        </w:rPr>
        <w:t xml:space="preserve"> </w:t>
      </w:r>
      <w:r>
        <w:rPr>
          <w:rFonts w:ascii="Arial" w:hAnsi="Arial" w:cs="Arial" w:hint="eastAsia"/>
          <w:b/>
          <w:bCs/>
          <w:sz w:val="24"/>
          <w:szCs w:val="32"/>
        </w:rPr>
        <w:t>B</w:t>
      </w:r>
      <w:r>
        <w:rPr>
          <w:rFonts w:ascii="Arial" w:hAnsi="Arial" w:cs="Arial"/>
          <w:b/>
          <w:bCs/>
          <w:sz w:val="24"/>
          <w:szCs w:val="32"/>
        </w:rPr>
        <w:t xml:space="preserve">etween the </w:t>
      </w:r>
      <w:proofErr w:type="spellStart"/>
      <w:r>
        <w:rPr>
          <w:rFonts w:ascii="Arial" w:hAnsi="Arial" w:cs="Arial"/>
          <w:b/>
          <w:bCs/>
          <w:sz w:val="24"/>
          <w:szCs w:val="32"/>
        </w:rPr>
        <w:t>TyG</w:t>
      </w:r>
      <w:proofErr w:type="spellEnd"/>
      <w:r>
        <w:rPr>
          <w:rFonts w:ascii="Arial" w:hAnsi="Arial" w:cs="Arial"/>
          <w:b/>
          <w:bCs/>
          <w:sz w:val="24"/>
          <w:szCs w:val="32"/>
        </w:rPr>
        <w:t xml:space="preserve"> </w:t>
      </w:r>
      <w:r>
        <w:rPr>
          <w:rFonts w:ascii="Arial" w:hAnsi="Arial" w:cs="Arial" w:hint="eastAsia"/>
          <w:b/>
          <w:bCs/>
          <w:sz w:val="24"/>
          <w:szCs w:val="32"/>
        </w:rPr>
        <w:t>I</w:t>
      </w:r>
      <w:r>
        <w:rPr>
          <w:rFonts w:ascii="Arial" w:hAnsi="Arial" w:cs="Arial"/>
          <w:b/>
          <w:bCs/>
          <w:sz w:val="24"/>
          <w:szCs w:val="32"/>
        </w:rPr>
        <w:t>ndex</w:t>
      </w:r>
      <w:r w:rsidR="00E733E5">
        <w:rPr>
          <w:rFonts w:ascii="Arial" w:hAnsi="Arial" w:cs="Arial" w:hint="eastAsia"/>
          <w:b/>
          <w:bCs/>
          <w:sz w:val="24"/>
          <w:szCs w:val="32"/>
        </w:rPr>
        <w:t xml:space="preserve"> and Frailty</w:t>
      </w:r>
      <w:r>
        <w:rPr>
          <w:rFonts w:ascii="Arial" w:hAnsi="Arial" w:cs="Arial"/>
          <w:b/>
          <w:bCs/>
          <w:sz w:val="24"/>
          <w:szCs w:val="32"/>
        </w:rPr>
        <w:t xml:space="preserve"> </w:t>
      </w:r>
      <w:r w:rsidR="00892F7A">
        <w:rPr>
          <w:rFonts w:ascii="Arial" w:hAnsi="Arial" w:cs="Arial" w:hint="eastAsia"/>
          <w:b/>
          <w:bCs/>
          <w:sz w:val="24"/>
          <w:szCs w:val="32"/>
        </w:rPr>
        <w:t xml:space="preserve">at Baseline </w:t>
      </w:r>
      <w:r>
        <w:rPr>
          <w:rFonts w:ascii="Arial" w:hAnsi="Arial" w:cs="Arial"/>
          <w:b/>
          <w:bCs/>
          <w:sz w:val="24"/>
          <w:szCs w:val="32"/>
        </w:rPr>
        <w:t>in 2011</w:t>
      </w:r>
    </w:p>
    <w:tbl>
      <w:tblPr>
        <w:tblStyle w:val="a3"/>
        <w:tblpPr w:leftFromText="180" w:rightFromText="180" w:vertAnchor="text" w:horzAnchor="page" w:tblpX="1822" w:tblpY="29"/>
        <w:tblOverlap w:val="never"/>
        <w:tblW w:w="0" w:type="auto"/>
        <w:tblLook w:val="04A0" w:firstRow="1" w:lastRow="0" w:firstColumn="1" w:lastColumn="0" w:noHBand="0" w:noVBand="1"/>
      </w:tblPr>
      <w:tblGrid>
        <w:gridCol w:w="1614"/>
        <w:gridCol w:w="2029"/>
        <w:gridCol w:w="1321"/>
        <w:gridCol w:w="2339"/>
        <w:gridCol w:w="983"/>
      </w:tblGrid>
      <w:tr w:rsidR="00311D47" w14:paraId="61684211" w14:textId="77777777">
        <w:tc>
          <w:tcPr>
            <w:tcW w:w="1614" w:type="dxa"/>
            <w:vMerge w:val="restart"/>
            <w:tcBorders>
              <w:top w:val="single" w:sz="12" w:space="0" w:color="000000" w:themeColor="dark1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28D1E765" w14:textId="77777777" w:rsidR="00311D47" w:rsidRDefault="00000000">
            <w:pPr>
              <w:jc w:val="center"/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  <w:t>N = 6003</w:t>
            </w:r>
          </w:p>
          <w:p w14:paraId="17A6D028" w14:textId="77777777" w:rsidR="00311D47" w:rsidRDefault="00000000">
            <w:pPr>
              <w:jc w:val="center"/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  <w:t>Various</w:t>
            </w:r>
          </w:p>
        </w:tc>
        <w:tc>
          <w:tcPr>
            <w:tcW w:w="3350" w:type="dxa"/>
            <w:gridSpan w:val="2"/>
            <w:tcBorders>
              <w:top w:val="single" w:sz="12" w:space="0" w:color="000000" w:themeColor="dark1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758C466D" w14:textId="77777777" w:rsidR="00311D47" w:rsidRDefault="00000000">
            <w:pPr>
              <w:jc w:val="center"/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  <w:t>Model 1</w:t>
            </w:r>
            <w:r>
              <w:rPr>
                <w:rFonts w:ascii="Arial" w:hAnsi="Arial" w:cs="Arial" w:hint="eastAsia"/>
                <w:b/>
                <w:iCs/>
                <w:color w:val="000000" w:themeColor="dark1"/>
                <w:sz w:val="20"/>
                <w:szCs w:val="20"/>
              </w:rPr>
              <w:t xml:space="preserve"> </w:t>
            </w:r>
            <w:r>
              <w:rPr>
                <w:rFonts w:ascii="Arial" w:hAnsi="Arial" w:cs="Arial" w:hint="eastAsia"/>
                <w:b/>
                <w:iCs/>
                <w:color w:val="000000" w:themeColor="dark1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3322" w:type="dxa"/>
            <w:gridSpan w:val="2"/>
            <w:tcBorders>
              <w:top w:val="single" w:sz="12" w:space="0" w:color="000000" w:themeColor="dark1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2176B0C5" w14:textId="77777777" w:rsidR="00311D47" w:rsidRDefault="00000000">
            <w:pPr>
              <w:jc w:val="center"/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  <w:t>Model 2</w:t>
            </w:r>
            <w:r>
              <w:rPr>
                <w:rFonts w:ascii="Arial" w:hAnsi="Arial" w:cs="Arial" w:hint="eastAsia"/>
                <w:b/>
                <w:iCs/>
                <w:color w:val="000000" w:themeColor="dark1"/>
                <w:sz w:val="20"/>
                <w:szCs w:val="20"/>
              </w:rPr>
              <w:t xml:space="preserve"> </w:t>
            </w:r>
            <w:r>
              <w:rPr>
                <w:rFonts w:ascii="Arial" w:hAnsi="Arial" w:cs="Arial" w:hint="eastAsia"/>
                <w:b/>
                <w:iCs/>
                <w:color w:val="000000" w:themeColor="dark1"/>
                <w:sz w:val="20"/>
                <w:szCs w:val="20"/>
                <w:vertAlign w:val="superscript"/>
              </w:rPr>
              <w:t>b</w:t>
            </w:r>
          </w:p>
        </w:tc>
      </w:tr>
      <w:tr w:rsidR="00311D47" w14:paraId="6DB46800" w14:textId="77777777">
        <w:tc>
          <w:tcPr>
            <w:tcW w:w="1614" w:type="dxa"/>
            <w:vMerge/>
            <w:tcBorders>
              <w:top w:val="single" w:sz="12" w:space="0" w:color="000000"/>
              <w:left w:val="nil"/>
              <w:bottom w:val="single" w:sz="12" w:space="0" w:color="000000" w:themeColor="text1"/>
              <w:right w:val="nil"/>
            </w:tcBorders>
            <w:shd w:val="clear" w:color="auto" w:fill="FFFFFF"/>
          </w:tcPr>
          <w:p w14:paraId="77BB7178" w14:textId="77777777" w:rsidR="00311D47" w:rsidRDefault="00311D47">
            <w:pPr>
              <w:jc w:val="center"/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</w:pPr>
          </w:p>
        </w:tc>
        <w:tc>
          <w:tcPr>
            <w:tcW w:w="2029" w:type="dxa"/>
            <w:tcBorders>
              <w:top w:val="single" w:sz="12" w:space="0" w:color="000000"/>
              <w:left w:val="nil"/>
              <w:bottom w:val="single" w:sz="12" w:space="0" w:color="000000" w:themeColor="text1"/>
              <w:right w:val="nil"/>
            </w:tcBorders>
            <w:shd w:val="clear" w:color="auto" w:fill="FFFFFF"/>
          </w:tcPr>
          <w:p w14:paraId="6CFD0CFD" w14:textId="77777777" w:rsidR="00311D47" w:rsidRDefault="00000000">
            <w:pPr>
              <w:jc w:val="center"/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  <w:t xml:space="preserve"> OR (95%CI)</w:t>
            </w:r>
          </w:p>
        </w:tc>
        <w:tc>
          <w:tcPr>
            <w:tcW w:w="1321" w:type="dxa"/>
            <w:tcBorders>
              <w:top w:val="single" w:sz="12" w:space="0" w:color="000000"/>
              <w:left w:val="nil"/>
              <w:bottom w:val="single" w:sz="12" w:space="0" w:color="000000" w:themeColor="text1"/>
              <w:right w:val="nil"/>
            </w:tcBorders>
            <w:shd w:val="clear" w:color="auto" w:fill="FFFFFF"/>
          </w:tcPr>
          <w:p w14:paraId="42E8449D" w14:textId="77777777" w:rsidR="00311D47" w:rsidRDefault="00000000">
            <w:pPr>
              <w:jc w:val="center"/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olor w:val="000000" w:themeColor="dark1"/>
                <w:sz w:val="20"/>
                <w:szCs w:val="20"/>
              </w:rPr>
              <w:t>P</w:t>
            </w:r>
          </w:p>
        </w:tc>
        <w:tc>
          <w:tcPr>
            <w:tcW w:w="2339" w:type="dxa"/>
            <w:tcBorders>
              <w:top w:val="single" w:sz="12" w:space="0" w:color="000000"/>
              <w:left w:val="nil"/>
              <w:bottom w:val="single" w:sz="12" w:space="0" w:color="000000" w:themeColor="text1"/>
              <w:right w:val="nil"/>
            </w:tcBorders>
            <w:shd w:val="clear" w:color="auto" w:fill="FFFFFF"/>
          </w:tcPr>
          <w:p w14:paraId="639D1ADE" w14:textId="77777777" w:rsidR="00311D47" w:rsidRDefault="00000000">
            <w:pPr>
              <w:jc w:val="center"/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dark1"/>
                <w:sz w:val="20"/>
                <w:szCs w:val="20"/>
              </w:rPr>
              <w:t xml:space="preserve"> OR (95%CI)</w:t>
            </w:r>
          </w:p>
        </w:tc>
        <w:tc>
          <w:tcPr>
            <w:tcW w:w="983" w:type="dxa"/>
            <w:tcBorders>
              <w:top w:val="single" w:sz="12" w:space="0" w:color="000000"/>
              <w:left w:val="nil"/>
              <w:bottom w:val="single" w:sz="12" w:space="0" w:color="000000" w:themeColor="text1"/>
              <w:right w:val="nil"/>
            </w:tcBorders>
            <w:shd w:val="clear" w:color="auto" w:fill="FFFFFF"/>
          </w:tcPr>
          <w:p w14:paraId="1D1C9CB4" w14:textId="77777777" w:rsidR="00311D47" w:rsidRDefault="00000000">
            <w:pPr>
              <w:jc w:val="center"/>
              <w:rPr>
                <w:rFonts w:ascii="Arial" w:hAnsi="Arial" w:cs="Arial"/>
                <w:b/>
                <w:iCs/>
                <w:color w:val="000000" w:themeColor="dark1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olor w:val="000000" w:themeColor="dark1"/>
                <w:sz w:val="20"/>
                <w:szCs w:val="20"/>
              </w:rPr>
              <w:t>P</w:t>
            </w:r>
          </w:p>
        </w:tc>
      </w:tr>
      <w:tr w:rsidR="00311D47" w14:paraId="1C59B521" w14:textId="77777777">
        <w:tc>
          <w:tcPr>
            <w:tcW w:w="161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/>
          </w:tcPr>
          <w:p w14:paraId="3D06B432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8090C"/>
                <w:sz w:val="20"/>
                <w:szCs w:val="20"/>
              </w:rPr>
              <w:t>TyG</w:t>
            </w:r>
            <w:proofErr w:type="spellEnd"/>
          </w:p>
        </w:tc>
        <w:tc>
          <w:tcPr>
            <w:tcW w:w="2029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/>
          </w:tcPr>
          <w:p w14:paraId="453BC718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1.20(1.07-1.35)</w:t>
            </w:r>
          </w:p>
        </w:tc>
        <w:tc>
          <w:tcPr>
            <w:tcW w:w="132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/>
          </w:tcPr>
          <w:p w14:paraId="2151B0E6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&lt;0.01</w:t>
            </w:r>
          </w:p>
        </w:tc>
        <w:tc>
          <w:tcPr>
            <w:tcW w:w="2339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/>
          </w:tcPr>
          <w:p w14:paraId="55FC1E7A" w14:textId="7714057B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1.1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(0.9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-1.3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)</w:t>
            </w:r>
          </w:p>
        </w:tc>
        <w:tc>
          <w:tcPr>
            <w:tcW w:w="98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/>
          </w:tcPr>
          <w:p w14:paraId="442A0DA1" w14:textId="56233A0A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0.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06</w:t>
            </w:r>
          </w:p>
        </w:tc>
      </w:tr>
      <w:tr w:rsidR="00311D47" w14:paraId="76DFCF4D" w14:textId="77777777"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866C16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8090C"/>
                <w:sz w:val="20"/>
                <w:szCs w:val="20"/>
              </w:rPr>
              <w:t>TyG</w:t>
            </w:r>
            <w:proofErr w:type="spellEnd"/>
            <w:r>
              <w:rPr>
                <w:rFonts w:ascii="Arial" w:hAnsi="Arial" w:cs="Arial"/>
                <w:color w:val="08090C"/>
                <w:sz w:val="20"/>
                <w:szCs w:val="20"/>
              </w:rPr>
              <w:t xml:space="preserve"> tertiles</w:t>
            </w: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ED4B35" w14:textId="77777777" w:rsidR="00311D47" w:rsidRDefault="00311D47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6AE11C" w14:textId="77777777" w:rsidR="00311D47" w:rsidRDefault="00311D47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4AB321" w14:textId="77777777" w:rsidR="00311D47" w:rsidRDefault="00311D47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C6EF85" w14:textId="77777777" w:rsidR="00311D47" w:rsidRDefault="00311D47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</w:p>
        </w:tc>
      </w:tr>
      <w:tr w:rsidR="00311D47" w14:paraId="1F643CD4" w14:textId="77777777"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20C545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T1</w:t>
            </w: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3CAB21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reference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7DDA46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-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2B6C45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reference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E57FCA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-</w:t>
            </w:r>
          </w:p>
        </w:tc>
      </w:tr>
      <w:tr w:rsidR="00311D47" w14:paraId="6BA53D10" w14:textId="77777777"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E5FB0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T2</w:t>
            </w: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29D881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1.24(1.01-1.52)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63801E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0.04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36BBAA" w14:textId="47E5CD1C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20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(0.9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-1.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50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CA6584" w14:textId="55FA7D84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0.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11</w:t>
            </w:r>
          </w:p>
        </w:tc>
      </w:tr>
      <w:tr w:rsidR="00311D47" w14:paraId="5C326147" w14:textId="77777777">
        <w:tc>
          <w:tcPr>
            <w:tcW w:w="1614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3D246CEC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T3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397378F8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1.40(1.15-1.72)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1DF496C4" w14:textId="77777777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&lt;0.01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4B489A6B" w14:textId="706AFA3F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1.2</w:t>
            </w:r>
            <w:r w:rsidR="00F1549C">
              <w:rPr>
                <w:rFonts w:ascii="Arial" w:hAnsi="Arial" w:cs="Arial" w:hint="eastAsia"/>
                <w:color w:val="08090C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(</w:t>
            </w:r>
            <w:r w:rsidR="00F1549C">
              <w:rPr>
                <w:rFonts w:ascii="Arial" w:hAnsi="Arial" w:cs="Arial" w:hint="eastAsia"/>
                <w:color w:val="08090C"/>
                <w:sz w:val="20"/>
                <w:szCs w:val="20"/>
              </w:rPr>
              <w:t>0.99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-1.6</w:t>
            </w:r>
            <w:r w:rsidR="00F1549C">
              <w:rPr>
                <w:rFonts w:ascii="Arial" w:hAnsi="Arial" w:cs="Arial" w:hint="eastAsia"/>
                <w:color w:val="08090C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8090C"/>
                <w:sz w:val="20"/>
                <w:szCs w:val="20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3B58E412" w14:textId="530F2A23" w:rsidR="00311D47" w:rsidRDefault="00000000">
            <w:pPr>
              <w:jc w:val="center"/>
              <w:rPr>
                <w:rFonts w:ascii="Arial" w:hAnsi="Arial" w:cs="Arial"/>
                <w:color w:val="08090C"/>
                <w:sz w:val="20"/>
                <w:szCs w:val="20"/>
              </w:rPr>
            </w:pPr>
            <w:r>
              <w:rPr>
                <w:rFonts w:ascii="Arial" w:hAnsi="Arial" w:cs="Arial"/>
                <w:color w:val="08090C"/>
                <w:sz w:val="20"/>
                <w:szCs w:val="20"/>
              </w:rPr>
              <w:t>0.</w:t>
            </w:r>
            <w:r w:rsidR="00BC25C0">
              <w:rPr>
                <w:rFonts w:ascii="Arial" w:hAnsi="Arial" w:cs="Arial" w:hint="eastAsia"/>
                <w:color w:val="08090C"/>
                <w:sz w:val="20"/>
                <w:szCs w:val="20"/>
              </w:rPr>
              <w:t>0</w:t>
            </w:r>
            <w:r w:rsidR="00F1549C">
              <w:rPr>
                <w:rFonts w:ascii="Arial" w:hAnsi="Arial" w:cs="Arial" w:hint="eastAsia"/>
                <w:color w:val="08090C"/>
                <w:sz w:val="20"/>
                <w:szCs w:val="20"/>
              </w:rPr>
              <w:t>6</w:t>
            </w:r>
          </w:p>
        </w:tc>
      </w:tr>
    </w:tbl>
    <w:p w14:paraId="13CAB95C" w14:textId="77777777" w:rsidR="00311D47" w:rsidRDefault="00000000">
      <w:pPr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Abbreviations: </w:t>
      </w:r>
      <w:proofErr w:type="spellStart"/>
      <w:r>
        <w:rPr>
          <w:rFonts w:ascii="Arial" w:hAnsi="Arial" w:cs="Arial"/>
          <w:sz w:val="16"/>
          <w:szCs w:val="16"/>
        </w:rPr>
        <w:t>TyG</w:t>
      </w:r>
      <w:proofErr w:type="spellEnd"/>
      <w:r>
        <w:rPr>
          <w:rFonts w:ascii="Arial" w:hAnsi="Arial" w:cs="Arial"/>
          <w:sz w:val="16"/>
          <w:szCs w:val="16"/>
        </w:rPr>
        <w:t xml:space="preserve">, triglyceride-glucose; </w:t>
      </w:r>
      <w:r>
        <w:rPr>
          <w:rFonts w:ascii="Arial" w:hAnsi="Arial" w:cs="Arial" w:hint="eastAsia"/>
          <w:sz w:val="16"/>
          <w:szCs w:val="16"/>
        </w:rPr>
        <w:t>O</w:t>
      </w:r>
      <w:r>
        <w:rPr>
          <w:rFonts w:ascii="Arial" w:hAnsi="Arial" w:cs="Arial"/>
          <w:sz w:val="16"/>
          <w:szCs w:val="16"/>
        </w:rPr>
        <w:t xml:space="preserve">R, </w:t>
      </w:r>
      <w:r>
        <w:rPr>
          <w:rFonts w:ascii="Arial" w:hAnsi="Arial" w:cs="Arial" w:hint="eastAsia"/>
          <w:sz w:val="16"/>
          <w:szCs w:val="16"/>
        </w:rPr>
        <w:t>odds</w:t>
      </w:r>
      <w:r>
        <w:rPr>
          <w:rFonts w:ascii="Arial" w:hAnsi="Arial" w:cs="Arial"/>
          <w:sz w:val="16"/>
          <w:szCs w:val="16"/>
        </w:rPr>
        <w:t xml:space="preserve"> ratio; CI, confidence interval.</w:t>
      </w:r>
    </w:p>
    <w:p w14:paraId="6335CCB8" w14:textId="77777777" w:rsidR="00311D47" w:rsidRDefault="00000000">
      <w:pPr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a</w:t>
      </w:r>
      <w:r>
        <w:rPr>
          <w:rFonts w:ascii="Arial" w:hAnsi="Arial" w:cs="Arial"/>
          <w:sz w:val="16"/>
          <w:szCs w:val="16"/>
        </w:rPr>
        <w:t xml:space="preserve"> Model 1 was the crude model.</w:t>
      </w:r>
    </w:p>
    <w:p w14:paraId="21FBA7EE" w14:textId="07D0663F" w:rsidR="00311D47" w:rsidRDefault="00000000">
      <w:pPr>
        <w:jc w:val="left"/>
        <w:rPr>
          <w:rFonts w:ascii="Arial" w:hAnsi="Arial" w:cs="Arial"/>
          <w:sz w:val="16"/>
          <w:szCs w:val="16"/>
        </w:rPr>
        <w:sectPr w:rsidR="00311D47">
          <w:pgSz w:w="12240" w:h="15840"/>
          <w:pgMar w:top="1440" w:right="1800" w:bottom="1440" w:left="1800" w:header="720" w:footer="720" w:gutter="0"/>
          <w:cols w:space="720"/>
        </w:sectPr>
      </w:pPr>
      <w:r>
        <w:rPr>
          <w:rFonts w:ascii="Arial" w:hAnsi="Arial" w:cs="Arial"/>
          <w:sz w:val="16"/>
          <w:szCs w:val="16"/>
          <w:vertAlign w:val="superscript"/>
        </w:rPr>
        <w:t>b</w:t>
      </w:r>
      <w:r>
        <w:rPr>
          <w:rFonts w:ascii="Arial" w:hAnsi="Arial" w:cs="Arial"/>
          <w:sz w:val="16"/>
          <w:szCs w:val="16"/>
        </w:rPr>
        <w:t xml:space="preserve"> Model 2 was adjusted for </w:t>
      </w:r>
      <w:r w:rsidR="007C3665" w:rsidRPr="007C3665">
        <w:rPr>
          <w:rFonts w:ascii="Arial" w:hAnsi="Arial" w:cs="Arial"/>
          <w:sz w:val="16"/>
          <w:szCs w:val="16"/>
        </w:rPr>
        <w:t>age, sex, education level, smoking status, alcohol consumption, history of heart disease, systolic blood pressure, body mass index, waist circumference, high-density lipoprotein</w:t>
      </w:r>
      <w:r w:rsidR="0058211E">
        <w:rPr>
          <w:rFonts w:ascii="Arial" w:hAnsi="Arial" w:cs="Arial" w:hint="eastAsia"/>
          <w:sz w:val="16"/>
          <w:szCs w:val="16"/>
        </w:rPr>
        <w:t xml:space="preserve"> </w:t>
      </w:r>
      <w:r w:rsidR="0058211E" w:rsidRPr="0058211E">
        <w:rPr>
          <w:rFonts w:ascii="Arial" w:hAnsi="Arial" w:cs="Arial"/>
          <w:sz w:val="16"/>
          <w:szCs w:val="16"/>
        </w:rPr>
        <w:t>cholesterol</w:t>
      </w:r>
      <w:r w:rsidR="007C3665" w:rsidRPr="007C3665">
        <w:rPr>
          <w:rFonts w:ascii="Arial" w:hAnsi="Arial" w:cs="Arial"/>
          <w:sz w:val="16"/>
          <w:szCs w:val="16"/>
        </w:rPr>
        <w:t>, C-reactive protein and estimated glomerular filtration rate.</w:t>
      </w:r>
      <w:r>
        <w:rPr>
          <w:rFonts w:ascii="Arial" w:hAnsi="Arial" w:cs="Arial"/>
          <w:sz w:val="16"/>
          <w:szCs w:val="16"/>
        </w:rPr>
        <w:t xml:space="preserve"> </w:t>
      </w:r>
    </w:p>
    <w:p w14:paraId="52414E71" w14:textId="50E97029" w:rsidR="00E5559B" w:rsidRPr="00A2372E" w:rsidRDefault="0064484E" w:rsidP="00E5559B">
      <w:pPr>
        <w:rPr>
          <w:rFonts w:ascii="Arial" w:hAnsi="Arial" w:cs="Arial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288B5E66" wp14:editId="05B12994">
            <wp:extent cx="5274310" cy="3083560"/>
            <wp:effectExtent l="0" t="0" r="2540" b="2540"/>
            <wp:docPr id="4380439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0439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0E0FCF" w:rsidRPr="00A2372E">
        <w:rPr>
          <w:rFonts w:ascii="Arial" w:hAnsi="Arial" w:cs="Arial"/>
          <w:b/>
          <w:bCs/>
          <w:sz w:val="16"/>
          <w:szCs w:val="16"/>
        </w:rPr>
        <w:t>eFigure</w:t>
      </w:r>
      <w:proofErr w:type="spellEnd"/>
      <w:r w:rsidR="000E0FCF" w:rsidRPr="00A2372E">
        <w:rPr>
          <w:rFonts w:ascii="Arial" w:hAnsi="Arial" w:cs="Arial"/>
          <w:b/>
          <w:bCs/>
          <w:sz w:val="16"/>
          <w:szCs w:val="16"/>
        </w:rPr>
        <w:t xml:space="preserve"> 1. Selection of Covariates Using the Boruta Algorithm.</w:t>
      </w:r>
      <w:r w:rsidR="000E0FCF" w:rsidRPr="00A2372E">
        <w:rPr>
          <w:rFonts w:ascii="Arial" w:hAnsi="Arial" w:cs="Arial"/>
          <w:sz w:val="16"/>
          <w:szCs w:val="16"/>
        </w:rPr>
        <w:t xml:space="preserve"> </w:t>
      </w:r>
      <w:r w:rsidR="00000000" w:rsidRPr="00A2372E">
        <w:rPr>
          <w:rFonts w:ascii="Arial" w:hAnsi="Arial" w:cs="Arial"/>
          <w:sz w:val="16"/>
          <w:szCs w:val="16"/>
        </w:rPr>
        <w:t xml:space="preserve">Abbreviations: </w:t>
      </w:r>
      <w:r w:rsidR="00E42E0E" w:rsidRPr="00A2372E">
        <w:rPr>
          <w:rFonts w:ascii="Arial" w:hAnsi="Arial" w:cs="Arial"/>
          <w:sz w:val="16"/>
          <w:szCs w:val="16"/>
        </w:rPr>
        <w:t xml:space="preserve">CRP, C-reactive protein; eGFR, estimated glomerular filtration rate; SBP, systolic blood pressure; </w:t>
      </w:r>
      <w:r w:rsidR="00000000" w:rsidRPr="00A2372E">
        <w:rPr>
          <w:rFonts w:ascii="Arial" w:hAnsi="Arial" w:cs="Arial"/>
          <w:sz w:val="16"/>
          <w:szCs w:val="16"/>
        </w:rPr>
        <w:t>HDL</w:t>
      </w:r>
      <w:r>
        <w:rPr>
          <w:rFonts w:ascii="Arial" w:hAnsi="Arial" w:cs="Arial" w:hint="eastAsia"/>
          <w:sz w:val="16"/>
          <w:szCs w:val="16"/>
        </w:rPr>
        <w:t>-C</w:t>
      </w:r>
      <w:r w:rsidR="00000000" w:rsidRPr="00A2372E">
        <w:rPr>
          <w:rFonts w:ascii="Arial" w:hAnsi="Arial" w:cs="Arial"/>
          <w:sz w:val="16"/>
          <w:szCs w:val="16"/>
        </w:rPr>
        <w:t>, high-density lipoprotein</w:t>
      </w:r>
      <w:r w:rsidR="0058211E">
        <w:rPr>
          <w:rFonts w:ascii="Arial" w:hAnsi="Arial" w:cs="Arial" w:hint="eastAsia"/>
          <w:sz w:val="16"/>
          <w:szCs w:val="16"/>
        </w:rPr>
        <w:t xml:space="preserve"> </w:t>
      </w:r>
      <w:r w:rsidR="0058211E" w:rsidRPr="0058211E">
        <w:rPr>
          <w:rFonts w:ascii="Arial" w:hAnsi="Arial" w:cs="Arial"/>
          <w:sz w:val="16"/>
          <w:szCs w:val="16"/>
        </w:rPr>
        <w:t>cholesterol</w:t>
      </w:r>
      <w:r w:rsidR="00000000" w:rsidRPr="00A2372E">
        <w:rPr>
          <w:rFonts w:ascii="Arial" w:hAnsi="Arial" w:cs="Arial"/>
          <w:sz w:val="16"/>
          <w:szCs w:val="16"/>
        </w:rPr>
        <w:t xml:space="preserve">; </w:t>
      </w:r>
      <w:r w:rsidR="00E42E0E" w:rsidRPr="00A2372E">
        <w:rPr>
          <w:rFonts w:ascii="Arial" w:hAnsi="Arial" w:cs="Arial"/>
          <w:sz w:val="16"/>
          <w:szCs w:val="16"/>
        </w:rPr>
        <w:t>WC, waist circumference</w:t>
      </w:r>
      <w:r w:rsidR="00E42E0E" w:rsidRPr="00A2372E" w:rsidDel="00E42E0E">
        <w:rPr>
          <w:rFonts w:ascii="Arial" w:hAnsi="Arial" w:cs="Arial"/>
          <w:sz w:val="16"/>
          <w:szCs w:val="16"/>
        </w:rPr>
        <w:t xml:space="preserve"> </w:t>
      </w:r>
      <w:r w:rsidR="00000000" w:rsidRPr="00A2372E">
        <w:rPr>
          <w:rFonts w:ascii="Arial" w:hAnsi="Arial" w:cs="Arial"/>
          <w:sz w:val="16"/>
          <w:szCs w:val="16"/>
        </w:rPr>
        <w:t>BMI, body mass index</w:t>
      </w:r>
      <w:r w:rsidR="00E42E0E" w:rsidRPr="00A2372E">
        <w:rPr>
          <w:rFonts w:ascii="Arial" w:hAnsi="Arial" w:cs="Arial"/>
          <w:sz w:val="16"/>
          <w:szCs w:val="16"/>
        </w:rPr>
        <w:t>.</w:t>
      </w:r>
      <w:r w:rsidR="000E0FCF" w:rsidRPr="00A2372E">
        <w:rPr>
          <w:rFonts w:ascii="Arial" w:hAnsi="Arial" w:cs="Arial"/>
          <w:sz w:val="16"/>
          <w:szCs w:val="16"/>
        </w:rPr>
        <w:t xml:space="preserve"> </w:t>
      </w:r>
      <w:r w:rsidR="00E733E5" w:rsidRPr="00A2372E">
        <w:rPr>
          <w:rFonts w:ascii="Arial" w:hAnsi="Arial" w:cs="Arial"/>
          <w:sz w:val="16"/>
          <w:szCs w:val="16"/>
        </w:rPr>
        <w:t>The boxplots illustrate the importance of candidate covariates relative to shadow attributes (blue). All candidate covariates (green) exhibited importance Z-scores higher than the maximum shadow attribute (</w:t>
      </w:r>
      <w:proofErr w:type="spellStart"/>
      <w:r w:rsidR="00E733E5" w:rsidRPr="00A2372E">
        <w:rPr>
          <w:rFonts w:ascii="Arial" w:hAnsi="Arial" w:cs="Arial"/>
          <w:sz w:val="16"/>
          <w:szCs w:val="16"/>
        </w:rPr>
        <w:t>shadowMax</w:t>
      </w:r>
      <w:proofErr w:type="spellEnd"/>
      <w:r w:rsidR="00E733E5" w:rsidRPr="00A2372E">
        <w:rPr>
          <w:rFonts w:ascii="Arial" w:hAnsi="Arial" w:cs="Arial"/>
          <w:sz w:val="16"/>
          <w:szCs w:val="16"/>
        </w:rPr>
        <w:t>), justifying their inclusion in the final multivariate models.</w:t>
      </w:r>
    </w:p>
    <w:p w14:paraId="55591A8C" w14:textId="633AEF56" w:rsidR="00E5559B" w:rsidRDefault="00E5559B" w:rsidP="00A2372E">
      <w:pPr>
        <w:rPr>
          <w:rFonts w:ascii="Arial" w:hAnsi="Arial" w:cs="Arial"/>
          <w:sz w:val="20"/>
          <w:szCs w:val="20"/>
        </w:rPr>
        <w:sectPr w:rsidR="00E5559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E22266A" w14:textId="76E06C0B" w:rsidR="00311D47" w:rsidRDefault="005E0B92">
      <w:pPr>
        <w:rPr>
          <w:rFonts w:ascii="Times New Roman" w:hAnsi="Times New Roman" w:cs="Times New Roman"/>
          <w:sz w:val="13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3B9C0A30" wp14:editId="5F052EC8">
            <wp:simplePos x="0" y="0"/>
            <wp:positionH relativeFrom="column">
              <wp:posOffset>2484967</wp:posOffset>
            </wp:positionH>
            <wp:positionV relativeFrom="paragraph">
              <wp:posOffset>286973</wp:posOffset>
            </wp:positionV>
            <wp:extent cx="2802466" cy="1607867"/>
            <wp:effectExtent l="0" t="0" r="0" b="0"/>
            <wp:wrapNone/>
            <wp:docPr id="1630428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4284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927" cy="1613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114300" distR="114300" wp14:anchorId="3DC222BB" wp14:editId="5BBB222B">
            <wp:extent cx="2409190" cy="1826260"/>
            <wp:effectExtent l="0" t="0" r="10160" b="254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9190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B92">
        <w:rPr>
          <w:noProof/>
        </w:rPr>
        <w:t xml:space="preserve"> </w:t>
      </w:r>
    </w:p>
    <w:p w14:paraId="50423C0E" w14:textId="1579D7DC" w:rsidR="00175016" w:rsidRPr="00A2372E" w:rsidRDefault="00000000" w:rsidP="00A2372E">
      <w:pPr>
        <w:ind w:firstLineChars="350" w:firstLine="562"/>
        <w:rPr>
          <w:rFonts w:ascii="Arial" w:hAnsi="Arial" w:cs="Arial"/>
          <w:b/>
          <w:bCs/>
          <w:sz w:val="16"/>
          <w:szCs w:val="16"/>
        </w:rPr>
      </w:pPr>
      <w:r w:rsidRPr="00A2372E">
        <w:rPr>
          <w:rFonts w:ascii="Arial" w:hAnsi="Arial" w:cs="Arial"/>
          <w:b/>
          <w:bCs/>
          <w:sz w:val="16"/>
          <w:szCs w:val="16"/>
        </w:rPr>
        <w:t xml:space="preserve">A. The distribution of </w:t>
      </w: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TyG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</w:t>
      </w:r>
      <w:r w:rsidR="005E0B92" w:rsidRPr="00A2372E">
        <w:rPr>
          <w:rFonts w:ascii="Arial" w:hAnsi="Arial" w:cs="Arial"/>
          <w:b/>
          <w:bCs/>
          <w:sz w:val="16"/>
          <w:szCs w:val="16"/>
        </w:rPr>
        <w:t>at</w:t>
      </w:r>
      <w:r w:rsidRPr="00A2372E">
        <w:rPr>
          <w:rFonts w:ascii="Arial" w:hAnsi="Arial" w:cs="Arial"/>
          <w:b/>
          <w:bCs/>
          <w:sz w:val="16"/>
          <w:szCs w:val="16"/>
        </w:rPr>
        <w:t xml:space="preserve"> baseline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175016">
        <w:rPr>
          <w:rFonts w:ascii="Arial" w:hAnsi="Arial" w:cs="Arial" w:hint="eastAsia"/>
          <w:b/>
          <w:bCs/>
          <w:sz w:val="20"/>
          <w:szCs w:val="20"/>
        </w:rPr>
        <w:t xml:space="preserve">       </w:t>
      </w:r>
      <w:r w:rsidRPr="00A2372E">
        <w:rPr>
          <w:rFonts w:ascii="Arial" w:hAnsi="Arial" w:cs="Arial"/>
          <w:b/>
          <w:bCs/>
          <w:sz w:val="16"/>
          <w:szCs w:val="16"/>
        </w:rPr>
        <w:t xml:space="preserve">B. </w:t>
      </w:r>
      <w:r w:rsidR="0052667B" w:rsidRPr="00A2372E">
        <w:rPr>
          <w:rFonts w:ascii="Arial" w:hAnsi="Arial" w:cs="Arial"/>
          <w:b/>
          <w:bCs/>
          <w:sz w:val="16"/>
          <w:szCs w:val="16"/>
        </w:rPr>
        <w:t>Distribution of frailty cases by survey year</w:t>
      </w:r>
    </w:p>
    <w:p w14:paraId="0011385D" w14:textId="306E8A12" w:rsidR="00311D47" w:rsidRPr="00A2372E" w:rsidRDefault="00000000">
      <w:pPr>
        <w:rPr>
          <w:rFonts w:ascii="Arial" w:hAnsi="Arial" w:cs="Arial"/>
          <w:b/>
          <w:bCs/>
          <w:sz w:val="16"/>
          <w:szCs w:val="16"/>
        </w:rPr>
      </w:pPr>
      <w:r w:rsidRPr="00A2372E">
        <w:rPr>
          <w:rFonts w:ascii="Arial" w:hAnsi="Arial" w:cs="Arial"/>
          <w:b/>
          <w:bCs/>
          <w:sz w:val="16"/>
          <w:szCs w:val="16"/>
        </w:rPr>
        <w:t>C</w:t>
      </w:r>
      <w:r w:rsidRPr="00A2372E">
        <w:rPr>
          <w:rFonts w:ascii="Arial" w:hAnsi="Arial" w:cs="Arial"/>
          <w:sz w:val="16"/>
          <w:szCs w:val="16"/>
        </w:rPr>
        <w:t xml:space="preserve">. </w:t>
      </w:r>
      <w:r w:rsidRPr="00A2372E">
        <w:rPr>
          <w:rFonts w:ascii="Arial" w:hAnsi="Arial" w:cs="Arial"/>
          <w:b/>
          <w:bCs/>
          <w:sz w:val="16"/>
          <w:szCs w:val="16"/>
        </w:rPr>
        <w:t xml:space="preserve">The incidence rate of </w:t>
      </w:r>
      <w:r w:rsidR="0052667B" w:rsidRPr="00A2372E">
        <w:rPr>
          <w:rFonts w:ascii="Arial" w:hAnsi="Arial" w:cs="Arial"/>
          <w:b/>
          <w:bCs/>
          <w:sz w:val="16"/>
          <w:szCs w:val="16"/>
        </w:rPr>
        <w:t xml:space="preserve">new-onset </w:t>
      </w:r>
      <w:r w:rsidRPr="00A2372E">
        <w:rPr>
          <w:rFonts w:ascii="Arial" w:hAnsi="Arial" w:cs="Arial"/>
          <w:b/>
          <w:bCs/>
          <w:sz w:val="16"/>
          <w:szCs w:val="16"/>
        </w:rPr>
        <w:t>frailty (% or Per 1000 person-year</w:t>
      </w:r>
      <w:r w:rsidR="005E0B92" w:rsidRPr="00A2372E">
        <w:rPr>
          <w:rFonts w:ascii="Arial" w:hAnsi="Arial" w:cs="Arial"/>
          <w:b/>
          <w:bCs/>
          <w:sz w:val="16"/>
          <w:szCs w:val="16"/>
        </w:rPr>
        <w:t>s</w:t>
      </w:r>
      <w:r w:rsidRPr="00A2372E">
        <w:rPr>
          <w:rFonts w:ascii="Arial" w:hAnsi="Arial" w:cs="Arial"/>
          <w:b/>
          <w:bCs/>
          <w:sz w:val="16"/>
          <w:szCs w:val="16"/>
        </w:rPr>
        <w:t>)</w:t>
      </w:r>
    </w:p>
    <w:tbl>
      <w:tblPr>
        <w:tblStyle w:val="a3"/>
        <w:tblW w:w="8572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1351"/>
        <w:gridCol w:w="1566"/>
        <w:gridCol w:w="2168"/>
        <w:gridCol w:w="2636"/>
      </w:tblGrid>
      <w:tr w:rsidR="00311D47" w14:paraId="6B96B4F1" w14:textId="77777777" w:rsidTr="00A2372E">
        <w:trPr>
          <w:trHeight w:val="296"/>
          <w:jc w:val="center"/>
        </w:trPr>
        <w:tc>
          <w:tcPr>
            <w:tcW w:w="851" w:type="dxa"/>
            <w:tcBorders>
              <w:top w:val="single" w:sz="8" w:space="0" w:color="FEFEFE"/>
              <w:left w:val="single" w:sz="8" w:space="0" w:color="FEFEFE"/>
              <w:bottom w:val="single" w:sz="24" w:space="0" w:color="FEFEFE"/>
              <w:right w:val="single" w:sz="8" w:space="0" w:color="FEFEFE"/>
            </w:tcBorders>
            <w:shd w:val="clear" w:color="auto" w:fill="4684D3"/>
          </w:tcPr>
          <w:p w14:paraId="2FABF7F7" w14:textId="77777777" w:rsidR="00311D47" w:rsidRDefault="00311D47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8" w:space="0" w:color="FEFEFE"/>
              <w:left w:val="single" w:sz="8" w:space="0" w:color="FEFEFE"/>
              <w:bottom w:val="single" w:sz="24" w:space="0" w:color="FEFEFE"/>
              <w:right w:val="single" w:sz="8" w:space="0" w:color="FEFEFE"/>
            </w:tcBorders>
            <w:shd w:val="clear" w:color="auto" w:fill="4684D3"/>
          </w:tcPr>
          <w:p w14:paraId="735490B3" w14:textId="77777777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Participants (n)</w:t>
            </w:r>
          </w:p>
        </w:tc>
        <w:tc>
          <w:tcPr>
            <w:tcW w:w="1566" w:type="dxa"/>
            <w:tcBorders>
              <w:top w:val="single" w:sz="8" w:space="0" w:color="FEFEFE"/>
              <w:left w:val="single" w:sz="8" w:space="0" w:color="FEFEFE"/>
              <w:bottom w:val="single" w:sz="24" w:space="0" w:color="FEFEFE"/>
              <w:right w:val="single" w:sz="8" w:space="0" w:color="FEFEFE"/>
            </w:tcBorders>
            <w:shd w:val="clear" w:color="auto" w:fill="4684D3"/>
          </w:tcPr>
          <w:p w14:paraId="0E4025EE" w14:textId="7E5AE231" w:rsidR="00311D47" w:rsidRDefault="005E0B92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railty events (n)</w:t>
            </w:r>
          </w:p>
        </w:tc>
        <w:tc>
          <w:tcPr>
            <w:tcW w:w="2168" w:type="dxa"/>
            <w:tcBorders>
              <w:top w:val="single" w:sz="8" w:space="0" w:color="FEFEFE"/>
              <w:left w:val="single" w:sz="8" w:space="0" w:color="FEFEFE"/>
              <w:bottom w:val="single" w:sz="24" w:space="0" w:color="FEFEFE"/>
              <w:right w:val="single" w:sz="8" w:space="0" w:color="FEFEFE"/>
            </w:tcBorders>
            <w:shd w:val="clear" w:color="auto" w:fill="4684D3"/>
          </w:tcPr>
          <w:p w14:paraId="4DFBDB86" w14:textId="7FA478BE" w:rsidR="00311D47" w:rsidRDefault="005E0B92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ncidence of frailty (%)</w:t>
            </w:r>
          </w:p>
        </w:tc>
        <w:tc>
          <w:tcPr>
            <w:tcW w:w="2636" w:type="dxa"/>
            <w:tcBorders>
              <w:top w:val="single" w:sz="8" w:space="0" w:color="FEFEFE"/>
              <w:left w:val="single" w:sz="8" w:space="0" w:color="FEFEFE"/>
              <w:bottom w:val="single" w:sz="24" w:space="0" w:color="FEFEFE"/>
              <w:right w:val="single" w:sz="8" w:space="0" w:color="FEFEFE"/>
            </w:tcBorders>
            <w:shd w:val="clear" w:color="auto" w:fill="4684D3"/>
          </w:tcPr>
          <w:p w14:paraId="52218922" w14:textId="63B91678" w:rsidR="00311D47" w:rsidRDefault="005E0B92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er 1000 person-year</w:t>
            </w: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 xml:space="preserve"> (95%CI) </w:t>
            </w:r>
          </w:p>
        </w:tc>
      </w:tr>
      <w:tr w:rsidR="00311D47" w14:paraId="6E693765" w14:textId="77777777" w:rsidTr="00A2372E">
        <w:trPr>
          <w:trHeight w:val="349"/>
          <w:jc w:val="center"/>
        </w:trPr>
        <w:tc>
          <w:tcPr>
            <w:tcW w:w="851" w:type="dxa"/>
            <w:tcBorders>
              <w:top w:val="single" w:sz="24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0FA8685B" w14:textId="77777777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351" w:type="dxa"/>
            <w:tcBorders>
              <w:top w:val="single" w:sz="24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4AB826A0" w14:textId="4E9FE6C4" w:rsidR="00311D47" w:rsidRDefault="000F2BCA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395</w:t>
            </w:r>
            <w:r w:rsidR="005624F9"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6" w:type="dxa"/>
            <w:tcBorders>
              <w:top w:val="single" w:sz="24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15AEB17A" w14:textId="6764B9A1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1427</w:t>
            </w:r>
          </w:p>
        </w:tc>
        <w:tc>
          <w:tcPr>
            <w:tcW w:w="2168" w:type="dxa"/>
            <w:tcBorders>
              <w:top w:val="single" w:sz="24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69DB57A1" w14:textId="1E3239D2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36.06</w:t>
            </w:r>
          </w:p>
        </w:tc>
        <w:tc>
          <w:tcPr>
            <w:tcW w:w="2636" w:type="dxa"/>
            <w:tcBorders>
              <w:top w:val="single" w:sz="24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1EBDB22D" w14:textId="07E0E916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 w:rsidRPr="00603B83">
              <w:rPr>
                <w:rFonts w:ascii="Arial" w:eastAsia="微软雅黑" w:hAnsi="Arial" w:cs="Arial"/>
                <w:color w:val="000000"/>
                <w:sz w:val="20"/>
                <w:szCs w:val="20"/>
              </w:rPr>
              <w:t>60.54 (57.44-63.76)</w:t>
            </w:r>
          </w:p>
        </w:tc>
      </w:tr>
      <w:tr w:rsidR="00311D47" w14:paraId="6E67176D" w14:textId="77777777" w:rsidTr="00A2372E">
        <w:trPr>
          <w:trHeight w:val="296"/>
          <w:jc w:val="center"/>
        </w:trPr>
        <w:tc>
          <w:tcPr>
            <w:tcW w:w="8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557F0FBB" w14:textId="77777777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T1</w:t>
            </w:r>
          </w:p>
        </w:tc>
        <w:tc>
          <w:tcPr>
            <w:tcW w:w="13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068B6476" w14:textId="5A5AA285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1344</w:t>
            </w:r>
          </w:p>
        </w:tc>
        <w:tc>
          <w:tcPr>
            <w:tcW w:w="156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2C99A915" w14:textId="6219A4A0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434</w:t>
            </w:r>
          </w:p>
        </w:tc>
        <w:tc>
          <w:tcPr>
            <w:tcW w:w="2168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1DF85689" w14:textId="0CCD85F0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32.39</w:t>
            </w:r>
          </w:p>
        </w:tc>
        <w:tc>
          <w:tcPr>
            <w:tcW w:w="263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5B1C7952" w14:textId="43980CAC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 w:rsidRPr="00603B83">
              <w:rPr>
                <w:rFonts w:ascii="Arial" w:eastAsia="微软雅黑" w:hAnsi="Arial" w:cs="Arial"/>
                <w:color w:val="000000"/>
                <w:sz w:val="20"/>
                <w:szCs w:val="20"/>
              </w:rPr>
              <w:t>53.30 (48.40-58.56)</w:t>
            </w:r>
          </w:p>
        </w:tc>
      </w:tr>
      <w:tr w:rsidR="00311D47" w14:paraId="2B81EC3D" w14:textId="77777777" w:rsidTr="00A2372E">
        <w:trPr>
          <w:trHeight w:val="296"/>
          <w:jc w:val="center"/>
        </w:trPr>
        <w:tc>
          <w:tcPr>
            <w:tcW w:w="8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03FAAC3C" w14:textId="77777777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T2</w:t>
            </w:r>
          </w:p>
        </w:tc>
        <w:tc>
          <w:tcPr>
            <w:tcW w:w="13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42AE222F" w14:textId="7B3B8C87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1319</w:t>
            </w:r>
          </w:p>
        </w:tc>
        <w:tc>
          <w:tcPr>
            <w:tcW w:w="156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2D623B3E" w14:textId="368B13F3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2168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2C878F05" w14:textId="10892354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37.23</w:t>
            </w:r>
          </w:p>
        </w:tc>
        <w:tc>
          <w:tcPr>
            <w:tcW w:w="263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67866FF5" w14:textId="781CFD04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 w:rsidRPr="00603B83">
              <w:rPr>
                <w:rFonts w:ascii="Arial" w:eastAsia="微软雅黑" w:hAnsi="Arial" w:cs="Arial"/>
                <w:color w:val="000000"/>
                <w:sz w:val="20"/>
                <w:szCs w:val="20"/>
              </w:rPr>
              <w:t>62.72 (57.29-68.52)</w:t>
            </w:r>
          </w:p>
        </w:tc>
      </w:tr>
      <w:tr w:rsidR="00311D47" w14:paraId="4CEDD9CA" w14:textId="77777777" w:rsidTr="00A2372E">
        <w:trPr>
          <w:trHeight w:val="296"/>
          <w:jc w:val="center"/>
        </w:trPr>
        <w:tc>
          <w:tcPr>
            <w:tcW w:w="8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325098A8" w14:textId="77777777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color w:val="000000"/>
                <w:sz w:val="20"/>
                <w:szCs w:val="20"/>
              </w:rPr>
              <w:t>T3</w:t>
            </w:r>
          </w:p>
        </w:tc>
        <w:tc>
          <w:tcPr>
            <w:tcW w:w="13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58FD3D38" w14:textId="6D43EE2C" w:rsidR="00311D47" w:rsidRDefault="005E0B92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1</w:t>
            </w:r>
            <w:r w:rsidR="005624F9"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156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06228588" w14:textId="6214F5AF" w:rsidR="00311D47" w:rsidRDefault="005624F9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2168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7569735E" w14:textId="59222366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38.79</w:t>
            </w:r>
          </w:p>
        </w:tc>
        <w:tc>
          <w:tcPr>
            <w:tcW w:w="263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697BC97E" w14:textId="0DB4DE51" w:rsidR="00311D47" w:rsidRDefault="00603B83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 w:rsidRPr="00603B83">
              <w:rPr>
                <w:rFonts w:ascii="Arial" w:eastAsia="微软雅黑" w:hAnsi="Arial" w:cs="Arial"/>
                <w:color w:val="000000"/>
                <w:sz w:val="20"/>
                <w:szCs w:val="20"/>
              </w:rPr>
              <w:t>66.05 (60.40-72.09)</w:t>
            </w:r>
          </w:p>
        </w:tc>
      </w:tr>
      <w:tr w:rsidR="00311D47" w14:paraId="14579B7A" w14:textId="77777777" w:rsidTr="00A2372E">
        <w:trPr>
          <w:trHeight w:val="316"/>
          <w:jc w:val="center"/>
        </w:trPr>
        <w:tc>
          <w:tcPr>
            <w:tcW w:w="8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5BC8ED41" w14:textId="7C8E012F" w:rsidR="00311D47" w:rsidRDefault="00000000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/>
                <w:i/>
                <w:iCs/>
                <w:color w:val="000000"/>
                <w:sz w:val="20"/>
                <w:szCs w:val="20"/>
              </w:rPr>
              <w:t>P</w:t>
            </w:r>
            <w:r w:rsidR="007E60E2" w:rsidRPr="00A2372E">
              <w:rPr>
                <w:rFonts w:ascii="Arial" w:eastAsia="微软雅黑" w:hAnsi="Arial" w:cs="Arial"/>
                <w:i/>
                <w:iCs/>
                <w:color w:val="000000"/>
                <w:sz w:val="18"/>
                <w:szCs w:val="18"/>
                <w:vertAlign w:val="subscript"/>
              </w:rPr>
              <w:t xml:space="preserve"> </w:t>
            </w:r>
            <w:r w:rsidR="007E60E2" w:rsidRPr="00A2372E">
              <w:rPr>
                <w:rFonts w:ascii="Arial" w:eastAsia="微软雅黑" w:hAnsi="Arial" w:cs="Arial"/>
                <w:color w:val="000000"/>
                <w:sz w:val="18"/>
                <w:szCs w:val="18"/>
                <w:vertAlign w:val="subscript"/>
              </w:rPr>
              <w:t>for trend</w:t>
            </w:r>
          </w:p>
        </w:tc>
        <w:tc>
          <w:tcPr>
            <w:tcW w:w="1351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4642AC68" w14:textId="77777777" w:rsidR="00311D47" w:rsidRDefault="00311D47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06DCEACD" w14:textId="77777777" w:rsidR="00311D47" w:rsidRDefault="00311D47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642865DB" w14:textId="77777777" w:rsidR="00311D47" w:rsidRDefault="00311D47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36" w:type="dxa"/>
            <w:tcBorders>
              <w:top w:val="single" w:sz="8" w:space="0" w:color="FEFEFE"/>
              <w:left w:val="single" w:sz="8" w:space="0" w:color="FEFEFE"/>
              <w:bottom w:val="single" w:sz="8" w:space="0" w:color="FEFEFE"/>
              <w:right w:val="single" w:sz="8" w:space="0" w:color="FEFEFE"/>
            </w:tcBorders>
            <w:shd w:val="clear" w:color="auto" w:fill="D5E4F5"/>
          </w:tcPr>
          <w:p w14:paraId="7CD862EA" w14:textId="6EC1903B" w:rsidR="00311D47" w:rsidRDefault="007E60E2">
            <w:pPr>
              <w:jc w:val="center"/>
              <w:rPr>
                <w:rFonts w:ascii="Arial" w:eastAsia="微软雅黑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color w:val="000000"/>
                <w:sz w:val="20"/>
                <w:szCs w:val="20"/>
              </w:rPr>
              <w:t>0.001</w:t>
            </w:r>
          </w:p>
        </w:tc>
      </w:tr>
    </w:tbl>
    <w:p w14:paraId="2DABD9D1" w14:textId="12C71A3A" w:rsidR="007E60E2" w:rsidRPr="007E60E2" w:rsidRDefault="000E0FCF" w:rsidP="00A2372E">
      <w:pPr>
        <w:rPr>
          <w:rFonts w:ascii="Arial" w:hAnsi="Arial" w:cs="Arial"/>
          <w:sz w:val="16"/>
          <w:szCs w:val="16"/>
        </w:rPr>
      </w:pP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eFigure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2. The Distribution of </w:t>
      </w: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TyG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and the Incidence of Frailty. </w:t>
      </w:r>
      <w:r>
        <w:rPr>
          <w:rFonts w:ascii="Arial" w:hAnsi="Arial" w:cs="Arial"/>
          <w:sz w:val="16"/>
          <w:szCs w:val="16"/>
        </w:rPr>
        <w:t xml:space="preserve">Abbreviations: </w:t>
      </w:r>
      <w:proofErr w:type="spellStart"/>
      <w:r>
        <w:rPr>
          <w:rFonts w:ascii="Arial" w:hAnsi="Arial" w:cs="Arial"/>
          <w:sz w:val="16"/>
          <w:szCs w:val="16"/>
        </w:rPr>
        <w:t>TyG</w:t>
      </w:r>
      <w:proofErr w:type="spellEnd"/>
      <w:r>
        <w:rPr>
          <w:rFonts w:ascii="Arial" w:hAnsi="Arial" w:cs="Arial"/>
          <w:sz w:val="16"/>
          <w:szCs w:val="16"/>
        </w:rPr>
        <w:t>, triglyceride-glucose; CI, confidence interval</w:t>
      </w:r>
      <w:r>
        <w:rPr>
          <w:rFonts w:ascii="Arial" w:hAnsi="Arial" w:cs="Arial" w:hint="eastAsia"/>
          <w:sz w:val="16"/>
          <w:szCs w:val="16"/>
        </w:rPr>
        <w:t xml:space="preserve">. </w:t>
      </w:r>
      <w:r w:rsidR="007E60E2" w:rsidRPr="007E60E2">
        <w:rPr>
          <w:rFonts w:ascii="Arial" w:hAnsi="Arial" w:cs="Arial"/>
          <w:sz w:val="16"/>
          <w:szCs w:val="16"/>
        </w:rPr>
        <w:t>P value for trend was calculated using Poisson regression.</w:t>
      </w:r>
    </w:p>
    <w:p w14:paraId="18D462F8" w14:textId="77777777" w:rsidR="00311D47" w:rsidRDefault="00311D47">
      <w:pPr>
        <w:rPr>
          <w:rFonts w:ascii="Times New Roman" w:hAnsi="Times New Roman" w:cs="Times New Roman"/>
          <w:b/>
          <w:bCs/>
          <w:szCs w:val="21"/>
        </w:rPr>
      </w:pPr>
    </w:p>
    <w:p w14:paraId="26E57480" w14:textId="77777777" w:rsidR="00311D47" w:rsidRDefault="00311D47">
      <w:pPr>
        <w:rPr>
          <w:rFonts w:ascii="Times New Roman" w:hAnsi="Times New Roman" w:cs="Times New Roman"/>
          <w:szCs w:val="21"/>
        </w:rPr>
      </w:pPr>
    </w:p>
    <w:p w14:paraId="4BB31303" w14:textId="77777777" w:rsidR="00311D47" w:rsidRDefault="00311D47">
      <w:pPr>
        <w:rPr>
          <w:rFonts w:ascii="Times New Roman" w:hAnsi="Times New Roman" w:cs="Times New Roman"/>
          <w:szCs w:val="21"/>
        </w:rPr>
        <w:sectPr w:rsidR="00311D47" w:rsidSect="00A2372E"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C2FC924" w14:textId="55704D2C" w:rsidR="00311D47" w:rsidRDefault="00674CBA">
      <w:r>
        <w:rPr>
          <w:noProof/>
        </w:rPr>
        <w:lastRenderedPageBreak/>
        <w:drawing>
          <wp:inline distT="0" distB="0" distL="0" distR="0" wp14:anchorId="35CF14B5" wp14:editId="0A8C0406">
            <wp:extent cx="5156421" cy="3670966"/>
            <wp:effectExtent l="0" t="0" r="6350" b="5715"/>
            <wp:docPr id="17486653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66539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0533" cy="368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52506" w14:textId="504D705E" w:rsidR="00053231" w:rsidRDefault="00175016" w:rsidP="007E0A48">
      <w:pPr>
        <w:spacing w:line="360" w:lineRule="auto"/>
        <w:rPr>
          <w:rFonts w:ascii="Arial" w:hAnsi="Arial" w:cs="Arial"/>
          <w:sz w:val="16"/>
          <w:szCs w:val="16"/>
        </w:rPr>
      </w:pP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eFigure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3. Kaplan-Meier Curves for Frailty-Free Survival Probability According to </w:t>
      </w: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TyG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Index Tertiles. </w:t>
      </w:r>
      <w:r>
        <w:rPr>
          <w:rFonts w:ascii="Arial" w:hAnsi="Arial" w:cs="Arial"/>
          <w:sz w:val="16"/>
          <w:szCs w:val="16"/>
        </w:rPr>
        <w:t>Abbreviations:</w:t>
      </w:r>
      <w:r>
        <w:rPr>
          <w:rFonts w:ascii="Arial" w:hAnsi="Arial" w:cs="Arial" w:hint="eastAsia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TyG</w:t>
      </w:r>
      <w:proofErr w:type="spellEnd"/>
      <w:r>
        <w:rPr>
          <w:rFonts w:ascii="Arial" w:hAnsi="Arial" w:cs="Arial"/>
          <w:sz w:val="16"/>
          <w:szCs w:val="16"/>
        </w:rPr>
        <w:t>, triglyceride-glucose</w:t>
      </w:r>
      <w:r>
        <w:rPr>
          <w:rFonts w:ascii="Arial" w:hAnsi="Arial" w:cs="Arial" w:hint="eastAsia"/>
          <w:sz w:val="16"/>
          <w:szCs w:val="16"/>
        </w:rPr>
        <w:t>.</w:t>
      </w:r>
    </w:p>
    <w:p w14:paraId="01B3328E" w14:textId="77777777" w:rsidR="007E0A48" w:rsidRDefault="007E0A48" w:rsidP="00A2372E">
      <w:pPr>
        <w:spacing w:line="360" w:lineRule="auto"/>
        <w:rPr>
          <w:rFonts w:ascii="Arial" w:hAnsi="Arial" w:cs="Arial"/>
          <w:sz w:val="16"/>
          <w:szCs w:val="16"/>
        </w:rPr>
      </w:pPr>
    </w:p>
    <w:p w14:paraId="10442CC4" w14:textId="3CA95FDA" w:rsidR="00053231" w:rsidRPr="00053231" w:rsidRDefault="00053231">
      <w:pPr>
        <w:rPr>
          <w:rFonts w:ascii="Arial" w:hAnsi="Arial" w:cs="Arial"/>
          <w:sz w:val="16"/>
          <w:szCs w:val="16"/>
        </w:rPr>
        <w:sectPr w:rsidR="00053231" w:rsidRPr="00053231" w:rsidSect="00A2372E">
          <w:pgSz w:w="11906" w:h="16838" w:code="9"/>
          <w:pgMar w:top="1440" w:right="1800" w:bottom="1440" w:left="1800" w:header="720" w:footer="720" w:gutter="0"/>
          <w:cols w:space="720"/>
          <w:docGrid w:linePitch="286"/>
        </w:sectPr>
      </w:pPr>
    </w:p>
    <w:p w14:paraId="29E98F2C" w14:textId="33ADBE53" w:rsidR="00311D47" w:rsidRDefault="003D7574">
      <w:r>
        <w:rPr>
          <w:noProof/>
        </w:rPr>
        <w:lastRenderedPageBreak/>
        <w:drawing>
          <wp:inline distT="0" distB="0" distL="0" distR="0" wp14:anchorId="59B3EF16" wp14:editId="54F4E3E7">
            <wp:extent cx="5274310" cy="3811905"/>
            <wp:effectExtent l="0" t="0" r="2540" b="0"/>
            <wp:docPr id="13835614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614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63B8E" w14:textId="56B01840" w:rsidR="00311D47" w:rsidRDefault="00175016" w:rsidP="00175016">
      <w:pPr>
        <w:tabs>
          <w:tab w:val="left" w:pos="924"/>
        </w:tabs>
        <w:jc w:val="left"/>
        <w:rPr>
          <w:rFonts w:ascii="Arial" w:hAnsi="Arial" w:cs="Arial"/>
          <w:sz w:val="16"/>
          <w:szCs w:val="16"/>
        </w:rPr>
      </w:pP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eFigure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4.</w:t>
      </w:r>
      <w:r w:rsidRPr="00A2372E" w:rsidDel="00757DCF">
        <w:rPr>
          <w:rFonts w:ascii="Arial" w:hAnsi="Arial" w:cs="Arial"/>
          <w:b/>
          <w:bCs/>
          <w:sz w:val="16"/>
          <w:szCs w:val="16"/>
        </w:rPr>
        <w:t xml:space="preserve"> </w:t>
      </w:r>
      <w:r w:rsidRPr="00A2372E">
        <w:rPr>
          <w:rFonts w:ascii="Arial" w:hAnsi="Arial" w:cs="Arial"/>
          <w:b/>
          <w:bCs/>
          <w:sz w:val="16"/>
          <w:szCs w:val="16"/>
        </w:rPr>
        <w:t xml:space="preserve">Restricted Cubic Spline Analysis of the Association Between the </w:t>
      </w: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TyG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Index and Risk of New-onset Frailty.</w:t>
      </w:r>
      <w:r>
        <w:rPr>
          <w:rFonts w:ascii="Arial" w:hAnsi="Arial" w:cs="Arial" w:hint="eastAsia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Abbreviations: </w:t>
      </w:r>
      <w:proofErr w:type="spellStart"/>
      <w:r>
        <w:rPr>
          <w:rFonts w:ascii="Arial" w:hAnsi="Arial" w:cs="Arial"/>
          <w:sz w:val="16"/>
          <w:szCs w:val="16"/>
        </w:rPr>
        <w:t>TyG</w:t>
      </w:r>
      <w:proofErr w:type="spellEnd"/>
      <w:r>
        <w:rPr>
          <w:rFonts w:ascii="Arial" w:hAnsi="Arial" w:cs="Arial"/>
          <w:sz w:val="16"/>
          <w:szCs w:val="16"/>
        </w:rPr>
        <w:t>, triglyceride-glucose; HR, hazard ratio; CI, confidence interval</w:t>
      </w:r>
      <w:r>
        <w:rPr>
          <w:rFonts w:ascii="Arial" w:hAnsi="Arial" w:cs="Arial" w:hint="eastAsia"/>
          <w:sz w:val="16"/>
          <w:szCs w:val="16"/>
        </w:rPr>
        <w:t>.</w:t>
      </w:r>
    </w:p>
    <w:p w14:paraId="5661A856" w14:textId="77777777" w:rsidR="00175016" w:rsidRDefault="00175016" w:rsidP="00175016">
      <w:pPr>
        <w:tabs>
          <w:tab w:val="left" w:pos="924"/>
        </w:tabs>
        <w:jc w:val="left"/>
        <w:rPr>
          <w:rFonts w:ascii="Arial" w:hAnsi="Arial" w:cs="Arial"/>
          <w:sz w:val="16"/>
          <w:szCs w:val="16"/>
        </w:rPr>
      </w:pPr>
    </w:p>
    <w:p w14:paraId="0026588A" w14:textId="201ED758" w:rsidR="00175016" w:rsidRPr="00A2372E" w:rsidRDefault="00175016" w:rsidP="00175016">
      <w:pPr>
        <w:tabs>
          <w:tab w:val="left" w:pos="924"/>
        </w:tabs>
        <w:jc w:val="left"/>
        <w:rPr>
          <w:rFonts w:ascii="Arial" w:hAnsi="Arial" w:cs="Arial"/>
          <w:b/>
          <w:bCs/>
          <w:sz w:val="16"/>
          <w:szCs w:val="16"/>
        </w:rPr>
        <w:sectPr w:rsidR="00175016" w:rsidRPr="00A2372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05FC306" w14:textId="28C72E66" w:rsidR="0064484E" w:rsidRDefault="0064484E" w:rsidP="00175016">
      <w:pPr>
        <w:rPr>
          <w:rFonts w:ascii="Arial" w:hAnsi="Arial" w:cs="Arial"/>
          <w:b/>
          <w:bCs/>
          <w:sz w:val="24"/>
          <w:szCs w:val="32"/>
        </w:rPr>
      </w:pPr>
      <w:r w:rsidRPr="0064484E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Arial" w:hAnsi="Arial" w:cs="Arial" w:hint="eastAsia"/>
          <w:b/>
          <w:bCs/>
          <w:noProof/>
          <w:sz w:val="24"/>
          <w:szCs w:val="32"/>
        </w:rPr>
        <w:drawing>
          <wp:inline distT="0" distB="0" distL="0" distR="0" wp14:anchorId="5354664A" wp14:editId="66479972">
            <wp:extent cx="4429442" cy="5287224"/>
            <wp:effectExtent l="0" t="0" r="9525" b="8890"/>
            <wp:docPr id="13599116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911636" name="图片 1359911636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8" b="20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5287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5016" w:rsidRPr="00175016">
        <w:rPr>
          <w:rFonts w:ascii="Arial" w:hAnsi="Arial" w:cs="Arial" w:hint="eastAsia"/>
          <w:b/>
          <w:bCs/>
          <w:sz w:val="24"/>
          <w:szCs w:val="32"/>
        </w:rPr>
        <w:t xml:space="preserve"> </w:t>
      </w:r>
    </w:p>
    <w:p w14:paraId="7FBAA779" w14:textId="1D7335C6" w:rsidR="00311D47" w:rsidRDefault="00175016" w:rsidP="00175016">
      <w:pPr>
        <w:rPr>
          <w:rFonts w:ascii="Arial" w:hAnsi="Arial" w:cs="Arial"/>
          <w:sz w:val="16"/>
          <w:szCs w:val="16"/>
        </w:rPr>
      </w:pP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eFigure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5. Subgroup Analyses of the Association Between the </w:t>
      </w:r>
      <w:proofErr w:type="spellStart"/>
      <w:r w:rsidRPr="00A2372E">
        <w:rPr>
          <w:rFonts w:ascii="Arial" w:hAnsi="Arial" w:cs="Arial"/>
          <w:b/>
          <w:bCs/>
          <w:sz w:val="16"/>
          <w:szCs w:val="16"/>
        </w:rPr>
        <w:t>TyG</w:t>
      </w:r>
      <w:proofErr w:type="spellEnd"/>
      <w:r w:rsidRPr="00A2372E">
        <w:rPr>
          <w:rFonts w:ascii="Arial" w:hAnsi="Arial" w:cs="Arial"/>
          <w:b/>
          <w:bCs/>
          <w:sz w:val="16"/>
          <w:szCs w:val="16"/>
        </w:rPr>
        <w:t xml:space="preserve"> index and Risk of New-Onset Frailty. </w:t>
      </w:r>
      <w:r w:rsidRPr="00175016">
        <w:rPr>
          <w:rFonts w:ascii="Arial" w:hAnsi="Arial" w:cs="Arial"/>
          <w:sz w:val="16"/>
          <w:szCs w:val="16"/>
        </w:rPr>
        <w:t>Abbreviations: HR, hazard ratio; CI, confidence interval</w:t>
      </w:r>
      <w:r w:rsidR="00757DCF" w:rsidRPr="00175016">
        <w:rPr>
          <w:rFonts w:ascii="Arial" w:hAnsi="Arial" w:cs="Arial"/>
          <w:sz w:val="16"/>
          <w:szCs w:val="16"/>
        </w:rPr>
        <w:t xml:space="preserve">; BMI, </w:t>
      </w:r>
      <w:r w:rsidR="00757DCF" w:rsidRPr="00A2372E">
        <w:rPr>
          <w:rFonts w:ascii="Arial" w:hAnsi="Arial" w:cs="Arial"/>
          <w:sz w:val="16"/>
          <w:szCs w:val="16"/>
        </w:rPr>
        <w:t xml:space="preserve">body mass index; </w:t>
      </w:r>
      <w:r w:rsidR="00CB1236" w:rsidRPr="00A2372E">
        <w:rPr>
          <w:rFonts w:ascii="Arial" w:hAnsi="Arial" w:cs="Arial"/>
          <w:sz w:val="16"/>
          <w:szCs w:val="16"/>
        </w:rPr>
        <w:t xml:space="preserve">WC, waist circumference; eGFR, estimated glomerular filtration rate; CRP, C-reactive protein; TC, total </w:t>
      </w:r>
      <w:r w:rsidR="00CB1236" w:rsidRPr="00175016">
        <w:rPr>
          <w:rFonts w:ascii="Arial" w:hAnsi="Arial" w:cs="Arial"/>
          <w:sz w:val="16"/>
          <w:szCs w:val="16"/>
        </w:rPr>
        <w:t>cholesterol</w:t>
      </w:r>
      <w:r w:rsidR="00CB1236" w:rsidRPr="00A2372E">
        <w:rPr>
          <w:rFonts w:ascii="Arial" w:hAnsi="Arial" w:cs="Arial"/>
          <w:sz w:val="16"/>
          <w:szCs w:val="16"/>
        </w:rPr>
        <w:t>; HDL</w:t>
      </w:r>
      <w:r w:rsidR="0064484E">
        <w:rPr>
          <w:rFonts w:ascii="Arial" w:hAnsi="Arial" w:cs="Arial" w:hint="eastAsia"/>
          <w:sz w:val="16"/>
          <w:szCs w:val="16"/>
        </w:rPr>
        <w:t>-C</w:t>
      </w:r>
      <w:r w:rsidR="00CB1236" w:rsidRPr="00A2372E">
        <w:rPr>
          <w:rFonts w:ascii="Arial" w:hAnsi="Arial" w:cs="Arial"/>
          <w:sz w:val="16"/>
          <w:szCs w:val="16"/>
        </w:rPr>
        <w:t>,</w:t>
      </w:r>
      <w:r w:rsidR="00757DCF" w:rsidRPr="00175016">
        <w:rPr>
          <w:rFonts w:ascii="Arial" w:hAnsi="Arial" w:cs="Arial"/>
          <w:sz w:val="16"/>
          <w:szCs w:val="16"/>
        </w:rPr>
        <w:t xml:space="preserve"> </w:t>
      </w:r>
      <w:r w:rsidR="00757DCF" w:rsidRPr="00A2372E">
        <w:rPr>
          <w:rFonts w:ascii="Arial" w:hAnsi="Arial" w:cs="Arial"/>
          <w:sz w:val="16"/>
          <w:szCs w:val="16"/>
        </w:rPr>
        <w:t>high-density lipoprotein</w:t>
      </w:r>
      <w:r w:rsidR="0058211E">
        <w:rPr>
          <w:rFonts w:ascii="Arial" w:hAnsi="Arial" w:cs="Arial" w:hint="eastAsia"/>
          <w:sz w:val="16"/>
          <w:szCs w:val="16"/>
        </w:rPr>
        <w:t xml:space="preserve"> </w:t>
      </w:r>
      <w:r w:rsidR="0058211E" w:rsidRPr="0058211E">
        <w:rPr>
          <w:rFonts w:ascii="Arial" w:hAnsi="Arial" w:cs="Arial"/>
          <w:sz w:val="16"/>
          <w:szCs w:val="16"/>
        </w:rPr>
        <w:t>cholesterol</w:t>
      </w:r>
      <w:r w:rsidRPr="00175016">
        <w:rPr>
          <w:rFonts w:ascii="Arial" w:hAnsi="Arial" w:cs="Arial"/>
          <w:sz w:val="16"/>
          <w:szCs w:val="16"/>
        </w:rPr>
        <w:t>.</w:t>
      </w:r>
    </w:p>
    <w:p w14:paraId="3D6B002B" w14:textId="77777777" w:rsidR="00311D47" w:rsidRDefault="00311D47"/>
    <w:sectPr w:rsidR="00311D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3770" w14:textId="77777777" w:rsidR="00E03639" w:rsidRDefault="00E03639" w:rsidP="00E42E0E">
      <w:r>
        <w:separator/>
      </w:r>
    </w:p>
  </w:endnote>
  <w:endnote w:type="continuationSeparator" w:id="0">
    <w:p w14:paraId="2AF2A4C6" w14:textId="77777777" w:rsidR="00E03639" w:rsidRDefault="00E03639" w:rsidP="00E4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Light">
    <w:altName w:val="Segoe UI Light"/>
    <w:charset w:val="00"/>
    <w:family w:val="auto"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D6549" w14:textId="77777777" w:rsidR="00E03639" w:rsidRDefault="00E03639" w:rsidP="00E42E0E">
      <w:r>
        <w:separator/>
      </w:r>
    </w:p>
  </w:footnote>
  <w:footnote w:type="continuationSeparator" w:id="0">
    <w:p w14:paraId="660B6827" w14:textId="77777777" w:rsidR="00E03639" w:rsidRDefault="00E03639" w:rsidP="00E42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C1C96"/>
    <w:multiLevelType w:val="hybridMultilevel"/>
    <w:tmpl w:val="7E10901C"/>
    <w:lvl w:ilvl="0" w:tplc="D4B2384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852186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1D47"/>
    <w:rsid w:val="00053231"/>
    <w:rsid w:val="0007785E"/>
    <w:rsid w:val="000B760F"/>
    <w:rsid w:val="000E0FCF"/>
    <w:rsid w:val="000E1160"/>
    <w:rsid w:val="000F2BCA"/>
    <w:rsid w:val="00173393"/>
    <w:rsid w:val="00175016"/>
    <w:rsid w:val="001B1ADD"/>
    <w:rsid w:val="00211B50"/>
    <w:rsid w:val="00230105"/>
    <w:rsid w:val="002850EF"/>
    <w:rsid w:val="002A1694"/>
    <w:rsid w:val="002A75D8"/>
    <w:rsid w:val="00311D47"/>
    <w:rsid w:val="0031542A"/>
    <w:rsid w:val="00325642"/>
    <w:rsid w:val="003D7574"/>
    <w:rsid w:val="003E32EB"/>
    <w:rsid w:val="004F3993"/>
    <w:rsid w:val="0052667B"/>
    <w:rsid w:val="005624F9"/>
    <w:rsid w:val="005754F4"/>
    <w:rsid w:val="0057589E"/>
    <w:rsid w:val="0058211E"/>
    <w:rsid w:val="005D78C2"/>
    <w:rsid w:val="005E0B92"/>
    <w:rsid w:val="00603B83"/>
    <w:rsid w:val="0064484E"/>
    <w:rsid w:val="006678C6"/>
    <w:rsid w:val="00674CBA"/>
    <w:rsid w:val="006D2B4B"/>
    <w:rsid w:val="006F043F"/>
    <w:rsid w:val="006F6325"/>
    <w:rsid w:val="00712D1D"/>
    <w:rsid w:val="00757DCF"/>
    <w:rsid w:val="00763E44"/>
    <w:rsid w:val="0077284C"/>
    <w:rsid w:val="007A08A7"/>
    <w:rsid w:val="007C3665"/>
    <w:rsid w:val="007E0A48"/>
    <w:rsid w:val="007E60E2"/>
    <w:rsid w:val="008449C8"/>
    <w:rsid w:val="008624AE"/>
    <w:rsid w:val="00892F7A"/>
    <w:rsid w:val="008B4F36"/>
    <w:rsid w:val="008C0C53"/>
    <w:rsid w:val="00923BC8"/>
    <w:rsid w:val="009604E5"/>
    <w:rsid w:val="00A2372E"/>
    <w:rsid w:val="00A5378B"/>
    <w:rsid w:val="00BC25C0"/>
    <w:rsid w:val="00BC4536"/>
    <w:rsid w:val="00C44E21"/>
    <w:rsid w:val="00C561EF"/>
    <w:rsid w:val="00C6371C"/>
    <w:rsid w:val="00CB1236"/>
    <w:rsid w:val="00CB1345"/>
    <w:rsid w:val="00D4304F"/>
    <w:rsid w:val="00DA4313"/>
    <w:rsid w:val="00DC4AE1"/>
    <w:rsid w:val="00E03639"/>
    <w:rsid w:val="00E42E0E"/>
    <w:rsid w:val="00E5559B"/>
    <w:rsid w:val="00E733E5"/>
    <w:rsid w:val="00EA7847"/>
    <w:rsid w:val="00EB54AB"/>
    <w:rsid w:val="00F1549C"/>
    <w:rsid w:val="00F371CA"/>
    <w:rsid w:val="00F75B45"/>
    <w:rsid w:val="0C5A302A"/>
    <w:rsid w:val="2F2F6A0F"/>
    <w:rsid w:val="31E75CF0"/>
    <w:rsid w:val="4CBB7CB4"/>
    <w:rsid w:val="65626892"/>
    <w:rsid w:val="68F4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B7B400"/>
  <w15:docId w15:val="{4F4528D6-A3DB-4786-AF1F-44D64D15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qFormat/>
    <w:rPr>
      <w:b/>
    </w:rPr>
  </w:style>
  <w:style w:type="table" w:customStyle="1" w:styleId="1">
    <w:name w:val="网格型1"/>
    <w:basedOn w:val="a1"/>
    <w:uiPriority w:val="99"/>
    <w:qFormat/>
    <w:pPr>
      <w:widowControl w:val="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E42E0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E42E0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E42E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E42E0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Revision"/>
    <w:hidden/>
    <w:uiPriority w:val="99"/>
    <w:unhideWhenUsed/>
    <w:rsid w:val="00E42E0E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a">
    <w:name w:val="List Paragraph"/>
    <w:basedOn w:val="a"/>
    <w:uiPriority w:val="99"/>
    <w:unhideWhenUsed/>
    <w:rsid w:val="0023010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8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Jingjing Hou</dc:creator>
  <cp:lastModifiedBy>Jingjing Hou</cp:lastModifiedBy>
  <cp:revision>54</cp:revision>
  <dcterms:created xsi:type="dcterms:W3CDTF">2024-12-27T02:30:00Z</dcterms:created>
  <dcterms:modified xsi:type="dcterms:W3CDTF">2026-01-07T09:48:00Z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eyJoZGlkIjoiNTQyMDlkMDY1NWEyMjExMmQ4ZWY5ODgxM2NjMGZlYWEiLCJ1c2VySWQiOiI0MDY3OTA1MDcifQ==</vt:lpwstr>
  </property>
  <property fmtid="{D5CDD505-2E9C-101B-9397-08002B2CF9AE}" pid="4" name="ICV">
    <vt:lpwstr>E0EEF3DA9B29438F8DD6BB936DE644CD_12</vt:lpwstr>
  </property>
</Properties>
</file>