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67E2" w:rsidRPr="00D667E2" w:rsidRDefault="00D667E2" w:rsidP="00D667E2">
      <w:pPr>
        <w:widowControl/>
        <w:shd w:val="clear" w:color="auto" w:fill="FFFFFF"/>
        <w:spacing w:line="420" w:lineRule="atLeast"/>
        <w:jc w:val="left"/>
        <w:outlineLvl w:val="2"/>
        <w:rPr>
          <w:rFonts w:ascii="Helvetica Neue" w:eastAsia="宋体" w:hAnsi="Helvetica Neue" w:cs="宋体"/>
          <w:color w:val="000000"/>
          <w:kern w:val="0"/>
          <w:sz w:val="33"/>
          <w:szCs w:val="33"/>
        </w:rPr>
      </w:pPr>
      <w:r w:rsidRPr="00D667E2">
        <w:rPr>
          <w:rFonts w:ascii="Helvetica Neue" w:eastAsia="宋体" w:hAnsi="Helvetica Neue" w:cs="宋体"/>
          <w:b/>
          <w:bCs/>
          <w:color w:val="000000"/>
          <w:kern w:val="0"/>
          <w:sz w:val="33"/>
          <w:szCs w:val="33"/>
        </w:rPr>
        <w:t>Supplementary Appendix S1. Variable Definitions and Coding</w:t>
      </w:r>
    </w:p>
    <w:p w:rsidR="00D667E2" w:rsidRPr="00D667E2" w:rsidRDefault="00D667E2" w:rsidP="00D667E2">
      <w:pPr>
        <w:widowControl/>
        <w:shd w:val="clear" w:color="auto" w:fill="FFFFFF"/>
        <w:spacing w:before="100" w:beforeAutospacing="1" w:after="270"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1. Outcome Variable: Multimorbidity</w:t>
      </w:r>
      <w:r w:rsidRPr="00D667E2">
        <w:rPr>
          <w:rFonts w:ascii="Helvetica Neue" w:eastAsia="宋体" w:hAnsi="Helvetica Neue" w:cs="宋体"/>
          <w:color w:val="000000"/>
          <w:kern w:val="0"/>
          <w:szCs w:val="21"/>
        </w:rPr>
        <w:br/>
      </w:r>
      <w:proofErr w:type="spellStart"/>
      <w:r w:rsidRPr="00D667E2">
        <w:rPr>
          <w:rFonts w:ascii="Helvetica Neue" w:eastAsia="宋体" w:hAnsi="Helvetica Neue" w:cs="宋体"/>
          <w:color w:val="000000"/>
          <w:kern w:val="0"/>
          <w:szCs w:val="21"/>
        </w:rPr>
        <w:t>Multimorbidity</w:t>
      </w:r>
      <w:proofErr w:type="spellEnd"/>
      <w:r w:rsidRPr="00D667E2">
        <w:rPr>
          <w:rFonts w:ascii="Helvetica Neue" w:eastAsia="宋体" w:hAnsi="Helvetica Neue" w:cs="宋体"/>
          <w:color w:val="000000"/>
          <w:kern w:val="0"/>
          <w:szCs w:val="21"/>
        </w:rPr>
        <w:t xml:space="preserve"> was defined as the presence of three or more self-reported, physician-diagnosed chronic conditions at any CHARLS survey wave. The following 14 chronic diseases were included (binary coding: 1 = present, 0 = absent):</w:t>
      </w:r>
    </w:p>
    <w:p w:rsidR="00D667E2" w:rsidRPr="00D667E2" w:rsidRDefault="00D667E2" w:rsidP="00D667E2">
      <w:pPr>
        <w:widowControl/>
        <w:numPr>
          <w:ilvl w:val="0"/>
          <w:numId w:val="34"/>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color w:val="000000"/>
          <w:kern w:val="0"/>
          <w:szCs w:val="21"/>
        </w:rPr>
        <w:t>Hypertension</w:t>
      </w:r>
    </w:p>
    <w:p w:rsidR="00D667E2" w:rsidRPr="00D667E2" w:rsidRDefault="00D667E2" w:rsidP="00D667E2">
      <w:pPr>
        <w:widowControl/>
        <w:numPr>
          <w:ilvl w:val="0"/>
          <w:numId w:val="34"/>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color w:val="000000"/>
          <w:kern w:val="0"/>
          <w:szCs w:val="21"/>
        </w:rPr>
        <w:t>Diabetes</w:t>
      </w:r>
    </w:p>
    <w:p w:rsidR="00D667E2" w:rsidRPr="00D667E2" w:rsidRDefault="00D667E2" w:rsidP="00D667E2">
      <w:pPr>
        <w:widowControl/>
        <w:numPr>
          <w:ilvl w:val="0"/>
          <w:numId w:val="34"/>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color w:val="000000"/>
          <w:kern w:val="0"/>
          <w:szCs w:val="21"/>
        </w:rPr>
        <w:t>Dyslipidemia</w:t>
      </w:r>
    </w:p>
    <w:p w:rsidR="00D667E2" w:rsidRPr="00D667E2" w:rsidRDefault="00D667E2" w:rsidP="00D667E2">
      <w:pPr>
        <w:widowControl/>
        <w:numPr>
          <w:ilvl w:val="0"/>
          <w:numId w:val="34"/>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color w:val="000000"/>
          <w:kern w:val="0"/>
          <w:szCs w:val="21"/>
        </w:rPr>
        <w:t>Cancer</w:t>
      </w:r>
    </w:p>
    <w:p w:rsidR="00D667E2" w:rsidRPr="00D667E2" w:rsidRDefault="00D667E2" w:rsidP="00D667E2">
      <w:pPr>
        <w:widowControl/>
        <w:numPr>
          <w:ilvl w:val="0"/>
          <w:numId w:val="34"/>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color w:val="000000"/>
          <w:kern w:val="0"/>
          <w:szCs w:val="21"/>
        </w:rPr>
        <w:t>Chronic lung disease</w:t>
      </w:r>
    </w:p>
    <w:p w:rsidR="00D667E2" w:rsidRPr="00D667E2" w:rsidRDefault="00D667E2" w:rsidP="00D667E2">
      <w:pPr>
        <w:widowControl/>
        <w:numPr>
          <w:ilvl w:val="0"/>
          <w:numId w:val="34"/>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color w:val="000000"/>
          <w:kern w:val="0"/>
          <w:szCs w:val="21"/>
        </w:rPr>
        <w:t>Liver disease</w:t>
      </w:r>
    </w:p>
    <w:p w:rsidR="00D667E2" w:rsidRPr="00D667E2" w:rsidRDefault="00D667E2" w:rsidP="00D667E2">
      <w:pPr>
        <w:widowControl/>
        <w:numPr>
          <w:ilvl w:val="0"/>
          <w:numId w:val="34"/>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color w:val="000000"/>
          <w:kern w:val="0"/>
          <w:szCs w:val="21"/>
        </w:rPr>
        <w:t>Heart disease</w:t>
      </w:r>
    </w:p>
    <w:p w:rsidR="00D667E2" w:rsidRPr="00D667E2" w:rsidRDefault="00D667E2" w:rsidP="00D667E2">
      <w:pPr>
        <w:widowControl/>
        <w:numPr>
          <w:ilvl w:val="0"/>
          <w:numId w:val="34"/>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color w:val="000000"/>
          <w:kern w:val="0"/>
          <w:szCs w:val="21"/>
        </w:rPr>
        <w:t>Stroke</w:t>
      </w:r>
    </w:p>
    <w:p w:rsidR="00D667E2" w:rsidRPr="00D667E2" w:rsidRDefault="00D667E2" w:rsidP="00D667E2">
      <w:pPr>
        <w:widowControl/>
        <w:numPr>
          <w:ilvl w:val="0"/>
          <w:numId w:val="34"/>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color w:val="000000"/>
          <w:kern w:val="0"/>
          <w:szCs w:val="21"/>
        </w:rPr>
        <w:t>Kidney disease</w:t>
      </w:r>
    </w:p>
    <w:p w:rsidR="00D667E2" w:rsidRPr="00D667E2" w:rsidRDefault="00D667E2" w:rsidP="00D667E2">
      <w:pPr>
        <w:widowControl/>
        <w:numPr>
          <w:ilvl w:val="0"/>
          <w:numId w:val="34"/>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color w:val="000000"/>
          <w:kern w:val="0"/>
          <w:szCs w:val="21"/>
        </w:rPr>
        <w:t>Digestive disorders</w:t>
      </w:r>
    </w:p>
    <w:p w:rsidR="00D667E2" w:rsidRPr="00D667E2" w:rsidRDefault="00D667E2" w:rsidP="00D667E2">
      <w:pPr>
        <w:widowControl/>
        <w:numPr>
          <w:ilvl w:val="0"/>
          <w:numId w:val="34"/>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color w:val="000000"/>
          <w:kern w:val="0"/>
          <w:szCs w:val="21"/>
        </w:rPr>
        <w:t>Mental disorders</w:t>
      </w:r>
    </w:p>
    <w:p w:rsidR="00D667E2" w:rsidRPr="00D667E2" w:rsidRDefault="00D667E2" w:rsidP="00D667E2">
      <w:pPr>
        <w:widowControl/>
        <w:numPr>
          <w:ilvl w:val="0"/>
          <w:numId w:val="34"/>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color w:val="000000"/>
          <w:kern w:val="0"/>
          <w:szCs w:val="21"/>
        </w:rPr>
        <w:t>Memory-related diseases</w:t>
      </w:r>
    </w:p>
    <w:p w:rsidR="00D667E2" w:rsidRPr="00D667E2" w:rsidRDefault="00D667E2" w:rsidP="00D667E2">
      <w:pPr>
        <w:widowControl/>
        <w:numPr>
          <w:ilvl w:val="0"/>
          <w:numId w:val="34"/>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color w:val="000000"/>
          <w:kern w:val="0"/>
          <w:szCs w:val="21"/>
        </w:rPr>
        <w:t>Arthritis or rheumatism</w:t>
      </w:r>
    </w:p>
    <w:p w:rsidR="00D667E2" w:rsidRPr="00D667E2" w:rsidRDefault="00D667E2" w:rsidP="00D667E2">
      <w:pPr>
        <w:widowControl/>
        <w:numPr>
          <w:ilvl w:val="0"/>
          <w:numId w:val="34"/>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color w:val="000000"/>
          <w:kern w:val="0"/>
          <w:szCs w:val="21"/>
        </w:rPr>
        <w:t>Asthma</w:t>
      </w:r>
      <w:r w:rsidRPr="00D667E2">
        <w:rPr>
          <w:rFonts w:ascii="Helvetica Neue" w:eastAsia="宋体" w:hAnsi="Helvetica Neue" w:cs="宋体"/>
          <w:color w:val="000000"/>
          <w:kern w:val="0"/>
          <w:szCs w:val="21"/>
        </w:rPr>
        <w:br/>
        <w:t>At each wave, participants were classified as having multimorbidity (≥3 conditions) or not (&lt;3 conditions).</w:t>
      </w:r>
    </w:p>
    <w:p w:rsidR="00D667E2" w:rsidRPr="00D667E2" w:rsidRDefault="00D667E2" w:rsidP="00D667E2">
      <w:pPr>
        <w:widowControl/>
        <w:jc w:val="left"/>
        <w:rPr>
          <w:rFonts w:ascii="宋体" w:eastAsia="宋体" w:hAnsi="宋体" w:cs="宋体"/>
          <w:kern w:val="0"/>
          <w:sz w:val="24"/>
          <w:szCs w:val="24"/>
        </w:rPr>
      </w:pPr>
      <w:r w:rsidRPr="00D667E2">
        <w:rPr>
          <w:rFonts w:ascii="宋体" w:eastAsia="宋体" w:hAnsi="宋体" w:cs="宋体"/>
          <w:kern w:val="0"/>
          <w:sz w:val="24"/>
          <w:szCs w:val="24"/>
        </w:rPr>
        <w:pict>
          <v:rect id="_x0000_i1037" style="width:396.55pt;height:1.5pt" o:hrpct="0" o:hralign="center" o:hrstd="t" o:hrnoshade="t" o:hr="t" fillcolor="black" stroked="f"/>
        </w:pict>
      </w:r>
    </w:p>
    <w:p w:rsidR="00D667E2" w:rsidRPr="00D667E2" w:rsidRDefault="00D667E2" w:rsidP="00D667E2">
      <w:pPr>
        <w:widowControl/>
        <w:shd w:val="clear" w:color="auto" w:fill="FFFFFF"/>
        <w:spacing w:before="100" w:beforeAutospacing="1" w:after="270"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2. Covariates as Presented in Baseline Characteristics (Table 1)</w:t>
      </w:r>
    </w:p>
    <w:p w:rsidR="00D667E2" w:rsidRPr="00D667E2" w:rsidRDefault="00D667E2" w:rsidP="00D667E2">
      <w:pPr>
        <w:widowControl/>
        <w:shd w:val="clear" w:color="auto" w:fill="FFFFFF"/>
        <w:spacing w:before="100" w:beforeAutospacing="1" w:after="270"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2.1 Demographic Characteristics</w:t>
      </w:r>
    </w:p>
    <w:p w:rsidR="00D667E2" w:rsidRPr="00D667E2" w:rsidRDefault="00D667E2" w:rsidP="00D667E2">
      <w:pPr>
        <w:widowControl/>
        <w:numPr>
          <w:ilvl w:val="0"/>
          <w:numId w:val="35"/>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Age:</w:t>
      </w:r>
      <w:r w:rsidRPr="00D667E2">
        <w:rPr>
          <w:rFonts w:ascii="Helvetica Neue" w:eastAsia="宋体" w:hAnsi="Helvetica Neue" w:cs="宋体"/>
          <w:color w:val="000000"/>
          <w:kern w:val="0"/>
          <w:szCs w:val="21"/>
        </w:rPr>
        <w:t> Continuous variable (in years), presented as mean ± SD.</w:t>
      </w:r>
    </w:p>
    <w:p w:rsidR="00D667E2" w:rsidRPr="00D667E2" w:rsidRDefault="00D667E2" w:rsidP="00D667E2">
      <w:pPr>
        <w:widowControl/>
        <w:numPr>
          <w:ilvl w:val="0"/>
          <w:numId w:val="35"/>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Sex:</w:t>
      </w:r>
      <w:r w:rsidRPr="00D667E2">
        <w:rPr>
          <w:rFonts w:ascii="Helvetica Neue" w:eastAsia="宋体" w:hAnsi="Helvetica Neue" w:cs="宋体"/>
          <w:color w:val="000000"/>
          <w:kern w:val="0"/>
          <w:szCs w:val="21"/>
        </w:rPr>
        <w:t> Categorical: Male / Female.</w:t>
      </w:r>
    </w:p>
    <w:p w:rsidR="00D667E2" w:rsidRPr="00D667E2" w:rsidRDefault="00D667E2" w:rsidP="00D667E2">
      <w:pPr>
        <w:widowControl/>
        <w:numPr>
          <w:ilvl w:val="0"/>
          <w:numId w:val="35"/>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Marital Status:</w:t>
      </w:r>
      <w:r w:rsidRPr="00D667E2">
        <w:rPr>
          <w:rFonts w:ascii="Helvetica Neue" w:eastAsia="宋体" w:hAnsi="Helvetica Neue" w:cs="宋体"/>
          <w:color w:val="000000"/>
          <w:kern w:val="0"/>
          <w:szCs w:val="21"/>
        </w:rPr>
        <w:t> Categorical: Married / Divorced / Never married / Widowed / Separated / Married but living separately.</w:t>
      </w:r>
    </w:p>
    <w:p w:rsidR="00D667E2" w:rsidRPr="00D667E2" w:rsidRDefault="00D667E2" w:rsidP="00D667E2">
      <w:pPr>
        <w:widowControl/>
        <w:numPr>
          <w:ilvl w:val="0"/>
          <w:numId w:val="35"/>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Residential Classification:</w:t>
      </w:r>
      <w:r w:rsidRPr="00D667E2">
        <w:rPr>
          <w:rFonts w:ascii="Helvetica Neue" w:eastAsia="宋体" w:hAnsi="Helvetica Neue" w:cs="宋体"/>
          <w:color w:val="000000"/>
          <w:kern w:val="0"/>
          <w:szCs w:val="21"/>
        </w:rPr>
        <w:t> Categorical: Urban / Rural (based on national statistical codes).</w:t>
      </w:r>
    </w:p>
    <w:p w:rsidR="00D667E2" w:rsidRPr="00D667E2" w:rsidRDefault="00D667E2" w:rsidP="00D667E2">
      <w:pPr>
        <w:widowControl/>
        <w:shd w:val="clear" w:color="auto" w:fill="FFFFFF"/>
        <w:spacing w:before="100" w:beforeAutospacing="1" w:after="270"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2.2 Socioeconomic Status</w:t>
      </w:r>
    </w:p>
    <w:p w:rsidR="00D667E2" w:rsidRPr="00D667E2" w:rsidRDefault="00D667E2" w:rsidP="00D667E2">
      <w:pPr>
        <w:widowControl/>
        <w:numPr>
          <w:ilvl w:val="0"/>
          <w:numId w:val="36"/>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Education Level:</w:t>
      </w:r>
      <w:r w:rsidRPr="00D667E2">
        <w:rPr>
          <w:rFonts w:ascii="Helvetica Neue" w:eastAsia="宋体" w:hAnsi="Helvetica Neue" w:cs="宋体"/>
          <w:color w:val="000000"/>
          <w:kern w:val="0"/>
          <w:szCs w:val="21"/>
        </w:rPr>
        <w:t> Categorical, recoded into three groups:</w:t>
      </w:r>
    </w:p>
    <w:p w:rsidR="00D667E2" w:rsidRPr="00D667E2" w:rsidRDefault="00D667E2" w:rsidP="00D667E2">
      <w:pPr>
        <w:widowControl/>
        <w:numPr>
          <w:ilvl w:val="1"/>
          <w:numId w:val="36"/>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color w:val="000000"/>
          <w:kern w:val="0"/>
          <w:szCs w:val="21"/>
        </w:rPr>
        <w:t>Below junior high school</w:t>
      </w:r>
    </w:p>
    <w:p w:rsidR="00D667E2" w:rsidRPr="00D667E2" w:rsidRDefault="00D667E2" w:rsidP="00D667E2">
      <w:pPr>
        <w:widowControl/>
        <w:numPr>
          <w:ilvl w:val="1"/>
          <w:numId w:val="36"/>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color w:val="000000"/>
          <w:kern w:val="0"/>
          <w:szCs w:val="21"/>
        </w:rPr>
        <w:lastRenderedPageBreak/>
        <w:t>High school</w:t>
      </w:r>
    </w:p>
    <w:p w:rsidR="00D667E2" w:rsidRPr="00D667E2" w:rsidRDefault="00D667E2" w:rsidP="00D667E2">
      <w:pPr>
        <w:widowControl/>
        <w:numPr>
          <w:ilvl w:val="1"/>
          <w:numId w:val="36"/>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color w:val="000000"/>
          <w:kern w:val="0"/>
          <w:szCs w:val="21"/>
        </w:rPr>
        <w:t>College or above</w:t>
      </w:r>
    </w:p>
    <w:p w:rsidR="00D667E2" w:rsidRPr="00D667E2" w:rsidRDefault="00D667E2" w:rsidP="00D667E2">
      <w:pPr>
        <w:widowControl/>
        <w:numPr>
          <w:ilvl w:val="0"/>
          <w:numId w:val="36"/>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Employment Status (Work):</w:t>
      </w:r>
      <w:r w:rsidRPr="00D667E2">
        <w:rPr>
          <w:rFonts w:ascii="Helvetica Neue" w:eastAsia="宋体" w:hAnsi="Helvetica Neue" w:cs="宋体"/>
          <w:color w:val="000000"/>
          <w:kern w:val="0"/>
          <w:szCs w:val="21"/>
        </w:rPr>
        <w:t> Categorical: Employed / Unemployed.</w:t>
      </w:r>
    </w:p>
    <w:p w:rsidR="00D667E2" w:rsidRPr="00D667E2" w:rsidRDefault="00D667E2" w:rsidP="00D667E2">
      <w:pPr>
        <w:widowControl/>
        <w:numPr>
          <w:ilvl w:val="0"/>
          <w:numId w:val="36"/>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Retirement Status (Retire):</w:t>
      </w:r>
      <w:r w:rsidRPr="00D667E2">
        <w:rPr>
          <w:rFonts w:ascii="Helvetica Neue" w:eastAsia="宋体" w:hAnsi="Helvetica Neue" w:cs="宋体"/>
          <w:color w:val="000000"/>
          <w:kern w:val="0"/>
          <w:szCs w:val="21"/>
        </w:rPr>
        <w:t> Categorical: Yes / No.</w:t>
      </w:r>
    </w:p>
    <w:p w:rsidR="00D667E2" w:rsidRPr="00D667E2" w:rsidRDefault="00D667E2" w:rsidP="00D667E2">
      <w:pPr>
        <w:widowControl/>
        <w:numPr>
          <w:ilvl w:val="0"/>
          <w:numId w:val="36"/>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Pension Status:</w:t>
      </w:r>
      <w:r w:rsidRPr="00D667E2">
        <w:rPr>
          <w:rFonts w:ascii="Helvetica Neue" w:eastAsia="宋体" w:hAnsi="Helvetica Neue" w:cs="宋体"/>
          <w:color w:val="000000"/>
          <w:kern w:val="0"/>
          <w:szCs w:val="21"/>
        </w:rPr>
        <w:t> Categorical: Yes / No (Receiving a pension).</w:t>
      </w:r>
    </w:p>
    <w:p w:rsidR="00D667E2" w:rsidRPr="00D667E2" w:rsidRDefault="00D667E2" w:rsidP="00D667E2">
      <w:pPr>
        <w:widowControl/>
        <w:numPr>
          <w:ilvl w:val="0"/>
          <w:numId w:val="36"/>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Medical Insurance:</w:t>
      </w:r>
      <w:r w:rsidRPr="00D667E2">
        <w:rPr>
          <w:rFonts w:ascii="Helvetica Neue" w:eastAsia="宋体" w:hAnsi="Helvetica Neue" w:cs="宋体"/>
          <w:color w:val="000000"/>
          <w:kern w:val="0"/>
          <w:szCs w:val="21"/>
        </w:rPr>
        <w:t> Categorical: Yes / No (Covered by any type of medical insurance).</w:t>
      </w:r>
    </w:p>
    <w:p w:rsidR="00D667E2" w:rsidRPr="00D667E2" w:rsidRDefault="00D667E2" w:rsidP="00D667E2">
      <w:pPr>
        <w:widowControl/>
        <w:numPr>
          <w:ilvl w:val="0"/>
          <w:numId w:val="36"/>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Total Income:</w:t>
      </w:r>
      <w:r w:rsidRPr="00D667E2">
        <w:rPr>
          <w:rFonts w:ascii="Helvetica Neue" w:eastAsia="宋体" w:hAnsi="Helvetica Neue" w:cs="宋体"/>
          <w:color w:val="000000"/>
          <w:kern w:val="0"/>
          <w:szCs w:val="21"/>
        </w:rPr>
        <w:t> Continuous variable (annual per capita household income, inflation-adjusted), presented as mean ± SD.</w:t>
      </w:r>
    </w:p>
    <w:p w:rsidR="00D667E2" w:rsidRPr="00D667E2" w:rsidRDefault="00D667E2" w:rsidP="00D667E2">
      <w:pPr>
        <w:widowControl/>
        <w:shd w:val="clear" w:color="auto" w:fill="FFFFFF"/>
        <w:spacing w:before="100" w:beforeAutospacing="1" w:after="270"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2.3 Lifestyle and Behavioral Factors</w:t>
      </w:r>
    </w:p>
    <w:p w:rsidR="00D667E2" w:rsidRPr="00D667E2" w:rsidRDefault="00D667E2" w:rsidP="00D667E2">
      <w:pPr>
        <w:widowControl/>
        <w:numPr>
          <w:ilvl w:val="0"/>
          <w:numId w:val="37"/>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Smoking Status:</w:t>
      </w:r>
      <w:r w:rsidRPr="00D667E2">
        <w:rPr>
          <w:rFonts w:ascii="Helvetica Neue" w:eastAsia="宋体" w:hAnsi="Helvetica Neue" w:cs="宋体"/>
          <w:color w:val="000000"/>
          <w:kern w:val="0"/>
          <w:szCs w:val="21"/>
        </w:rPr>
        <w:t> Categorical, based on current behavior: Yes (current smoker) / No (former or never smoked).</w:t>
      </w:r>
    </w:p>
    <w:p w:rsidR="00D667E2" w:rsidRPr="00D667E2" w:rsidRDefault="00D667E2" w:rsidP="00D667E2">
      <w:pPr>
        <w:widowControl/>
        <w:numPr>
          <w:ilvl w:val="0"/>
          <w:numId w:val="37"/>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Drinking Status:</w:t>
      </w:r>
      <w:r w:rsidRPr="00D667E2">
        <w:rPr>
          <w:rFonts w:ascii="Helvetica Neue" w:eastAsia="宋体" w:hAnsi="Helvetica Neue" w:cs="宋体"/>
          <w:color w:val="000000"/>
          <w:kern w:val="0"/>
          <w:szCs w:val="21"/>
        </w:rPr>
        <w:t> Categorical, based on current behavior: Yes (current drinker) / No (former or never drank).</w:t>
      </w:r>
    </w:p>
    <w:p w:rsidR="00D667E2" w:rsidRPr="00D667E2" w:rsidRDefault="00D667E2" w:rsidP="00D667E2">
      <w:pPr>
        <w:widowControl/>
        <w:numPr>
          <w:ilvl w:val="0"/>
          <w:numId w:val="37"/>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Physical Activity:</w:t>
      </w:r>
      <w:r w:rsidRPr="00D667E2">
        <w:rPr>
          <w:rFonts w:ascii="Helvetica Neue" w:eastAsia="宋体" w:hAnsi="Helvetica Neue" w:cs="宋体"/>
          <w:color w:val="000000"/>
          <w:kern w:val="0"/>
          <w:szCs w:val="21"/>
        </w:rPr>
        <w:t> Categorical: Yes / No (self-reported regular participation).</w:t>
      </w:r>
    </w:p>
    <w:p w:rsidR="00D667E2" w:rsidRPr="00D667E2" w:rsidRDefault="00D667E2" w:rsidP="00D667E2">
      <w:pPr>
        <w:widowControl/>
        <w:numPr>
          <w:ilvl w:val="0"/>
          <w:numId w:val="37"/>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Social Participation:</w:t>
      </w:r>
      <w:r w:rsidRPr="00D667E2">
        <w:rPr>
          <w:rFonts w:ascii="Helvetica Neue" w:eastAsia="宋体" w:hAnsi="Helvetica Neue" w:cs="宋体"/>
          <w:color w:val="000000"/>
          <w:kern w:val="0"/>
          <w:szCs w:val="21"/>
        </w:rPr>
        <w:t> Categorical: Yes / No (self-reported participation in social activities).</w:t>
      </w:r>
    </w:p>
    <w:p w:rsidR="00D667E2" w:rsidRPr="00D667E2" w:rsidRDefault="00D667E2" w:rsidP="00D667E2">
      <w:pPr>
        <w:widowControl/>
        <w:numPr>
          <w:ilvl w:val="0"/>
          <w:numId w:val="37"/>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Sleep Time:</w:t>
      </w:r>
      <w:r w:rsidRPr="00D667E2">
        <w:rPr>
          <w:rFonts w:ascii="Helvetica Neue" w:eastAsia="宋体" w:hAnsi="Helvetica Neue" w:cs="宋体"/>
          <w:color w:val="000000"/>
          <w:kern w:val="0"/>
          <w:szCs w:val="21"/>
        </w:rPr>
        <w:t> Continuous variable (self-reported hours per night), presented as mean ± SD.</w:t>
      </w:r>
    </w:p>
    <w:p w:rsidR="00D667E2" w:rsidRPr="00D667E2" w:rsidRDefault="00D667E2" w:rsidP="00D667E2">
      <w:pPr>
        <w:widowControl/>
        <w:numPr>
          <w:ilvl w:val="0"/>
          <w:numId w:val="37"/>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Sleep Nap:</w:t>
      </w:r>
      <w:r w:rsidRPr="00D667E2">
        <w:rPr>
          <w:rFonts w:ascii="Helvetica Neue" w:eastAsia="宋体" w:hAnsi="Helvetica Neue" w:cs="宋体"/>
          <w:color w:val="000000"/>
          <w:kern w:val="0"/>
          <w:szCs w:val="21"/>
        </w:rPr>
        <w:t> Continuous variable (self-reported hours of nap per day), presented as mean ± SD.</w:t>
      </w:r>
    </w:p>
    <w:p w:rsidR="00D667E2" w:rsidRPr="00D667E2" w:rsidRDefault="00D667E2" w:rsidP="00D667E2">
      <w:pPr>
        <w:widowControl/>
        <w:shd w:val="clear" w:color="auto" w:fill="FFFFFF"/>
        <w:spacing w:before="100" w:beforeAutospacing="1" w:after="270"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2.4 Health-Related Characteristics</w:t>
      </w:r>
    </w:p>
    <w:p w:rsidR="00D667E2" w:rsidRPr="00D667E2" w:rsidRDefault="00D667E2" w:rsidP="00D667E2">
      <w:pPr>
        <w:widowControl/>
        <w:numPr>
          <w:ilvl w:val="0"/>
          <w:numId w:val="38"/>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Self-Rated Health:</w:t>
      </w:r>
      <w:r w:rsidRPr="00D667E2">
        <w:rPr>
          <w:rFonts w:ascii="Helvetica Neue" w:eastAsia="宋体" w:hAnsi="Helvetica Neue" w:cs="宋体"/>
          <w:color w:val="000000"/>
          <w:kern w:val="0"/>
          <w:szCs w:val="21"/>
        </w:rPr>
        <w:t> Categorical, based on a 5-point Likert scale: Excellent / Good / Fair / Poor / Very poor.</w:t>
      </w:r>
    </w:p>
    <w:p w:rsidR="00D667E2" w:rsidRPr="00D667E2" w:rsidRDefault="00D667E2" w:rsidP="00D667E2">
      <w:pPr>
        <w:widowControl/>
        <w:numPr>
          <w:ilvl w:val="0"/>
          <w:numId w:val="38"/>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Dependency Level:</w:t>
      </w:r>
      <w:r w:rsidRPr="00D667E2">
        <w:rPr>
          <w:rFonts w:ascii="Helvetica Neue" w:eastAsia="宋体" w:hAnsi="Helvetica Neue" w:cs="宋体"/>
          <w:color w:val="000000"/>
          <w:kern w:val="0"/>
          <w:szCs w:val="21"/>
        </w:rPr>
        <w:t> Categorical, derived from ADL/IADL assessments:</w:t>
      </w:r>
    </w:p>
    <w:p w:rsidR="00D667E2" w:rsidRPr="00D667E2" w:rsidRDefault="00D667E2" w:rsidP="00D667E2">
      <w:pPr>
        <w:widowControl/>
        <w:numPr>
          <w:ilvl w:val="1"/>
          <w:numId w:val="38"/>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color w:val="000000"/>
          <w:kern w:val="0"/>
          <w:szCs w:val="21"/>
        </w:rPr>
        <w:t>Independent</w:t>
      </w:r>
    </w:p>
    <w:p w:rsidR="00D667E2" w:rsidRPr="00D667E2" w:rsidRDefault="00D667E2" w:rsidP="00D667E2">
      <w:pPr>
        <w:widowControl/>
        <w:numPr>
          <w:ilvl w:val="1"/>
          <w:numId w:val="38"/>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color w:val="000000"/>
          <w:kern w:val="0"/>
          <w:szCs w:val="21"/>
        </w:rPr>
        <w:t>Mildly dependent</w:t>
      </w:r>
    </w:p>
    <w:p w:rsidR="00D667E2" w:rsidRPr="00D667E2" w:rsidRDefault="00D667E2" w:rsidP="00D667E2">
      <w:pPr>
        <w:widowControl/>
        <w:numPr>
          <w:ilvl w:val="1"/>
          <w:numId w:val="38"/>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color w:val="000000"/>
          <w:kern w:val="0"/>
          <w:szCs w:val="21"/>
        </w:rPr>
        <w:t>Moderately dependent</w:t>
      </w:r>
    </w:p>
    <w:p w:rsidR="00D667E2" w:rsidRPr="00D667E2" w:rsidRDefault="00D667E2" w:rsidP="00D667E2">
      <w:pPr>
        <w:widowControl/>
        <w:numPr>
          <w:ilvl w:val="1"/>
          <w:numId w:val="38"/>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color w:val="000000"/>
          <w:kern w:val="0"/>
          <w:szCs w:val="21"/>
        </w:rPr>
        <w:t>Severely dependent</w:t>
      </w:r>
    </w:p>
    <w:p w:rsidR="00D667E2" w:rsidRPr="00D667E2" w:rsidRDefault="00D667E2" w:rsidP="00D667E2">
      <w:pPr>
        <w:widowControl/>
        <w:numPr>
          <w:ilvl w:val="0"/>
          <w:numId w:val="38"/>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Cognitive Status:</w:t>
      </w:r>
      <w:r w:rsidRPr="00D667E2">
        <w:rPr>
          <w:rFonts w:ascii="Helvetica Neue" w:eastAsia="宋体" w:hAnsi="Helvetica Neue" w:cs="宋体"/>
          <w:color w:val="000000"/>
          <w:kern w:val="0"/>
          <w:szCs w:val="21"/>
        </w:rPr>
        <w:t> Categorical, derived from composite scores: Unimpaired / Impaired.</w:t>
      </w:r>
    </w:p>
    <w:p w:rsidR="00D667E2" w:rsidRPr="00D667E2" w:rsidRDefault="00D667E2" w:rsidP="00D667E2">
      <w:pPr>
        <w:widowControl/>
        <w:numPr>
          <w:ilvl w:val="0"/>
          <w:numId w:val="38"/>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ADL Limitations Score:</w:t>
      </w:r>
      <w:r w:rsidRPr="00D667E2">
        <w:rPr>
          <w:rFonts w:ascii="Helvetica Neue" w:eastAsia="宋体" w:hAnsi="Helvetica Neue" w:cs="宋体"/>
          <w:color w:val="000000"/>
          <w:kern w:val="0"/>
          <w:szCs w:val="21"/>
        </w:rPr>
        <w:t> Continuous score reflecting limitations in Activities of Daily Living, presented as mean ± SD.</w:t>
      </w:r>
    </w:p>
    <w:p w:rsidR="00D667E2" w:rsidRPr="00D667E2" w:rsidRDefault="00D667E2" w:rsidP="00D667E2">
      <w:pPr>
        <w:widowControl/>
        <w:numPr>
          <w:ilvl w:val="0"/>
          <w:numId w:val="38"/>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IADL Limitations Score:</w:t>
      </w:r>
      <w:r w:rsidRPr="00D667E2">
        <w:rPr>
          <w:rFonts w:ascii="Helvetica Neue" w:eastAsia="宋体" w:hAnsi="Helvetica Neue" w:cs="宋体"/>
          <w:color w:val="000000"/>
          <w:kern w:val="0"/>
          <w:szCs w:val="21"/>
        </w:rPr>
        <w:t> Continuous score reflecting limitations in Instrumental Activities of Daily Living, presented as mean ± SD.</w:t>
      </w:r>
    </w:p>
    <w:p w:rsidR="00D667E2" w:rsidRPr="00D667E2" w:rsidRDefault="00D667E2" w:rsidP="00D667E2">
      <w:pPr>
        <w:widowControl/>
        <w:numPr>
          <w:ilvl w:val="0"/>
          <w:numId w:val="38"/>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Cognition Score:</w:t>
      </w:r>
      <w:r w:rsidRPr="00D667E2">
        <w:rPr>
          <w:rFonts w:ascii="Helvetica Neue" w:eastAsia="宋体" w:hAnsi="Helvetica Neue" w:cs="宋体"/>
          <w:color w:val="000000"/>
          <w:kern w:val="0"/>
          <w:szCs w:val="21"/>
        </w:rPr>
        <w:t> Continuous composite score from memory recall and mental status tests, presented as mean ± SD.</w:t>
      </w:r>
    </w:p>
    <w:p w:rsidR="00D667E2" w:rsidRPr="00D667E2" w:rsidRDefault="00D667E2" w:rsidP="00D667E2">
      <w:pPr>
        <w:widowControl/>
        <w:numPr>
          <w:ilvl w:val="0"/>
          <w:numId w:val="38"/>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Depression Score:</w:t>
      </w:r>
      <w:r w:rsidRPr="00D667E2">
        <w:rPr>
          <w:rFonts w:ascii="Helvetica Neue" w:eastAsia="宋体" w:hAnsi="Helvetica Neue" w:cs="宋体"/>
          <w:color w:val="000000"/>
          <w:kern w:val="0"/>
          <w:szCs w:val="21"/>
        </w:rPr>
        <w:t> Continuous score based on the CES-D-10 scale, presented as mean ± SD.</w:t>
      </w:r>
    </w:p>
    <w:p w:rsidR="00D667E2" w:rsidRPr="00D667E2" w:rsidRDefault="00D667E2" w:rsidP="00D667E2">
      <w:pPr>
        <w:widowControl/>
        <w:numPr>
          <w:ilvl w:val="0"/>
          <w:numId w:val="38"/>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lastRenderedPageBreak/>
        <w:t>Life Satisfaction Score:</w:t>
      </w:r>
      <w:r w:rsidRPr="00D667E2">
        <w:rPr>
          <w:rFonts w:ascii="Helvetica Neue" w:eastAsia="宋体" w:hAnsi="Helvetica Neue" w:cs="宋体"/>
          <w:color w:val="000000"/>
          <w:kern w:val="0"/>
          <w:szCs w:val="21"/>
        </w:rPr>
        <w:t> Continuous score based on a standardized scale, presented as mean ± SD.</w:t>
      </w:r>
    </w:p>
    <w:p w:rsidR="00D667E2" w:rsidRPr="00D667E2" w:rsidRDefault="00D667E2" w:rsidP="00D667E2">
      <w:pPr>
        <w:widowControl/>
        <w:numPr>
          <w:ilvl w:val="0"/>
          <w:numId w:val="38"/>
        </w:numPr>
        <w:shd w:val="clear" w:color="auto" w:fill="FFFFFF"/>
        <w:spacing w:after="45" w:line="300" w:lineRule="atLeast"/>
        <w:jc w:val="left"/>
        <w:rPr>
          <w:rFonts w:ascii="Helvetica Neue" w:eastAsia="宋体" w:hAnsi="Helvetica Neue" w:cs="宋体"/>
          <w:color w:val="000000"/>
          <w:kern w:val="0"/>
          <w:szCs w:val="21"/>
        </w:rPr>
      </w:pPr>
      <w:r w:rsidRPr="00D667E2">
        <w:rPr>
          <w:rFonts w:ascii="Helvetica Neue" w:eastAsia="宋体" w:hAnsi="Helvetica Neue" w:cs="宋体"/>
          <w:b/>
          <w:bCs/>
          <w:color w:val="000000"/>
          <w:kern w:val="0"/>
          <w:szCs w:val="21"/>
        </w:rPr>
        <w:t>Frailty Index:</w:t>
      </w:r>
      <w:r w:rsidRPr="00D667E2">
        <w:rPr>
          <w:rFonts w:ascii="Helvetica Neue" w:eastAsia="宋体" w:hAnsi="Helvetica Neue" w:cs="宋体"/>
          <w:color w:val="000000"/>
          <w:kern w:val="0"/>
          <w:szCs w:val="21"/>
        </w:rPr>
        <w:t> Continuous score based on deficit accumulation, presented as mean ± SD.</w:t>
      </w:r>
    </w:p>
    <w:p w:rsidR="006A50BE" w:rsidRPr="00707BEB" w:rsidRDefault="006A50BE">
      <w:pPr>
        <w:widowControl/>
        <w:jc w:val="left"/>
        <w:rPr>
          <w:rFonts w:ascii="Times New Roman" w:hAnsi="Times New Roman" w:cs="Times New Roman"/>
          <w:sz w:val="20"/>
          <w:szCs w:val="20"/>
        </w:rPr>
      </w:pPr>
      <w:r w:rsidRPr="00707BEB">
        <w:rPr>
          <w:rFonts w:ascii="Times New Roman" w:hAnsi="Times New Roman" w:cs="Times New Roman"/>
          <w:sz w:val="20"/>
          <w:szCs w:val="20"/>
        </w:rPr>
        <w:br w:type="page"/>
      </w:r>
    </w:p>
    <w:p w:rsidR="00D667E2" w:rsidRPr="00D667E2" w:rsidRDefault="00D667E2" w:rsidP="00D667E2">
      <w:pPr>
        <w:widowControl/>
        <w:shd w:val="clear" w:color="auto" w:fill="FFFFFF"/>
        <w:spacing w:line="420" w:lineRule="atLeast"/>
        <w:jc w:val="left"/>
        <w:outlineLvl w:val="2"/>
        <w:rPr>
          <w:rFonts w:ascii="Times New Roman" w:eastAsia="宋体" w:hAnsi="Times New Roman" w:cs="Times New Roman"/>
          <w:color w:val="000000"/>
          <w:kern w:val="0"/>
          <w:sz w:val="33"/>
          <w:szCs w:val="33"/>
        </w:rPr>
      </w:pPr>
      <w:r w:rsidRPr="00D667E2">
        <w:rPr>
          <w:rFonts w:ascii="Times New Roman" w:eastAsia="宋体" w:hAnsi="Times New Roman" w:cs="Times New Roman"/>
          <w:b/>
          <w:bCs/>
          <w:color w:val="000000"/>
          <w:kern w:val="0"/>
          <w:sz w:val="33"/>
          <w:szCs w:val="33"/>
        </w:rPr>
        <w:lastRenderedPageBreak/>
        <w:t>Supplementary Appendix S2. Transcriptomic Analysis and Bioinformatics Pipeline</w:t>
      </w:r>
    </w:p>
    <w:p w:rsidR="00D667E2" w:rsidRPr="00D667E2" w:rsidRDefault="00D667E2" w:rsidP="00D667E2">
      <w:pPr>
        <w:widowControl/>
        <w:shd w:val="clear" w:color="auto" w:fill="FFFFFF"/>
        <w:spacing w:before="100" w:beforeAutospacing="1" w:after="270"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b/>
          <w:bCs/>
          <w:color w:val="000000"/>
          <w:kern w:val="0"/>
          <w:szCs w:val="21"/>
        </w:rPr>
        <w:t>S2.1 Dataset Collection and Integration</w:t>
      </w:r>
      <w:r w:rsidRPr="00D667E2">
        <w:rPr>
          <w:rFonts w:ascii="Times New Roman" w:eastAsia="宋体" w:hAnsi="Times New Roman" w:cs="Times New Roman"/>
          <w:color w:val="000000"/>
          <w:kern w:val="0"/>
          <w:szCs w:val="21"/>
        </w:rPr>
        <w:br/>
        <w:t>We identified four air pollution-related gene expression datasets from the NCBI GEO database using the keyword “air pollution”:</w:t>
      </w:r>
    </w:p>
    <w:p w:rsidR="00D667E2" w:rsidRPr="00D667E2" w:rsidRDefault="00D667E2" w:rsidP="00D667E2">
      <w:pPr>
        <w:widowControl/>
        <w:numPr>
          <w:ilvl w:val="0"/>
          <w:numId w:val="39"/>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color w:val="000000"/>
          <w:kern w:val="0"/>
          <w:szCs w:val="21"/>
        </w:rPr>
        <w:t>GSE7543</w:t>
      </w:r>
    </w:p>
    <w:p w:rsidR="00D667E2" w:rsidRPr="00D667E2" w:rsidRDefault="00D667E2" w:rsidP="00D667E2">
      <w:pPr>
        <w:widowControl/>
        <w:numPr>
          <w:ilvl w:val="0"/>
          <w:numId w:val="39"/>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color w:val="000000"/>
          <w:kern w:val="0"/>
          <w:szCs w:val="21"/>
        </w:rPr>
        <w:t>GSE60767</w:t>
      </w:r>
    </w:p>
    <w:p w:rsidR="00D667E2" w:rsidRPr="00D667E2" w:rsidRDefault="00D667E2" w:rsidP="00D667E2">
      <w:pPr>
        <w:widowControl/>
        <w:numPr>
          <w:ilvl w:val="0"/>
          <w:numId w:val="39"/>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color w:val="000000"/>
          <w:kern w:val="0"/>
          <w:szCs w:val="21"/>
        </w:rPr>
        <w:t>GSE63095</w:t>
      </w:r>
    </w:p>
    <w:p w:rsidR="00D667E2" w:rsidRPr="00D667E2" w:rsidRDefault="00D667E2" w:rsidP="00D667E2">
      <w:pPr>
        <w:widowControl/>
        <w:numPr>
          <w:ilvl w:val="0"/>
          <w:numId w:val="39"/>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color w:val="000000"/>
          <w:kern w:val="0"/>
          <w:szCs w:val="21"/>
        </w:rPr>
        <w:t>GSE83864</w:t>
      </w:r>
      <w:r w:rsidRPr="00D667E2">
        <w:rPr>
          <w:rFonts w:ascii="Times New Roman" w:eastAsia="宋体" w:hAnsi="Times New Roman" w:cs="Times New Roman"/>
          <w:color w:val="000000"/>
          <w:kern w:val="0"/>
          <w:szCs w:val="21"/>
        </w:rPr>
        <w:br/>
        <w:t>For downstream analyses, two datasets (GSE7543 and GSE60767) were merged to form the training cohort, while GSE63095 and GSE83864 were used as external validation cohorts.</w:t>
      </w:r>
    </w:p>
    <w:p w:rsidR="00D667E2" w:rsidRPr="00D667E2" w:rsidRDefault="00D667E2" w:rsidP="00D667E2">
      <w:pPr>
        <w:widowControl/>
        <w:shd w:val="clear" w:color="auto" w:fill="FFFFFF"/>
        <w:spacing w:before="100" w:beforeAutospacing="1" w:after="270"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b/>
          <w:bCs/>
          <w:color w:val="000000"/>
          <w:kern w:val="0"/>
          <w:szCs w:val="21"/>
        </w:rPr>
        <w:t>S2.2 Batch Effect Correction</w:t>
      </w:r>
      <w:r w:rsidRPr="00D667E2">
        <w:rPr>
          <w:rFonts w:ascii="Times New Roman" w:eastAsia="宋体" w:hAnsi="Times New Roman" w:cs="Times New Roman"/>
          <w:color w:val="000000"/>
          <w:kern w:val="0"/>
          <w:szCs w:val="21"/>
        </w:rPr>
        <w:br/>
        <w:t>Batch effects between GSE7543 and GSE60767 were corrected using the </w:t>
      </w:r>
      <w:proofErr w:type="spellStart"/>
      <w:proofErr w:type="gramStart"/>
      <w:r w:rsidRPr="00D667E2">
        <w:rPr>
          <w:rFonts w:ascii="Times New Roman" w:eastAsia="宋体" w:hAnsi="Times New Roman" w:cs="Times New Roman"/>
          <w:color w:val="000000"/>
          <w:kern w:val="0"/>
          <w:sz w:val="20"/>
          <w:szCs w:val="20"/>
        </w:rPr>
        <w:t>ComBat</w:t>
      </w:r>
      <w:proofErr w:type="spellEnd"/>
      <w:r w:rsidRPr="00D667E2">
        <w:rPr>
          <w:rFonts w:ascii="Times New Roman" w:eastAsia="宋体" w:hAnsi="Times New Roman" w:cs="Times New Roman"/>
          <w:color w:val="000000"/>
          <w:kern w:val="0"/>
          <w:sz w:val="20"/>
          <w:szCs w:val="20"/>
        </w:rPr>
        <w:t>(</w:t>
      </w:r>
      <w:proofErr w:type="gramEnd"/>
      <w:r w:rsidRPr="00D667E2">
        <w:rPr>
          <w:rFonts w:ascii="Times New Roman" w:eastAsia="宋体" w:hAnsi="Times New Roman" w:cs="Times New Roman"/>
          <w:color w:val="000000"/>
          <w:kern w:val="0"/>
          <w:sz w:val="20"/>
          <w:szCs w:val="20"/>
        </w:rPr>
        <w:t>)</w:t>
      </w:r>
      <w:r w:rsidRPr="00D667E2">
        <w:rPr>
          <w:rFonts w:ascii="Times New Roman" w:eastAsia="宋体" w:hAnsi="Times New Roman" w:cs="Times New Roman"/>
          <w:color w:val="000000"/>
          <w:kern w:val="0"/>
          <w:szCs w:val="21"/>
        </w:rPr>
        <w:t> function from the </w:t>
      </w:r>
      <w:proofErr w:type="spellStart"/>
      <w:r w:rsidRPr="00D667E2">
        <w:rPr>
          <w:rFonts w:ascii="Times New Roman" w:eastAsia="宋体" w:hAnsi="Times New Roman" w:cs="Times New Roman"/>
          <w:color w:val="000000"/>
          <w:kern w:val="0"/>
          <w:sz w:val="20"/>
          <w:szCs w:val="20"/>
        </w:rPr>
        <w:t>sva</w:t>
      </w:r>
      <w:proofErr w:type="spellEnd"/>
      <w:r w:rsidRPr="00D667E2">
        <w:rPr>
          <w:rFonts w:ascii="Times New Roman" w:eastAsia="宋体" w:hAnsi="Times New Roman" w:cs="Times New Roman"/>
          <w:color w:val="000000"/>
          <w:kern w:val="0"/>
          <w:szCs w:val="21"/>
        </w:rPr>
        <w:t> R package. Principal component analysis (PCA) was conducted before and after adjustment to evaluate the removal of batch effects.</w:t>
      </w:r>
    </w:p>
    <w:p w:rsidR="00D667E2" w:rsidRPr="00D667E2" w:rsidRDefault="00D667E2" w:rsidP="00D667E2">
      <w:pPr>
        <w:widowControl/>
        <w:jc w:val="left"/>
        <w:rPr>
          <w:rFonts w:ascii="Times New Roman" w:eastAsia="宋体" w:hAnsi="Times New Roman" w:cs="Times New Roman"/>
          <w:kern w:val="0"/>
          <w:sz w:val="24"/>
          <w:szCs w:val="24"/>
        </w:rPr>
      </w:pPr>
      <w:r w:rsidRPr="00D667E2">
        <w:rPr>
          <w:rFonts w:ascii="Times New Roman" w:eastAsia="宋体" w:hAnsi="Times New Roman" w:cs="Times New Roman"/>
          <w:kern w:val="0"/>
          <w:sz w:val="24"/>
          <w:szCs w:val="24"/>
        </w:rPr>
        <w:pict>
          <v:rect id="_x0000_i1109" style="width:396.55pt;height:1.5pt" o:hrpct="0" o:hralign="center" o:hrstd="t" o:hrnoshade="t" o:hr="t" fillcolor="black" stroked="f"/>
        </w:pict>
      </w:r>
    </w:p>
    <w:p w:rsidR="00D667E2" w:rsidRPr="00D667E2" w:rsidRDefault="00D667E2" w:rsidP="00D667E2">
      <w:pPr>
        <w:widowControl/>
        <w:shd w:val="clear" w:color="auto" w:fill="FFFFFF"/>
        <w:spacing w:before="100" w:beforeAutospacing="1" w:after="270"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b/>
          <w:bCs/>
          <w:color w:val="000000"/>
          <w:kern w:val="0"/>
          <w:szCs w:val="21"/>
        </w:rPr>
        <w:t>S2.3 Differential Gene Expression (DEG) Analysis</w:t>
      </w:r>
      <w:r w:rsidRPr="00D667E2">
        <w:rPr>
          <w:rFonts w:ascii="Times New Roman" w:eastAsia="宋体" w:hAnsi="Times New Roman" w:cs="Times New Roman"/>
          <w:color w:val="000000"/>
          <w:kern w:val="0"/>
          <w:szCs w:val="21"/>
        </w:rPr>
        <w:br/>
        <w:t>Differentially expressed genes between exposed and control groups were identified using the </w:t>
      </w:r>
      <w:proofErr w:type="spellStart"/>
      <w:r w:rsidRPr="00D667E2">
        <w:rPr>
          <w:rFonts w:ascii="Times New Roman" w:eastAsia="宋体" w:hAnsi="Times New Roman" w:cs="Times New Roman"/>
          <w:color w:val="000000"/>
          <w:kern w:val="0"/>
          <w:sz w:val="20"/>
          <w:szCs w:val="20"/>
        </w:rPr>
        <w:t>limma</w:t>
      </w:r>
      <w:proofErr w:type="spellEnd"/>
      <w:r w:rsidRPr="00D667E2">
        <w:rPr>
          <w:rFonts w:ascii="Times New Roman" w:eastAsia="宋体" w:hAnsi="Times New Roman" w:cs="Times New Roman"/>
          <w:color w:val="000000"/>
          <w:kern w:val="0"/>
          <w:szCs w:val="21"/>
        </w:rPr>
        <w:t> package in R. The threshold was set at |log₂ fold change| &gt; 0.25 and an adjusted P-value &lt; 0.05.</w:t>
      </w:r>
    </w:p>
    <w:p w:rsidR="00D667E2" w:rsidRPr="00D667E2" w:rsidRDefault="00D667E2" w:rsidP="00D667E2">
      <w:pPr>
        <w:widowControl/>
        <w:numPr>
          <w:ilvl w:val="0"/>
          <w:numId w:val="40"/>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b/>
          <w:bCs/>
          <w:color w:val="000000"/>
          <w:kern w:val="0"/>
          <w:szCs w:val="21"/>
        </w:rPr>
        <w:t>Visualization:</w:t>
      </w:r>
      <w:r w:rsidRPr="00D667E2">
        <w:rPr>
          <w:rFonts w:ascii="Times New Roman" w:eastAsia="宋体" w:hAnsi="Times New Roman" w:cs="Times New Roman"/>
          <w:color w:val="000000"/>
          <w:kern w:val="0"/>
          <w:szCs w:val="21"/>
        </w:rPr>
        <w:t> Volcano plots were generated for each dataset, and shared DEGs were identified using a Venn diagram.</w:t>
      </w:r>
    </w:p>
    <w:p w:rsidR="00D667E2" w:rsidRPr="00D667E2" w:rsidRDefault="00D667E2" w:rsidP="00D667E2">
      <w:pPr>
        <w:widowControl/>
        <w:numPr>
          <w:ilvl w:val="0"/>
          <w:numId w:val="40"/>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b/>
          <w:bCs/>
          <w:color w:val="000000"/>
          <w:kern w:val="0"/>
          <w:szCs w:val="21"/>
        </w:rPr>
        <w:t>Functional Connectivity:</w:t>
      </w:r>
      <w:r w:rsidRPr="00D667E2">
        <w:rPr>
          <w:rFonts w:ascii="Times New Roman" w:eastAsia="宋体" w:hAnsi="Times New Roman" w:cs="Times New Roman"/>
          <w:color w:val="000000"/>
          <w:kern w:val="0"/>
          <w:szCs w:val="21"/>
        </w:rPr>
        <w:t xml:space="preserve"> Shared DEGs were analyzed using </w:t>
      </w:r>
      <w:proofErr w:type="spellStart"/>
      <w:r w:rsidRPr="00D667E2">
        <w:rPr>
          <w:rFonts w:ascii="Times New Roman" w:eastAsia="宋体" w:hAnsi="Times New Roman" w:cs="Times New Roman"/>
          <w:color w:val="000000"/>
          <w:kern w:val="0"/>
          <w:szCs w:val="21"/>
        </w:rPr>
        <w:t>GeneMANIA</w:t>
      </w:r>
      <w:proofErr w:type="spellEnd"/>
      <w:r w:rsidRPr="00D667E2">
        <w:rPr>
          <w:rFonts w:ascii="Times New Roman" w:eastAsia="宋体" w:hAnsi="Times New Roman" w:cs="Times New Roman"/>
          <w:color w:val="000000"/>
          <w:kern w:val="0"/>
          <w:szCs w:val="21"/>
        </w:rPr>
        <w:t xml:space="preserve"> to construct protein–protein interaction (PPI) networks.</w:t>
      </w:r>
    </w:p>
    <w:p w:rsidR="00D667E2" w:rsidRPr="00D667E2" w:rsidRDefault="00D667E2" w:rsidP="00D667E2">
      <w:pPr>
        <w:widowControl/>
        <w:jc w:val="left"/>
        <w:rPr>
          <w:rFonts w:ascii="Times New Roman" w:eastAsia="宋体" w:hAnsi="Times New Roman" w:cs="Times New Roman"/>
          <w:kern w:val="0"/>
          <w:sz w:val="24"/>
          <w:szCs w:val="24"/>
        </w:rPr>
      </w:pPr>
      <w:r w:rsidRPr="00D667E2">
        <w:rPr>
          <w:rFonts w:ascii="Times New Roman" w:eastAsia="宋体" w:hAnsi="Times New Roman" w:cs="Times New Roman"/>
          <w:kern w:val="0"/>
          <w:sz w:val="24"/>
          <w:szCs w:val="24"/>
        </w:rPr>
        <w:pict>
          <v:rect id="_x0000_i1110" style="width:396.55pt;height:1.5pt" o:hrpct="0" o:hralign="center" o:hrstd="t" o:hrnoshade="t" o:hr="t" fillcolor="black" stroked="f"/>
        </w:pict>
      </w:r>
    </w:p>
    <w:p w:rsidR="00D667E2" w:rsidRPr="00D667E2" w:rsidRDefault="00D667E2" w:rsidP="00D667E2">
      <w:pPr>
        <w:widowControl/>
        <w:shd w:val="clear" w:color="auto" w:fill="FFFFFF"/>
        <w:spacing w:before="100" w:beforeAutospacing="1" w:after="270"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b/>
          <w:bCs/>
          <w:color w:val="000000"/>
          <w:kern w:val="0"/>
          <w:szCs w:val="21"/>
        </w:rPr>
        <w:t>S2.4 Weighted Gene Co-expression Network Analysis (WGCNA)</w:t>
      </w:r>
      <w:r w:rsidRPr="00D667E2">
        <w:rPr>
          <w:rFonts w:ascii="Times New Roman" w:eastAsia="宋体" w:hAnsi="Times New Roman" w:cs="Times New Roman"/>
          <w:color w:val="000000"/>
          <w:kern w:val="0"/>
          <w:szCs w:val="21"/>
        </w:rPr>
        <w:br/>
        <w:t>To identify gene modules associated with </w:t>
      </w:r>
      <w:r w:rsidRPr="00D667E2">
        <w:rPr>
          <w:rFonts w:ascii="Times New Roman" w:eastAsia="宋体" w:hAnsi="Times New Roman" w:cs="Times New Roman"/>
          <w:b/>
          <w:bCs/>
          <w:color w:val="000000"/>
          <w:kern w:val="0"/>
          <w:szCs w:val="21"/>
        </w:rPr>
        <w:t>air pollution exposure</w:t>
      </w:r>
      <w:r w:rsidRPr="00D667E2">
        <w:rPr>
          <w:rFonts w:ascii="Times New Roman" w:eastAsia="宋体" w:hAnsi="Times New Roman" w:cs="Times New Roman"/>
          <w:color w:val="000000"/>
          <w:kern w:val="0"/>
          <w:szCs w:val="21"/>
        </w:rPr>
        <w:t>, WGCNA was performed on the DEGs using the </w:t>
      </w:r>
      <w:r w:rsidRPr="00D667E2">
        <w:rPr>
          <w:rFonts w:ascii="Times New Roman" w:eastAsia="宋体" w:hAnsi="Times New Roman" w:cs="Times New Roman"/>
          <w:color w:val="000000"/>
          <w:kern w:val="0"/>
          <w:sz w:val="20"/>
          <w:szCs w:val="20"/>
        </w:rPr>
        <w:t>WGCNA</w:t>
      </w:r>
      <w:r w:rsidRPr="00D667E2">
        <w:rPr>
          <w:rFonts w:ascii="Times New Roman" w:eastAsia="宋体" w:hAnsi="Times New Roman" w:cs="Times New Roman"/>
          <w:color w:val="000000"/>
          <w:kern w:val="0"/>
          <w:szCs w:val="21"/>
        </w:rPr>
        <w:t> R package (v1.71).</w:t>
      </w:r>
    </w:p>
    <w:p w:rsidR="00D667E2" w:rsidRPr="00D667E2" w:rsidRDefault="00D667E2" w:rsidP="00D667E2">
      <w:pPr>
        <w:widowControl/>
        <w:numPr>
          <w:ilvl w:val="0"/>
          <w:numId w:val="41"/>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b/>
          <w:bCs/>
          <w:color w:val="000000"/>
          <w:kern w:val="0"/>
          <w:szCs w:val="21"/>
        </w:rPr>
        <w:t>Network Construction:</w:t>
      </w:r>
    </w:p>
    <w:p w:rsidR="00D667E2" w:rsidRPr="00D667E2" w:rsidRDefault="00D667E2" w:rsidP="00D667E2">
      <w:pPr>
        <w:widowControl/>
        <w:numPr>
          <w:ilvl w:val="1"/>
          <w:numId w:val="41"/>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color w:val="000000"/>
          <w:kern w:val="0"/>
          <w:szCs w:val="21"/>
        </w:rPr>
        <w:t>A soft-thresholding power (β) was selected to achieve a scale-free topology.</w:t>
      </w:r>
    </w:p>
    <w:p w:rsidR="00D667E2" w:rsidRPr="00D667E2" w:rsidRDefault="00D667E2" w:rsidP="00D667E2">
      <w:pPr>
        <w:widowControl/>
        <w:numPr>
          <w:ilvl w:val="1"/>
          <w:numId w:val="41"/>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color w:val="000000"/>
          <w:kern w:val="0"/>
          <w:szCs w:val="21"/>
        </w:rPr>
        <w:t xml:space="preserve">Adjacency matrix → topological overlap matrix (TOM) → </w:t>
      </w:r>
      <w:proofErr w:type="spellStart"/>
      <w:r w:rsidRPr="00D667E2">
        <w:rPr>
          <w:rFonts w:ascii="Times New Roman" w:eastAsia="宋体" w:hAnsi="Times New Roman" w:cs="Times New Roman"/>
          <w:color w:val="000000"/>
          <w:kern w:val="0"/>
          <w:szCs w:val="21"/>
        </w:rPr>
        <w:t>dissTOM</w:t>
      </w:r>
      <w:proofErr w:type="spellEnd"/>
      <w:r w:rsidRPr="00D667E2">
        <w:rPr>
          <w:rFonts w:ascii="Times New Roman" w:eastAsia="宋体" w:hAnsi="Times New Roman" w:cs="Times New Roman"/>
          <w:color w:val="000000"/>
          <w:kern w:val="0"/>
          <w:szCs w:val="21"/>
        </w:rPr>
        <w:t>.</w:t>
      </w:r>
    </w:p>
    <w:p w:rsidR="00D667E2" w:rsidRPr="00D667E2" w:rsidRDefault="00D667E2" w:rsidP="00D667E2">
      <w:pPr>
        <w:widowControl/>
        <w:numPr>
          <w:ilvl w:val="0"/>
          <w:numId w:val="41"/>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b/>
          <w:bCs/>
          <w:color w:val="000000"/>
          <w:kern w:val="0"/>
          <w:szCs w:val="21"/>
        </w:rPr>
        <w:t>Module Identification:</w:t>
      </w:r>
    </w:p>
    <w:p w:rsidR="00D667E2" w:rsidRPr="00D667E2" w:rsidRDefault="00D667E2" w:rsidP="00D667E2">
      <w:pPr>
        <w:widowControl/>
        <w:numPr>
          <w:ilvl w:val="1"/>
          <w:numId w:val="41"/>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color w:val="000000"/>
          <w:kern w:val="0"/>
          <w:szCs w:val="21"/>
        </w:rPr>
        <w:lastRenderedPageBreak/>
        <w:t>Modules were identified using dynamic tree cutting (</w:t>
      </w:r>
      <w:proofErr w:type="spellStart"/>
      <w:r w:rsidRPr="00D667E2">
        <w:rPr>
          <w:rFonts w:ascii="Times New Roman" w:eastAsia="宋体" w:hAnsi="Times New Roman" w:cs="Times New Roman"/>
          <w:color w:val="000000"/>
          <w:kern w:val="0"/>
          <w:szCs w:val="21"/>
        </w:rPr>
        <w:t>minModuleSize</w:t>
      </w:r>
      <w:proofErr w:type="spellEnd"/>
      <w:r w:rsidRPr="00D667E2">
        <w:rPr>
          <w:rFonts w:ascii="Times New Roman" w:eastAsia="宋体" w:hAnsi="Times New Roman" w:cs="Times New Roman"/>
          <w:color w:val="000000"/>
          <w:kern w:val="0"/>
          <w:szCs w:val="21"/>
        </w:rPr>
        <w:t xml:space="preserve"> = 60, </w:t>
      </w:r>
      <w:proofErr w:type="spellStart"/>
      <w:r w:rsidRPr="00D667E2">
        <w:rPr>
          <w:rFonts w:ascii="Times New Roman" w:eastAsia="宋体" w:hAnsi="Times New Roman" w:cs="Times New Roman"/>
          <w:color w:val="000000"/>
          <w:kern w:val="0"/>
          <w:szCs w:val="21"/>
        </w:rPr>
        <w:t>MEDissThres</w:t>
      </w:r>
      <w:proofErr w:type="spellEnd"/>
      <w:r w:rsidRPr="00D667E2">
        <w:rPr>
          <w:rFonts w:ascii="Times New Roman" w:eastAsia="宋体" w:hAnsi="Times New Roman" w:cs="Times New Roman"/>
          <w:color w:val="000000"/>
          <w:kern w:val="0"/>
          <w:szCs w:val="21"/>
        </w:rPr>
        <w:t xml:space="preserve"> = 0.3).</w:t>
      </w:r>
    </w:p>
    <w:p w:rsidR="00D667E2" w:rsidRPr="00D667E2" w:rsidRDefault="00D667E2" w:rsidP="00D667E2">
      <w:pPr>
        <w:widowControl/>
        <w:numPr>
          <w:ilvl w:val="1"/>
          <w:numId w:val="41"/>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color w:val="000000"/>
          <w:kern w:val="0"/>
          <w:szCs w:val="21"/>
        </w:rPr>
        <w:t>Module–trait correlation analysis was conducted to associate modules with the </w:t>
      </w:r>
      <w:r w:rsidRPr="00D667E2">
        <w:rPr>
          <w:rFonts w:ascii="Times New Roman" w:eastAsia="宋体" w:hAnsi="Times New Roman" w:cs="Times New Roman"/>
          <w:b/>
          <w:bCs/>
          <w:color w:val="000000"/>
          <w:kern w:val="0"/>
          <w:szCs w:val="21"/>
        </w:rPr>
        <w:t>air pollution exposure status</w:t>
      </w:r>
      <w:r w:rsidRPr="00D667E2">
        <w:rPr>
          <w:rFonts w:ascii="Times New Roman" w:eastAsia="宋体" w:hAnsi="Times New Roman" w:cs="Times New Roman"/>
          <w:color w:val="000000"/>
          <w:kern w:val="0"/>
          <w:szCs w:val="21"/>
        </w:rPr>
        <w:t> (i.e., exposed vs. control).</w:t>
      </w:r>
    </w:p>
    <w:p w:rsidR="00D667E2" w:rsidRPr="00D667E2" w:rsidRDefault="00D667E2" w:rsidP="00D667E2">
      <w:pPr>
        <w:widowControl/>
        <w:numPr>
          <w:ilvl w:val="1"/>
          <w:numId w:val="41"/>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color w:val="000000"/>
          <w:kern w:val="0"/>
          <w:szCs w:val="21"/>
        </w:rPr>
        <w:t>Key modules most significantly correlated with </w:t>
      </w:r>
      <w:r w:rsidRPr="00D667E2">
        <w:rPr>
          <w:rFonts w:ascii="Times New Roman" w:eastAsia="宋体" w:hAnsi="Times New Roman" w:cs="Times New Roman"/>
          <w:b/>
          <w:bCs/>
          <w:color w:val="000000"/>
          <w:kern w:val="0"/>
          <w:szCs w:val="21"/>
        </w:rPr>
        <w:t>air pollution exposure</w:t>
      </w:r>
      <w:r w:rsidRPr="00D667E2">
        <w:rPr>
          <w:rFonts w:ascii="Times New Roman" w:eastAsia="宋体" w:hAnsi="Times New Roman" w:cs="Times New Roman"/>
          <w:color w:val="000000"/>
          <w:kern w:val="0"/>
          <w:szCs w:val="21"/>
        </w:rPr>
        <w:t> were retained for further analysis.</w:t>
      </w:r>
    </w:p>
    <w:p w:rsidR="00D667E2" w:rsidRPr="00D667E2" w:rsidRDefault="00D667E2" w:rsidP="00D667E2">
      <w:pPr>
        <w:widowControl/>
        <w:jc w:val="left"/>
        <w:rPr>
          <w:rFonts w:ascii="Times New Roman" w:eastAsia="宋体" w:hAnsi="Times New Roman" w:cs="Times New Roman"/>
          <w:kern w:val="0"/>
          <w:sz w:val="24"/>
          <w:szCs w:val="24"/>
        </w:rPr>
      </w:pPr>
      <w:r w:rsidRPr="00D667E2">
        <w:rPr>
          <w:rFonts w:ascii="Times New Roman" w:eastAsia="宋体" w:hAnsi="Times New Roman" w:cs="Times New Roman"/>
          <w:kern w:val="0"/>
          <w:sz w:val="24"/>
          <w:szCs w:val="24"/>
        </w:rPr>
        <w:pict>
          <v:rect id="_x0000_i1111" style="width:396.55pt;height:1.5pt" o:hrpct="0" o:hralign="center" o:hrstd="t" o:hrnoshade="t" o:hr="t" fillcolor="black" stroked="f"/>
        </w:pict>
      </w:r>
    </w:p>
    <w:p w:rsidR="00D667E2" w:rsidRPr="00D667E2" w:rsidRDefault="00D667E2" w:rsidP="00D667E2">
      <w:pPr>
        <w:widowControl/>
        <w:shd w:val="clear" w:color="auto" w:fill="FFFFFF"/>
        <w:spacing w:before="100" w:beforeAutospacing="1" w:after="270"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b/>
          <w:bCs/>
          <w:color w:val="000000"/>
          <w:kern w:val="0"/>
          <w:szCs w:val="21"/>
        </w:rPr>
        <w:t>S2.5 Functional Enrichment Analysis</w:t>
      </w:r>
      <w:r w:rsidRPr="00D667E2">
        <w:rPr>
          <w:rFonts w:ascii="Times New Roman" w:eastAsia="宋体" w:hAnsi="Times New Roman" w:cs="Times New Roman"/>
          <w:color w:val="000000"/>
          <w:kern w:val="0"/>
          <w:szCs w:val="21"/>
        </w:rPr>
        <w:br/>
        <w:t>To explore the biological significance of shared DEGs and key module genes, enrichment analyses were performed for:</w:t>
      </w:r>
    </w:p>
    <w:p w:rsidR="00D667E2" w:rsidRPr="00D667E2" w:rsidRDefault="00D667E2" w:rsidP="00D667E2">
      <w:pPr>
        <w:widowControl/>
        <w:numPr>
          <w:ilvl w:val="0"/>
          <w:numId w:val="42"/>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color w:val="000000"/>
          <w:kern w:val="0"/>
          <w:szCs w:val="21"/>
        </w:rPr>
        <w:t>Gene Ontology (GO)</w:t>
      </w:r>
    </w:p>
    <w:p w:rsidR="00D667E2" w:rsidRPr="00D667E2" w:rsidRDefault="00D667E2" w:rsidP="00D667E2">
      <w:pPr>
        <w:widowControl/>
        <w:numPr>
          <w:ilvl w:val="0"/>
          <w:numId w:val="42"/>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color w:val="000000"/>
          <w:kern w:val="0"/>
          <w:szCs w:val="21"/>
        </w:rPr>
        <w:t>Kyoto Encyclopedia of Genes and Genomes (KEGG)</w:t>
      </w:r>
    </w:p>
    <w:p w:rsidR="00D667E2" w:rsidRPr="00D667E2" w:rsidRDefault="00D667E2" w:rsidP="00D667E2">
      <w:pPr>
        <w:widowControl/>
        <w:numPr>
          <w:ilvl w:val="0"/>
          <w:numId w:val="42"/>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color w:val="000000"/>
          <w:kern w:val="0"/>
          <w:szCs w:val="21"/>
        </w:rPr>
        <w:t>Disease Ontology (DO)</w:t>
      </w:r>
      <w:r w:rsidRPr="00D667E2">
        <w:rPr>
          <w:rFonts w:ascii="Times New Roman" w:eastAsia="宋体" w:hAnsi="Times New Roman" w:cs="Times New Roman"/>
          <w:color w:val="000000"/>
          <w:kern w:val="0"/>
          <w:szCs w:val="21"/>
        </w:rPr>
        <w:br/>
        <w:t>These were conducted using the </w:t>
      </w:r>
      <w:proofErr w:type="spellStart"/>
      <w:r w:rsidRPr="00D667E2">
        <w:rPr>
          <w:rFonts w:ascii="Times New Roman" w:eastAsia="宋体" w:hAnsi="Times New Roman" w:cs="Times New Roman"/>
          <w:color w:val="000000"/>
          <w:kern w:val="0"/>
          <w:sz w:val="20"/>
          <w:szCs w:val="20"/>
        </w:rPr>
        <w:t>clusterProfiler</w:t>
      </w:r>
      <w:proofErr w:type="spellEnd"/>
      <w:r w:rsidRPr="00D667E2">
        <w:rPr>
          <w:rFonts w:ascii="Times New Roman" w:eastAsia="宋体" w:hAnsi="Times New Roman" w:cs="Times New Roman"/>
          <w:color w:val="000000"/>
          <w:kern w:val="0"/>
          <w:szCs w:val="21"/>
        </w:rPr>
        <w:t>, </w:t>
      </w:r>
      <w:proofErr w:type="spellStart"/>
      <w:r w:rsidRPr="00D667E2">
        <w:rPr>
          <w:rFonts w:ascii="Times New Roman" w:eastAsia="宋体" w:hAnsi="Times New Roman" w:cs="Times New Roman"/>
          <w:color w:val="000000"/>
          <w:kern w:val="0"/>
          <w:sz w:val="20"/>
          <w:szCs w:val="20"/>
        </w:rPr>
        <w:t>enrichplot</w:t>
      </w:r>
      <w:proofErr w:type="spellEnd"/>
      <w:r w:rsidRPr="00D667E2">
        <w:rPr>
          <w:rFonts w:ascii="Times New Roman" w:eastAsia="宋体" w:hAnsi="Times New Roman" w:cs="Times New Roman"/>
          <w:color w:val="000000"/>
          <w:kern w:val="0"/>
          <w:szCs w:val="21"/>
        </w:rPr>
        <w:t>, and </w:t>
      </w:r>
      <w:proofErr w:type="spellStart"/>
      <w:r w:rsidRPr="00D667E2">
        <w:rPr>
          <w:rFonts w:ascii="Times New Roman" w:eastAsia="宋体" w:hAnsi="Times New Roman" w:cs="Times New Roman"/>
          <w:color w:val="000000"/>
          <w:kern w:val="0"/>
          <w:sz w:val="20"/>
          <w:szCs w:val="20"/>
        </w:rPr>
        <w:t>org.Hs.eg.db</w:t>
      </w:r>
      <w:proofErr w:type="spellEnd"/>
      <w:r w:rsidRPr="00D667E2">
        <w:rPr>
          <w:rFonts w:ascii="Times New Roman" w:eastAsia="宋体" w:hAnsi="Times New Roman" w:cs="Times New Roman"/>
          <w:color w:val="000000"/>
          <w:kern w:val="0"/>
          <w:szCs w:val="21"/>
        </w:rPr>
        <w:t> packages, with a significance threshold of P &lt; 0.05.</w:t>
      </w:r>
    </w:p>
    <w:p w:rsidR="00D667E2" w:rsidRPr="00D667E2" w:rsidRDefault="00D667E2" w:rsidP="00D667E2">
      <w:pPr>
        <w:widowControl/>
        <w:jc w:val="left"/>
        <w:rPr>
          <w:rFonts w:ascii="Times New Roman" w:eastAsia="宋体" w:hAnsi="Times New Roman" w:cs="Times New Roman"/>
          <w:kern w:val="0"/>
          <w:sz w:val="24"/>
          <w:szCs w:val="24"/>
        </w:rPr>
      </w:pPr>
      <w:r w:rsidRPr="00D667E2">
        <w:rPr>
          <w:rFonts w:ascii="Times New Roman" w:eastAsia="宋体" w:hAnsi="Times New Roman" w:cs="Times New Roman"/>
          <w:kern w:val="0"/>
          <w:sz w:val="24"/>
          <w:szCs w:val="24"/>
        </w:rPr>
        <w:pict>
          <v:rect id="_x0000_i1112" style="width:396.55pt;height:1.5pt" o:hrpct="0" o:hralign="center" o:hrstd="t" o:hrnoshade="t" o:hr="t" fillcolor="black" stroked="f"/>
        </w:pict>
      </w:r>
    </w:p>
    <w:p w:rsidR="00D667E2" w:rsidRPr="00D667E2" w:rsidRDefault="00D667E2" w:rsidP="00D667E2">
      <w:pPr>
        <w:widowControl/>
        <w:shd w:val="clear" w:color="auto" w:fill="FFFFFF"/>
        <w:spacing w:before="100" w:beforeAutospacing="1" w:after="270"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b/>
          <w:bCs/>
          <w:color w:val="000000"/>
          <w:kern w:val="0"/>
          <w:szCs w:val="21"/>
        </w:rPr>
        <w:t>S2.6 Machine Learning for Biomarker Signature Identification</w:t>
      </w:r>
      <w:r w:rsidRPr="00D667E2">
        <w:rPr>
          <w:rFonts w:ascii="Times New Roman" w:eastAsia="宋体" w:hAnsi="Times New Roman" w:cs="Times New Roman"/>
          <w:color w:val="000000"/>
          <w:kern w:val="0"/>
          <w:szCs w:val="21"/>
        </w:rPr>
        <w:br/>
        <w:t>We applied 12 machine learning algorithms to identify a robust gene signature predictive of </w:t>
      </w:r>
      <w:r w:rsidRPr="00D667E2">
        <w:rPr>
          <w:rFonts w:ascii="Times New Roman" w:eastAsia="宋体" w:hAnsi="Times New Roman" w:cs="Times New Roman"/>
          <w:b/>
          <w:bCs/>
          <w:color w:val="000000"/>
          <w:kern w:val="0"/>
          <w:szCs w:val="21"/>
        </w:rPr>
        <w:t>air pollution exposure</w:t>
      </w:r>
      <w:r w:rsidRPr="00D667E2">
        <w:rPr>
          <w:rFonts w:ascii="Times New Roman" w:eastAsia="宋体" w:hAnsi="Times New Roman" w:cs="Times New Roman"/>
          <w:color w:val="000000"/>
          <w:kern w:val="0"/>
          <w:szCs w:val="21"/>
        </w:rPr>
        <w:t>:</w:t>
      </w:r>
    </w:p>
    <w:p w:rsidR="00D667E2" w:rsidRPr="00D667E2" w:rsidRDefault="00D667E2" w:rsidP="00D667E2">
      <w:pPr>
        <w:widowControl/>
        <w:numPr>
          <w:ilvl w:val="0"/>
          <w:numId w:val="43"/>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color w:val="000000"/>
          <w:kern w:val="0"/>
          <w:szCs w:val="21"/>
        </w:rPr>
        <w:t>Lasso</w:t>
      </w:r>
    </w:p>
    <w:p w:rsidR="00D667E2" w:rsidRPr="00D667E2" w:rsidRDefault="00D667E2" w:rsidP="00D667E2">
      <w:pPr>
        <w:widowControl/>
        <w:numPr>
          <w:ilvl w:val="0"/>
          <w:numId w:val="43"/>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color w:val="000000"/>
          <w:kern w:val="0"/>
          <w:szCs w:val="21"/>
        </w:rPr>
        <w:t>Ridge</w:t>
      </w:r>
    </w:p>
    <w:p w:rsidR="00D667E2" w:rsidRPr="00D667E2" w:rsidRDefault="00D667E2" w:rsidP="00D667E2">
      <w:pPr>
        <w:widowControl/>
        <w:numPr>
          <w:ilvl w:val="0"/>
          <w:numId w:val="43"/>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color w:val="000000"/>
          <w:kern w:val="0"/>
          <w:szCs w:val="21"/>
        </w:rPr>
        <w:t>Stepwise GLM</w:t>
      </w:r>
    </w:p>
    <w:p w:rsidR="00D667E2" w:rsidRPr="00D667E2" w:rsidRDefault="00D667E2" w:rsidP="00D667E2">
      <w:pPr>
        <w:widowControl/>
        <w:numPr>
          <w:ilvl w:val="0"/>
          <w:numId w:val="43"/>
        </w:numPr>
        <w:shd w:val="clear" w:color="auto" w:fill="FFFFFF"/>
        <w:spacing w:after="45" w:line="300" w:lineRule="atLeast"/>
        <w:jc w:val="left"/>
        <w:rPr>
          <w:rFonts w:ascii="Times New Roman" w:eastAsia="宋体" w:hAnsi="Times New Roman" w:cs="Times New Roman"/>
          <w:color w:val="000000"/>
          <w:kern w:val="0"/>
          <w:szCs w:val="21"/>
        </w:rPr>
      </w:pPr>
      <w:proofErr w:type="spellStart"/>
      <w:r w:rsidRPr="00D667E2">
        <w:rPr>
          <w:rFonts w:ascii="Times New Roman" w:eastAsia="宋体" w:hAnsi="Times New Roman" w:cs="Times New Roman"/>
          <w:color w:val="000000"/>
          <w:kern w:val="0"/>
          <w:szCs w:val="21"/>
        </w:rPr>
        <w:t>XGBoost</w:t>
      </w:r>
      <w:proofErr w:type="spellEnd"/>
    </w:p>
    <w:p w:rsidR="00D667E2" w:rsidRPr="00D667E2" w:rsidRDefault="00D667E2" w:rsidP="00D667E2">
      <w:pPr>
        <w:widowControl/>
        <w:numPr>
          <w:ilvl w:val="0"/>
          <w:numId w:val="43"/>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color w:val="000000"/>
          <w:kern w:val="0"/>
          <w:szCs w:val="21"/>
        </w:rPr>
        <w:t>Random Forest</w:t>
      </w:r>
    </w:p>
    <w:p w:rsidR="00D667E2" w:rsidRPr="00D667E2" w:rsidRDefault="00D667E2" w:rsidP="00D667E2">
      <w:pPr>
        <w:widowControl/>
        <w:numPr>
          <w:ilvl w:val="0"/>
          <w:numId w:val="43"/>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color w:val="000000"/>
          <w:kern w:val="0"/>
          <w:szCs w:val="21"/>
        </w:rPr>
        <w:t>Elastic Net</w:t>
      </w:r>
    </w:p>
    <w:p w:rsidR="00D667E2" w:rsidRPr="00D667E2" w:rsidRDefault="00D667E2" w:rsidP="00D667E2">
      <w:pPr>
        <w:widowControl/>
        <w:numPr>
          <w:ilvl w:val="0"/>
          <w:numId w:val="43"/>
        </w:numPr>
        <w:shd w:val="clear" w:color="auto" w:fill="FFFFFF"/>
        <w:spacing w:after="45" w:line="300" w:lineRule="atLeast"/>
        <w:jc w:val="left"/>
        <w:rPr>
          <w:rFonts w:ascii="Times New Roman" w:eastAsia="宋体" w:hAnsi="Times New Roman" w:cs="Times New Roman"/>
          <w:color w:val="000000"/>
          <w:kern w:val="0"/>
          <w:szCs w:val="21"/>
        </w:rPr>
      </w:pPr>
      <w:proofErr w:type="spellStart"/>
      <w:r w:rsidRPr="00D667E2">
        <w:rPr>
          <w:rFonts w:ascii="Times New Roman" w:eastAsia="宋体" w:hAnsi="Times New Roman" w:cs="Times New Roman"/>
          <w:color w:val="000000"/>
          <w:kern w:val="0"/>
          <w:szCs w:val="21"/>
        </w:rPr>
        <w:t>plsRglm</w:t>
      </w:r>
      <w:proofErr w:type="spellEnd"/>
    </w:p>
    <w:p w:rsidR="00D667E2" w:rsidRPr="00D667E2" w:rsidRDefault="00D667E2" w:rsidP="00D667E2">
      <w:pPr>
        <w:widowControl/>
        <w:numPr>
          <w:ilvl w:val="0"/>
          <w:numId w:val="43"/>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color w:val="000000"/>
          <w:kern w:val="0"/>
          <w:szCs w:val="21"/>
        </w:rPr>
        <w:t>GBM</w:t>
      </w:r>
    </w:p>
    <w:p w:rsidR="00D667E2" w:rsidRPr="00D667E2" w:rsidRDefault="00D667E2" w:rsidP="00D667E2">
      <w:pPr>
        <w:widowControl/>
        <w:numPr>
          <w:ilvl w:val="0"/>
          <w:numId w:val="43"/>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color w:val="000000"/>
          <w:kern w:val="0"/>
          <w:szCs w:val="21"/>
        </w:rPr>
        <w:t>Naive Bayes</w:t>
      </w:r>
    </w:p>
    <w:p w:rsidR="00D667E2" w:rsidRPr="00D667E2" w:rsidRDefault="00D667E2" w:rsidP="00D667E2">
      <w:pPr>
        <w:widowControl/>
        <w:numPr>
          <w:ilvl w:val="0"/>
          <w:numId w:val="43"/>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color w:val="000000"/>
          <w:kern w:val="0"/>
          <w:szCs w:val="21"/>
        </w:rPr>
        <w:t>LDA</w:t>
      </w:r>
    </w:p>
    <w:p w:rsidR="00D667E2" w:rsidRPr="00D667E2" w:rsidRDefault="00D667E2" w:rsidP="00D667E2">
      <w:pPr>
        <w:widowControl/>
        <w:numPr>
          <w:ilvl w:val="0"/>
          <w:numId w:val="43"/>
        </w:numPr>
        <w:shd w:val="clear" w:color="auto" w:fill="FFFFFF"/>
        <w:spacing w:after="45" w:line="300" w:lineRule="atLeast"/>
        <w:jc w:val="left"/>
        <w:rPr>
          <w:rFonts w:ascii="Times New Roman" w:eastAsia="宋体" w:hAnsi="Times New Roman" w:cs="Times New Roman"/>
          <w:color w:val="000000"/>
          <w:kern w:val="0"/>
          <w:szCs w:val="21"/>
        </w:rPr>
      </w:pPr>
      <w:proofErr w:type="spellStart"/>
      <w:r w:rsidRPr="00D667E2">
        <w:rPr>
          <w:rFonts w:ascii="Times New Roman" w:eastAsia="宋体" w:hAnsi="Times New Roman" w:cs="Times New Roman"/>
          <w:color w:val="000000"/>
          <w:kern w:val="0"/>
          <w:szCs w:val="21"/>
        </w:rPr>
        <w:t>glmBoost</w:t>
      </w:r>
      <w:proofErr w:type="spellEnd"/>
    </w:p>
    <w:p w:rsidR="00D667E2" w:rsidRPr="00D667E2" w:rsidRDefault="00D667E2" w:rsidP="00D667E2">
      <w:pPr>
        <w:widowControl/>
        <w:numPr>
          <w:ilvl w:val="0"/>
          <w:numId w:val="43"/>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color w:val="000000"/>
          <w:kern w:val="0"/>
          <w:szCs w:val="21"/>
        </w:rPr>
        <w:t>SVM</w:t>
      </w:r>
    </w:p>
    <w:p w:rsidR="00D667E2" w:rsidRPr="00D667E2" w:rsidRDefault="00D667E2" w:rsidP="00D667E2">
      <w:pPr>
        <w:widowControl/>
        <w:numPr>
          <w:ilvl w:val="0"/>
          <w:numId w:val="44"/>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b/>
          <w:bCs/>
          <w:color w:val="000000"/>
          <w:kern w:val="0"/>
          <w:szCs w:val="21"/>
        </w:rPr>
        <w:t>Training Cohort:</w:t>
      </w:r>
      <w:r w:rsidRPr="00D667E2">
        <w:rPr>
          <w:rFonts w:ascii="Times New Roman" w:eastAsia="宋体" w:hAnsi="Times New Roman" w:cs="Times New Roman"/>
          <w:color w:val="000000"/>
          <w:kern w:val="0"/>
          <w:szCs w:val="21"/>
        </w:rPr>
        <w:t> Merged GSE7543 and GSE60767.</w:t>
      </w:r>
    </w:p>
    <w:p w:rsidR="00D667E2" w:rsidRPr="00D667E2" w:rsidRDefault="00D667E2" w:rsidP="00D667E2">
      <w:pPr>
        <w:widowControl/>
        <w:numPr>
          <w:ilvl w:val="0"/>
          <w:numId w:val="44"/>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b/>
          <w:bCs/>
          <w:color w:val="000000"/>
          <w:kern w:val="0"/>
          <w:szCs w:val="21"/>
        </w:rPr>
        <w:t>Validation Cohorts:</w:t>
      </w:r>
      <w:r w:rsidRPr="00D667E2">
        <w:rPr>
          <w:rFonts w:ascii="Times New Roman" w:eastAsia="宋体" w:hAnsi="Times New Roman" w:cs="Times New Roman"/>
          <w:color w:val="000000"/>
          <w:kern w:val="0"/>
          <w:szCs w:val="21"/>
        </w:rPr>
        <w:t> GSE63095 and GSE83864.</w:t>
      </w:r>
    </w:p>
    <w:p w:rsidR="00D667E2" w:rsidRPr="00D667E2" w:rsidRDefault="00D667E2" w:rsidP="00D667E2">
      <w:pPr>
        <w:widowControl/>
        <w:numPr>
          <w:ilvl w:val="0"/>
          <w:numId w:val="44"/>
        </w:numPr>
        <w:shd w:val="clear" w:color="auto" w:fill="FFFFFF"/>
        <w:spacing w:after="45"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b/>
          <w:bCs/>
          <w:color w:val="000000"/>
          <w:kern w:val="0"/>
          <w:szCs w:val="21"/>
        </w:rPr>
        <w:t>Model Evaluation:</w:t>
      </w:r>
      <w:r w:rsidRPr="00D667E2">
        <w:rPr>
          <w:rFonts w:ascii="Times New Roman" w:eastAsia="宋体" w:hAnsi="Times New Roman" w:cs="Times New Roman"/>
          <w:color w:val="000000"/>
          <w:kern w:val="0"/>
          <w:szCs w:val="21"/>
        </w:rPr>
        <w:t> A 10-fold repeated cross-validation was used. The model with the highest average Area Under the Curve (AUC) across both internal and external validation was selected as optimal.</w:t>
      </w:r>
    </w:p>
    <w:p w:rsidR="00D667E2" w:rsidRPr="00D667E2" w:rsidRDefault="00D667E2" w:rsidP="00D667E2">
      <w:pPr>
        <w:widowControl/>
        <w:jc w:val="left"/>
        <w:rPr>
          <w:rFonts w:ascii="Times New Roman" w:eastAsia="宋体" w:hAnsi="Times New Roman" w:cs="Times New Roman"/>
          <w:kern w:val="0"/>
          <w:sz w:val="24"/>
          <w:szCs w:val="24"/>
        </w:rPr>
      </w:pPr>
      <w:r w:rsidRPr="00D667E2">
        <w:rPr>
          <w:rFonts w:ascii="Times New Roman" w:eastAsia="宋体" w:hAnsi="Times New Roman" w:cs="Times New Roman"/>
          <w:kern w:val="0"/>
          <w:sz w:val="24"/>
          <w:szCs w:val="24"/>
        </w:rPr>
        <w:pict>
          <v:rect id="_x0000_i1113" style="width:396.55pt;height:1.5pt" o:hrpct="0" o:hralign="center" o:hrstd="t" o:hrnoshade="t" o:hr="t" fillcolor="black" stroked="f"/>
        </w:pict>
      </w:r>
    </w:p>
    <w:p w:rsidR="00D667E2" w:rsidRPr="00D667E2" w:rsidRDefault="00D667E2" w:rsidP="00D667E2">
      <w:pPr>
        <w:widowControl/>
        <w:shd w:val="clear" w:color="auto" w:fill="FFFFFF"/>
        <w:spacing w:before="100" w:beforeAutospacing="1" w:line="300" w:lineRule="atLeast"/>
        <w:jc w:val="left"/>
        <w:rPr>
          <w:rFonts w:ascii="Times New Roman" w:eastAsia="宋体" w:hAnsi="Times New Roman" w:cs="Times New Roman"/>
          <w:color w:val="000000"/>
          <w:kern w:val="0"/>
          <w:szCs w:val="21"/>
        </w:rPr>
      </w:pPr>
      <w:r w:rsidRPr="00D667E2">
        <w:rPr>
          <w:rFonts w:ascii="Times New Roman" w:eastAsia="宋体" w:hAnsi="Times New Roman" w:cs="Times New Roman"/>
          <w:b/>
          <w:bCs/>
          <w:color w:val="000000"/>
          <w:kern w:val="0"/>
          <w:szCs w:val="21"/>
        </w:rPr>
        <w:lastRenderedPageBreak/>
        <w:t>S2.7 Immune Cell Infiltration Analysis</w:t>
      </w:r>
      <w:r w:rsidRPr="00D667E2">
        <w:rPr>
          <w:rFonts w:ascii="Times New Roman" w:eastAsia="宋体" w:hAnsi="Times New Roman" w:cs="Times New Roman"/>
          <w:color w:val="000000"/>
          <w:kern w:val="0"/>
          <w:szCs w:val="21"/>
        </w:rPr>
        <w:br/>
        <w:t>To characterize the immune landscape in response to air pollution, we used the </w:t>
      </w:r>
      <w:r w:rsidRPr="00D667E2">
        <w:rPr>
          <w:rFonts w:ascii="Times New Roman" w:eastAsia="宋体" w:hAnsi="Times New Roman" w:cs="Times New Roman"/>
          <w:b/>
          <w:bCs/>
          <w:color w:val="000000"/>
          <w:kern w:val="0"/>
          <w:szCs w:val="21"/>
        </w:rPr>
        <w:t>CIBERSORT algorithm</w:t>
      </w:r>
      <w:r w:rsidRPr="00D667E2">
        <w:rPr>
          <w:rFonts w:ascii="Times New Roman" w:eastAsia="宋体" w:hAnsi="Times New Roman" w:cs="Times New Roman"/>
          <w:color w:val="000000"/>
          <w:kern w:val="0"/>
          <w:szCs w:val="21"/>
        </w:rPr>
        <w:t> to estimate the relative proportions of 22 distinct immune cell subsets from the bulk gene expression data. CIBERSORT applies a deconvolution method using a validated leukocyte gene signature matrix (LM22) to infer cell fractions. The resulting immune cell abundance matrix was used for group comparisons and correlation with key genes like </w:t>
      </w:r>
      <w:r w:rsidRPr="00D667E2">
        <w:rPr>
          <w:rFonts w:ascii="Times New Roman" w:eastAsia="宋体" w:hAnsi="Times New Roman" w:cs="Times New Roman"/>
          <w:i/>
          <w:iCs/>
          <w:color w:val="000000"/>
          <w:kern w:val="0"/>
          <w:szCs w:val="21"/>
        </w:rPr>
        <w:t>PTGS2</w:t>
      </w:r>
      <w:r w:rsidRPr="00D667E2">
        <w:rPr>
          <w:rFonts w:ascii="Times New Roman" w:eastAsia="宋体" w:hAnsi="Times New Roman" w:cs="Times New Roman"/>
          <w:color w:val="000000"/>
          <w:kern w:val="0"/>
          <w:szCs w:val="21"/>
        </w:rPr>
        <w:t>.</w:t>
      </w:r>
    </w:p>
    <w:p w:rsidR="00707BEB" w:rsidRPr="00707BEB" w:rsidRDefault="00D667E2" w:rsidP="00D667E2">
      <w:pPr>
        <w:widowControl/>
        <w:jc w:val="left"/>
        <w:rPr>
          <w:rFonts w:ascii="Times New Roman" w:hAnsi="Times New Roman" w:cs="Times New Roman"/>
          <w:bCs/>
          <w:sz w:val="20"/>
          <w:szCs w:val="20"/>
        </w:rPr>
      </w:pPr>
      <w:r w:rsidRPr="00707BEB">
        <w:rPr>
          <w:rFonts w:ascii="Times New Roman" w:hAnsi="Times New Roman" w:cs="Times New Roman"/>
          <w:bCs/>
          <w:sz w:val="20"/>
          <w:szCs w:val="20"/>
        </w:rPr>
        <w:t xml:space="preserve"> </w:t>
      </w:r>
      <w:r w:rsidR="00707BEB" w:rsidRPr="00707BEB">
        <w:rPr>
          <w:rFonts w:ascii="Times New Roman" w:hAnsi="Times New Roman" w:cs="Times New Roman"/>
          <w:bCs/>
          <w:sz w:val="20"/>
          <w:szCs w:val="20"/>
        </w:rPr>
        <w:br w:type="page"/>
      </w:r>
    </w:p>
    <w:p w:rsidR="00C068D9" w:rsidRPr="00C068D9" w:rsidRDefault="00C068D9" w:rsidP="00C068D9">
      <w:pPr>
        <w:widowControl/>
        <w:shd w:val="clear" w:color="auto" w:fill="FFFFFF"/>
        <w:spacing w:line="420" w:lineRule="atLeast"/>
        <w:jc w:val="left"/>
        <w:outlineLvl w:val="2"/>
        <w:rPr>
          <w:rFonts w:ascii="Helvetica Neue" w:eastAsia="宋体" w:hAnsi="Helvetica Neue" w:cs="宋体"/>
          <w:color w:val="000000"/>
          <w:kern w:val="0"/>
          <w:sz w:val="33"/>
          <w:szCs w:val="33"/>
        </w:rPr>
      </w:pPr>
      <w:r w:rsidRPr="00C068D9">
        <w:rPr>
          <w:rFonts w:ascii="Helvetica Neue" w:eastAsia="宋体" w:hAnsi="Helvetica Neue" w:cs="宋体"/>
          <w:b/>
          <w:bCs/>
          <w:color w:val="000000"/>
          <w:kern w:val="0"/>
          <w:sz w:val="33"/>
          <w:szCs w:val="33"/>
        </w:rPr>
        <w:lastRenderedPageBreak/>
        <w:t>Supplementary Appendix S3. Experimental Protocols for In Vitro and In Vivo Validation</w:t>
      </w:r>
    </w:p>
    <w:p w:rsidR="00C068D9" w:rsidRPr="00C068D9" w:rsidRDefault="00C068D9" w:rsidP="00C068D9">
      <w:pPr>
        <w:widowControl/>
        <w:shd w:val="clear" w:color="auto" w:fill="FFFFFF"/>
        <w:spacing w:before="100" w:beforeAutospacing="1" w:after="270"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S3.1 Preparation of Mixed Air Pollutant Suspension</w:t>
      </w:r>
      <w:r w:rsidRPr="00C068D9">
        <w:rPr>
          <w:rFonts w:ascii="Helvetica Neue" w:eastAsia="宋体" w:hAnsi="Helvetica Neue" w:cs="宋体"/>
          <w:color w:val="000000"/>
          <w:kern w:val="0"/>
          <w:szCs w:val="21"/>
        </w:rPr>
        <w:br/>
        <w:t>A laboratory-simulated air pollutant mixture was prepared to reflect typical urban atmospheric composition, with component concentrations guided by national environmental monitoring data.</w:t>
      </w:r>
    </w:p>
    <w:p w:rsidR="00C068D9" w:rsidRPr="00C068D9" w:rsidRDefault="00C068D9" w:rsidP="00C068D9">
      <w:pPr>
        <w:widowControl/>
        <w:numPr>
          <w:ilvl w:val="0"/>
          <w:numId w:val="45"/>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Particulate Matter (PM</w:t>
      </w:r>
      <w:proofErr w:type="gramStart"/>
      <w:r w:rsidRPr="00C068D9">
        <w:rPr>
          <w:rFonts w:ascii="Helvetica Neue" w:eastAsia="宋体" w:hAnsi="Helvetica Neue" w:cs="宋体"/>
          <w:b/>
          <w:bCs/>
          <w:color w:val="000000"/>
          <w:kern w:val="0"/>
          <w:szCs w:val="21"/>
        </w:rPr>
        <w:t>₂.₅</w:t>
      </w:r>
      <w:proofErr w:type="gramEnd"/>
      <w:r w:rsidRPr="00C068D9">
        <w:rPr>
          <w:rFonts w:ascii="Helvetica Neue" w:eastAsia="宋体" w:hAnsi="Helvetica Neue" w:cs="宋体"/>
          <w:b/>
          <w:bCs/>
          <w:color w:val="000000"/>
          <w:kern w:val="0"/>
          <w:szCs w:val="21"/>
        </w:rPr>
        <w:t>):</w:t>
      </w:r>
      <w:r w:rsidRPr="00C068D9">
        <w:rPr>
          <w:rFonts w:ascii="Helvetica Neue" w:eastAsia="宋体" w:hAnsi="Helvetica Neue" w:cs="宋体"/>
          <w:color w:val="000000"/>
          <w:kern w:val="0"/>
          <w:szCs w:val="21"/>
        </w:rPr>
        <w:t> Urban particulate matter (NIST Standard Reference Material 1649b, Urban Dust) was suspended in sterile, endotoxin-free PBS to create a stock concentration of 100 µg/</w:t>
      </w:r>
      <w:proofErr w:type="spellStart"/>
      <w:r w:rsidRPr="00C068D9">
        <w:rPr>
          <w:rFonts w:ascii="Helvetica Neue" w:eastAsia="宋体" w:hAnsi="Helvetica Neue" w:cs="宋体"/>
          <w:color w:val="000000"/>
          <w:kern w:val="0"/>
          <w:szCs w:val="21"/>
        </w:rPr>
        <w:t>mL.</w:t>
      </w:r>
      <w:proofErr w:type="spellEnd"/>
      <w:r w:rsidRPr="00C068D9">
        <w:rPr>
          <w:rFonts w:ascii="Helvetica Neue" w:eastAsia="宋体" w:hAnsi="Helvetica Neue" w:cs="宋体"/>
          <w:color w:val="000000"/>
          <w:kern w:val="0"/>
          <w:szCs w:val="21"/>
        </w:rPr>
        <w:t xml:space="preserve"> The suspension was sonicated on ice for 15 minutes in a water bath </w:t>
      </w:r>
      <w:proofErr w:type="spellStart"/>
      <w:r w:rsidRPr="00C068D9">
        <w:rPr>
          <w:rFonts w:ascii="Helvetica Neue" w:eastAsia="宋体" w:hAnsi="Helvetica Neue" w:cs="宋体"/>
          <w:color w:val="000000"/>
          <w:kern w:val="0"/>
          <w:szCs w:val="21"/>
        </w:rPr>
        <w:t>sonicator</w:t>
      </w:r>
      <w:proofErr w:type="spellEnd"/>
      <w:r w:rsidRPr="00C068D9">
        <w:rPr>
          <w:rFonts w:ascii="Helvetica Neue" w:eastAsia="宋体" w:hAnsi="Helvetica Neue" w:cs="宋体"/>
          <w:color w:val="000000"/>
          <w:kern w:val="0"/>
          <w:szCs w:val="21"/>
        </w:rPr>
        <w:t xml:space="preserve"> to ensure homogeneity and prevent aggregation.</w:t>
      </w:r>
    </w:p>
    <w:p w:rsidR="00C068D9" w:rsidRPr="00C068D9" w:rsidRDefault="00C068D9" w:rsidP="00C068D9">
      <w:pPr>
        <w:widowControl/>
        <w:numPr>
          <w:ilvl w:val="0"/>
          <w:numId w:val="45"/>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Sulfur Dioxide (SO₂) and Nitrogen Dioxide (NO₂):</w:t>
      </w:r>
      <w:r w:rsidRPr="00C068D9">
        <w:rPr>
          <w:rFonts w:ascii="Helvetica Neue" w:eastAsia="宋体" w:hAnsi="Helvetica Neue" w:cs="宋体"/>
          <w:color w:val="000000"/>
          <w:kern w:val="0"/>
          <w:szCs w:val="21"/>
        </w:rPr>
        <w:t> Gaseous reagents were dissolved into sterile PBS in a sealed container to achieve stock solutions, which were then diluted to final experimental concentrations of 0.5 ppm and 0.3 ppm, respectively.</w:t>
      </w:r>
    </w:p>
    <w:p w:rsidR="00C068D9" w:rsidRPr="00C068D9" w:rsidRDefault="00C068D9" w:rsidP="00C068D9">
      <w:pPr>
        <w:widowControl/>
        <w:numPr>
          <w:ilvl w:val="0"/>
          <w:numId w:val="45"/>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Non-Methane Volatile Organic Compounds (NMVOCs):</w:t>
      </w:r>
      <w:r w:rsidRPr="00C068D9">
        <w:rPr>
          <w:rFonts w:ascii="Helvetica Neue" w:eastAsia="宋体" w:hAnsi="Helvetica Neue" w:cs="宋体"/>
          <w:color w:val="000000"/>
          <w:kern w:val="0"/>
          <w:szCs w:val="21"/>
        </w:rPr>
        <w:t> Represented by a diluted mixture of key urban pollutants—benzene, toluene, and formaldehyde—prepared in an ethanol-PBS vehicle. The final concentration of ethanol in the culture medium was maintained at 0.1% (v/v) to prevent vehicle-induced toxicity.</w:t>
      </w:r>
    </w:p>
    <w:p w:rsidR="00C068D9" w:rsidRPr="00C068D9" w:rsidRDefault="00C068D9" w:rsidP="00C068D9">
      <w:pPr>
        <w:widowControl/>
        <w:shd w:val="clear" w:color="auto" w:fill="FFFFFF"/>
        <w:spacing w:before="100" w:beforeAutospacing="1" w:after="270" w:line="300" w:lineRule="atLeast"/>
        <w:jc w:val="left"/>
        <w:rPr>
          <w:rFonts w:ascii="Helvetica Neue" w:eastAsia="宋体" w:hAnsi="Helvetica Neue" w:cs="宋体"/>
          <w:color w:val="000000"/>
          <w:kern w:val="0"/>
          <w:szCs w:val="21"/>
        </w:rPr>
      </w:pPr>
      <w:r w:rsidRPr="00C068D9">
        <w:rPr>
          <w:rFonts w:ascii="Helvetica Neue" w:eastAsia="宋体" w:hAnsi="Helvetica Neue" w:cs="宋体"/>
          <w:color w:val="000000"/>
          <w:kern w:val="0"/>
          <w:szCs w:val="21"/>
        </w:rPr>
        <w:t>The complete mixture was freshly prepared for each experiment, vortexed thoroughly, and sterilized by filtration through a 0.22 µm syringe filter before application to cells or animals.</w:t>
      </w:r>
    </w:p>
    <w:p w:rsidR="00C068D9" w:rsidRPr="00C068D9" w:rsidRDefault="00C068D9" w:rsidP="00C068D9">
      <w:pPr>
        <w:widowControl/>
        <w:jc w:val="left"/>
        <w:rPr>
          <w:rFonts w:ascii="宋体" w:eastAsia="宋体" w:hAnsi="宋体" w:cs="宋体"/>
          <w:kern w:val="0"/>
          <w:sz w:val="24"/>
          <w:szCs w:val="24"/>
        </w:rPr>
      </w:pPr>
      <w:r w:rsidRPr="00C068D9">
        <w:rPr>
          <w:rFonts w:ascii="宋体" w:eastAsia="宋体" w:hAnsi="宋体" w:cs="宋体"/>
          <w:kern w:val="0"/>
          <w:sz w:val="24"/>
          <w:szCs w:val="24"/>
        </w:rPr>
        <w:pict>
          <v:rect id="_x0000_i1122" style="width:396.55pt;height:1.5pt" o:hrpct="0" o:hralign="center" o:hrstd="t" o:hrnoshade="t" o:hr="t" fillcolor="black" stroked="f"/>
        </w:pict>
      </w:r>
    </w:p>
    <w:p w:rsidR="00C068D9" w:rsidRPr="00C068D9" w:rsidRDefault="00C068D9" w:rsidP="00C068D9">
      <w:pPr>
        <w:widowControl/>
        <w:shd w:val="clear" w:color="auto" w:fill="FFFFFF"/>
        <w:spacing w:before="100" w:beforeAutospacing="1" w:after="270"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S3.2 In Vitro Exposure Protocol</w:t>
      </w:r>
    </w:p>
    <w:p w:rsidR="00C068D9" w:rsidRPr="00C068D9" w:rsidRDefault="00C068D9" w:rsidP="00C068D9">
      <w:pPr>
        <w:widowControl/>
        <w:numPr>
          <w:ilvl w:val="0"/>
          <w:numId w:val="46"/>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Cell Line:</w:t>
      </w:r>
      <w:r w:rsidRPr="00C068D9">
        <w:rPr>
          <w:rFonts w:ascii="Helvetica Neue" w:eastAsia="宋体" w:hAnsi="Helvetica Neue" w:cs="宋体"/>
          <w:color w:val="000000"/>
          <w:kern w:val="0"/>
          <w:szCs w:val="21"/>
        </w:rPr>
        <w:t> Human Embryonic Kidney (HEK) 293T cells were obtained from the Cell Culture Center, Chinese Academy of Medical Sciences (Shanghai, China).</w:t>
      </w:r>
    </w:p>
    <w:p w:rsidR="00C068D9" w:rsidRPr="00C068D9" w:rsidRDefault="00C068D9" w:rsidP="00C068D9">
      <w:pPr>
        <w:widowControl/>
        <w:numPr>
          <w:ilvl w:val="0"/>
          <w:numId w:val="46"/>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Culture Conditions:</w:t>
      </w:r>
    </w:p>
    <w:p w:rsidR="00C068D9" w:rsidRPr="00C068D9" w:rsidRDefault="00C068D9" w:rsidP="00C068D9">
      <w:pPr>
        <w:widowControl/>
        <w:numPr>
          <w:ilvl w:val="1"/>
          <w:numId w:val="46"/>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color w:val="000000"/>
          <w:kern w:val="0"/>
          <w:szCs w:val="21"/>
        </w:rPr>
        <w:t>Medium: High-glucose Dulbecco's Modified Eagle Medium (DMEM; Gibco, Cat# 11965092) supplemented with 10% Fetal Bovine Serum (FBS; Gibco, Cat# 10099141) and 1% Penicillin-Streptomycin (Gibco, Cat# 15140122).</w:t>
      </w:r>
    </w:p>
    <w:p w:rsidR="00C068D9" w:rsidRPr="00C068D9" w:rsidRDefault="00C068D9" w:rsidP="00C068D9">
      <w:pPr>
        <w:widowControl/>
        <w:numPr>
          <w:ilvl w:val="1"/>
          <w:numId w:val="46"/>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color w:val="000000"/>
          <w:kern w:val="0"/>
          <w:szCs w:val="21"/>
        </w:rPr>
        <w:t>Incubation: 37°C in a humidified atmosphere with 5% CO₂.</w:t>
      </w:r>
    </w:p>
    <w:p w:rsidR="00C068D9" w:rsidRPr="00C068D9" w:rsidRDefault="00C068D9" w:rsidP="00C068D9">
      <w:pPr>
        <w:widowControl/>
        <w:numPr>
          <w:ilvl w:val="0"/>
          <w:numId w:val="46"/>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Experimental Setup:</w:t>
      </w:r>
    </w:p>
    <w:p w:rsidR="00C068D9" w:rsidRPr="00C068D9" w:rsidRDefault="00C068D9" w:rsidP="00C068D9">
      <w:pPr>
        <w:widowControl/>
        <w:numPr>
          <w:ilvl w:val="1"/>
          <w:numId w:val="46"/>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color w:val="000000"/>
          <w:kern w:val="0"/>
          <w:szCs w:val="21"/>
        </w:rPr>
        <w:t>Cells were seeded at a density of 2 × 10⁵ cells/well onto sterile 12-mm glass coverslips in 24-well plates and allowed to adhere for 24 hours before treatment.</w:t>
      </w:r>
    </w:p>
    <w:p w:rsidR="00C068D9" w:rsidRPr="00C068D9" w:rsidRDefault="00C068D9" w:rsidP="00C068D9">
      <w:pPr>
        <w:widowControl/>
        <w:numPr>
          <w:ilvl w:val="0"/>
          <w:numId w:val="46"/>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Treatment Groups (24-hour exposure):</w:t>
      </w:r>
    </w:p>
    <w:p w:rsidR="00C068D9" w:rsidRPr="00C068D9" w:rsidRDefault="00C068D9" w:rsidP="00C068D9">
      <w:pPr>
        <w:widowControl/>
        <w:numPr>
          <w:ilvl w:val="1"/>
          <w:numId w:val="47"/>
        </w:numPr>
        <w:shd w:val="clear" w:color="auto" w:fill="FFFFFF"/>
        <w:spacing w:after="45" w:line="300" w:lineRule="atLeast"/>
        <w:ind w:left="1440" w:hanging="360"/>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Control Group:</w:t>
      </w:r>
      <w:r w:rsidRPr="00C068D9">
        <w:rPr>
          <w:rFonts w:ascii="Helvetica Neue" w:eastAsia="宋体" w:hAnsi="Helvetica Neue" w:cs="宋体"/>
          <w:color w:val="000000"/>
          <w:kern w:val="0"/>
          <w:szCs w:val="21"/>
        </w:rPr>
        <w:t> Treated with an equivalent volume of the vehicle (sterile PBS containing 0.1% ethanol).</w:t>
      </w:r>
    </w:p>
    <w:p w:rsidR="00C068D9" w:rsidRPr="00C068D9" w:rsidRDefault="00C068D9" w:rsidP="00C068D9">
      <w:pPr>
        <w:widowControl/>
        <w:numPr>
          <w:ilvl w:val="1"/>
          <w:numId w:val="47"/>
        </w:numPr>
        <w:shd w:val="clear" w:color="auto" w:fill="FFFFFF"/>
        <w:spacing w:after="45" w:line="300" w:lineRule="atLeast"/>
        <w:ind w:left="1440" w:hanging="360"/>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Low-Dose Exposed Group:</w:t>
      </w:r>
      <w:r w:rsidRPr="00C068D9">
        <w:rPr>
          <w:rFonts w:ascii="Helvetica Neue" w:eastAsia="宋体" w:hAnsi="Helvetica Neue" w:cs="宋体"/>
          <w:color w:val="000000"/>
          <w:kern w:val="0"/>
          <w:szCs w:val="21"/>
        </w:rPr>
        <w:t> Treated with the pollutant mixture, corresponding to a final PM</w:t>
      </w:r>
      <w:proofErr w:type="gramStart"/>
      <w:r w:rsidRPr="00C068D9">
        <w:rPr>
          <w:rFonts w:ascii="Helvetica Neue" w:eastAsia="宋体" w:hAnsi="Helvetica Neue" w:cs="宋体"/>
          <w:color w:val="000000"/>
          <w:kern w:val="0"/>
          <w:szCs w:val="21"/>
        </w:rPr>
        <w:t>₂.₅</w:t>
      </w:r>
      <w:proofErr w:type="gramEnd"/>
      <w:r w:rsidRPr="00C068D9">
        <w:rPr>
          <w:rFonts w:ascii="Helvetica Neue" w:eastAsia="宋体" w:hAnsi="Helvetica Neue" w:cs="宋体"/>
          <w:color w:val="000000"/>
          <w:kern w:val="0"/>
          <w:szCs w:val="21"/>
        </w:rPr>
        <w:t xml:space="preserve"> concentration of 0.5 µg/</w:t>
      </w:r>
      <w:proofErr w:type="spellStart"/>
      <w:r w:rsidRPr="00C068D9">
        <w:rPr>
          <w:rFonts w:ascii="Helvetica Neue" w:eastAsia="宋体" w:hAnsi="Helvetica Neue" w:cs="宋体"/>
          <w:color w:val="000000"/>
          <w:kern w:val="0"/>
          <w:szCs w:val="21"/>
        </w:rPr>
        <w:t>mL.</w:t>
      </w:r>
      <w:proofErr w:type="spellEnd"/>
    </w:p>
    <w:p w:rsidR="00C068D9" w:rsidRPr="00C068D9" w:rsidRDefault="00C068D9" w:rsidP="00C068D9">
      <w:pPr>
        <w:widowControl/>
        <w:numPr>
          <w:ilvl w:val="1"/>
          <w:numId w:val="47"/>
        </w:numPr>
        <w:shd w:val="clear" w:color="auto" w:fill="FFFFFF"/>
        <w:spacing w:after="45" w:line="300" w:lineRule="atLeast"/>
        <w:ind w:left="1440" w:hanging="360"/>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lastRenderedPageBreak/>
        <w:t>High-Dose Exposed Group:</w:t>
      </w:r>
      <w:r w:rsidRPr="00C068D9">
        <w:rPr>
          <w:rFonts w:ascii="Helvetica Neue" w:eastAsia="宋体" w:hAnsi="Helvetica Neue" w:cs="宋体"/>
          <w:color w:val="000000"/>
          <w:kern w:val="0"/>
          <w:szCs w:val="21"/>
        </w:rPr>
        <w:t> Treated with the pollutant mixture, corresponding to a final PM</w:t>
      </w:r>
      <w:proofErr w:type="gramStart"/>
      <w:r w:rsidRPr="00C068D9">
        <w:rPr>
          <w:rFonts w:ascii="Helvetica Neue" w:eastAsia="宋体" w:hAnsi="Helvetica Neue" w:cs="宋体"/>
          <w:color w:val="000000"/>
          <w:kern w:val="0"/>
          <w:szCs w:val="21"/>
        </w:rPr>
        <w:t>₂.₅</w:t>
      </w:r>
      <w:proofErr w:type="gramEnd"/>
      <w:r w:rsidRPr="00C068D9">
        <w:rPr>
          <w:rFonts w:ascii="Helvetica Neue" w:eastAsia="宋体" w:hAnsi="Helvetica Neue" w:cs="宋体"/>
          <w:color w:val="000000"/>
          <w:kern w:val="0"/>
          <w:szCs w:val="21"/>
        </w:rPr>
        <w:t xml:space="preserve"> concentration of 1.0 µg/</w:t>
      </w:r>
      <w:proofErr w:type="spellStart"/>
      <w:r w:rsidRPr="00C068D9">
        <w:rPr>
          <w:rFonts w:ascii="Helvetica Neue" w:eastAsia="宋体" w:hAnsi="Helvetica Neue" w:cs="宋体"/>
          <w:color w:val="000000"/>
          <w:kern w:val="0"/>
          <w:szCs w:val="21"/>
        </w:rPr>
        <w:t>mL.</w:t>
      </w:r>
      <w:proofErr w:type="spellEnd"/>
    </w:p>
    <w:p w:rsidR="00C068D9" w:rsidRPr="00C068D9" w:rsidRDefault="00C068D9" w:rsidP="00C068D9">
      <w:pPr>
        <w:widowControl/>
        <w:numPr>
          <w:ilvl w:val="0"/>
          <w:numId w:val="47"/>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Post-Treatment Processing:</w:t>
      </w:r>
      <w:r w:rsidRPr="00C068D9">
        <w:rPr>
          <w:rFonts w:ascii="Helvetica Neue" w:eastAsia="宋体" w:hAnsi="Helvetica Neue" w:cs="宋体"/>
          <w:color w:val="000000"/>
          <w:kern w:val="0"/>
          <w:szCs w:val="21"/>
        </w:rPr>
        <w:t> After 24 hours, cells were washed twice with cold PBS and fixed with 4% paraformaldehyde in PBS for 15 minutes at room temperature for downstream immunofluorescence analysis.</w:t>
      </w:r>
    </w:p>
    <w:p w:rsidR="00C068D9" w:rsidRPr="00C068D9" w:rsidRDefault="00C068D9" w:rsidP="00C068D9">
      <w:pPr>
        <w:widowControl/>
        <w:jc w:val="left"/>
        <w:rPr>
          <w:rFonts w:ascii="宋体" w:eastAsia="宋体" w:hAnsi="宋体" w:cs="宋体"/>
          <w:kern w:val="0"/>
          <w:sz w:val="24"/>
          <w:szCs w:val="24"/>
        </w:rPr>
      </w:pPr>
      <w:r w:rsidRPr="00C068D9">
        <w:rPr>
          <w:rFonts w:ascii="宋体" w:eastAsia="宋体" w:hAnsi="宋体" w:cs="宋体"/>
          <w:kern w:val="0"/>
          <w:sz w:val="24"/>
          <w:szCs w:val="24"/>
        </w:rPr>
        <w:pict>
          <v:rect id="_x0000_i1123" style="width:396.55pt;height:1.5pt" o:hrpct="0" o:hralign="center" o:hrstd="t" o:hrnoshade="t" o:hr="t" fillcolor="black" stroked="f"/>
        </w:pict>
      </w:r>
    </w:p>
    <w:p w:rsidR="00C068D9" w:rsidRPr="00C068D9" w:rsidRDefault="00C068D9" w:rsidP="00C068D9">
      <w:pPr>
        <w:widowControl/>
        <w:shd w:val="clear" w:color="auto" w:fill="FFFFFF"/>
        <w:spacing w:before="100" w:beforeAutospacing="1" w:after="270"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S3.3 In Vivo Rat Exposure Protocol</w:t>
      </w:r>
    </w:p>
    <w:p w:rsidR="00C068D9" w:rsidRPr="00C068D9" w:rsidRDefault="00C068D9" w:rsidP="00C068D9">
      <w:pPr>
        <w:widowControl/>
        <w:numPr>
          <w:ilvl w:val="0"/>
          <w:numId w:val="48"/>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Animal Model:</w:t>
      </w:r>
      <w:r w:rsidRPr="00C068D9">
        <w:rPr>
          <w:rFonts w:ascii="Helvetica Neue" w:eastAsia="宋体" w:hAnsi="Helvetica Neue" w:cs="宋体"/>
          <w:color w:val="000000"/>
          <w:kern w:val="0"/>
          <w:szCs w:val="21"/>
        </w:rPr>
        <w:t xml:space="preserve"> Male Wistar rats (weight 200–220 g, 6–8 weeks old; n = 8 per group) were obtained from Vital River Laboratory Animal Technology Co., Ltd. (Beijing, China). All animal procedures were approved by the </w:t>
      </w:r>
      <w:proofErr w:type="spellStart"/>
      <w:r w:rsidRPr="00C068D9">
        <w:rPr>
          <w:rFonts w:ascii="Helvetica Neue" w:eastAsia="宋体" w:hAnsi="Helvetica Neue" w:cs="宋体"/>
          <w:color w:val="000000"/>
          <w:kern w:val="0"/>
          <w:szCs w:val="21"/>
        </w:rPr>
        <w:t>Shengjing</w:t>
      </w:r>
      <w:proofErr w:type="spellEnd"/>
      <w:r w:rsidRPr="00C068D9">
        <w:rPr>
          <w:rFonts w:ascii="Helvetica Neue" w:eastAsia="宋体" w:hAnsi="Helvetica Neue" w:cs="宋体"/>
          <w:color w:val="000000"/>
          <w:kern w:val="0"/>
          <w:szCs w:val="21"/>
        </w:rPr>
        <w:t xml:space="preserve"> Hospital of China Medical University Institutional Animal Care and Use Committee (Approval Code: 2024PS931K).</w:t>
      </w:r>
    </w:p>
    <w:p w:rsidR="00C068D9" w:rsidRPr="00C068D9" w:rsidRDefault="00C068D9" w:rsidP="00C068D9">
      <w:pPr>
        <w:widowControl/>
        <w:numPr>
          <w:ilvl w:val="0"/>
          <w:numId w:val="48"/>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Housing:</w:t>
      </w:r>
      <w:r w:rsidRPr="00C068D9">
        <w:rPr>
          <w:rFonts w:ascii="Helvetica Neue" w:eastAsia="宋体" w:hAnsi="Helvetica Neue" w:cs="宋体"/>
          <w:color w:val="000000"/>
          <w:kern w:val="0"/>
          <w:szCs w:val="21"/>
        </w:rPr>
        <w:t> Animals were housed in a specific-pathogen-free (SPF) facility with a 12-hour light/dark cycle and ad libitum access to standard chow and water.</w:t>
      </w:r>
    </w:p>
    <w:p w:rsidR="00C068D9" w:rsidRPr="00C068D9" w:rsidRDefault="00C068D9" w:rsidP="00C068D9">
      <w:pPr>
        <w:widowControl/>
        <w:numPr>
          <w:ilvl w:val="0"/>
          <w:numId w:val="48"/>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Exposure Protocol:</w:t>
      </w:r>
    </w:p>
    <w:p w:rsidR="00C068D9" w:rsidRPr="00C068D9" w:rsidRDefault="00C068D9" w:rsidP="00C068D9">
      <w:pPr>
        <w:widowControl/>
        <w:numPr>
          <w:ilvl w:val="1"/>
          <w:numId w:val="48"/>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color w:val="000000"/>
          <w:kern w:val="0"/>
          <w:szCs w:val="21"/>
        </w:rPr>
        <w:t>Under light isoflurane anesthesia, rats received intranasal instillations of the pollutant mixture (20 µL into each nostril, for a total of 40 µL per animal), 5 days per week.</w:t>
      </w:r>
    </w:p>
    <w:p w:rsidR="00C068D9" w:rsidRPr="00C068D9" w:rsidRDefault="00C068D9" w:rsidP="00C068D9">
      <w:pPr>
        <w:widowControl/>
        <w:numPr>
          <w:ilvl w:val="1"/>
          <w:numId w:val="48"/>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color w:val="000000"/>
          <w:kern w:val="0"/>
          <w:szCs w:val="21"/>
        </w:rPr>
        <w:t>The </w:t>
      </w:r>
      <w:r w:rsidRPr="00C068D9">
        <w:rPr>
          <w:rFonts w:ascii="Helvetica Neue" w:eastAsia="宋体" w:hAnsi="Helvetica Neue" w:cs="宋体"/>
          <w:b/>
          <w:bCs/>
          <w:color w:val="000000"/>
          <w:kern w:val="0"/>
          <w:szCs w:val="21"/>
        </w:rPr>
        <w:t>Control group</w:t>
      </w:r>
      <w:r w:rsidRPr="00C068D9">
        <w:rPr>
          <w:rFonts w:ascii="Helvetica Neue" w:eastAsia="宋体" w:hAnsi="Helvetica Neue" w:cs="宋体"/>
          <w:color w:val="000000"/>
          <w:kern w:val="0"/>
          <w:szCs w:val="21"/>
        </w:rPr>
        <w:t> received instillations of the vehicle control (sterile saline containing 0.1% ethanol).</w:t>
      </w:r>
    </w:p>
    <w:p w:rsidR="00C068D9" w:rsidRPr="00C068D9" w:rsidRDefault="00C068D9" w:rsidP="00C068D9">
      <w:pPr>
        <w:widowControl/>
        <w:numPr>
          <w:ilvl w:val="1"/>
          <w:numId w:val="48"/>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color w:val="000000"/>
          <w:kern w:val="0"/>
          <w:szCs w:val="21"/>
        </w:rPr>
        <w:t>Two exposure durations were used to model different cumulative exposures: a </w:t>
      </w:r>
      <w:r w:rsidRPr="00C068D9">
        <w:rPr>
          <w:rFonts w:ascii="Helvetica Neue" w:eastAsia="宋体" w:hAnsi="Helvetica Neue" w:cs="宋体"/>
          <w:b/>
          <w:bCs/>
          <w:color w:val="000000"/>
          <w:kern w:val="0"/>
          <w:szCs w:val="21"/>
        </w:rPr>
        <w:t>3-week group</w:t>
      </w:r>
      <w:r w:rsidRPr="00C068D9">
        <w:rPr>
          <w:rFonts w:ascii="Helvetica Neue" w:eastAsia="宋体" w:hAnsi="Helvetica Neue" w:cs="宋体"/>
          <w:color w:val="000000"/>
          <w:kern w:val="0"/>
          <w:szCs w:val="21"/>
        </w:rPr>
        <w:t> and a </w:t>
      </w:r>
      <w:r w:rsidRPr="00C068D9">
        <w:rPr>
          <w:rFonts w:ascii="Helvetica Neue" w:eastAsia="宋体" w:hAnsi="Helvetica Neue" w:cs="宋体"/>
          <w:b/>
          <w:bCs/>
          <w:color w:val="000000"/>
          <w:kern w:val="0"/>
          <w:szCs w:val="21"/>
        </w:rPr>
        <w:t>6-week group</w:t>
      </w:r>
      <w:r w:rsidRPr="00C068D9">
        <w:rPr>
          <w:rFonts w:ascii="Helvetica Neue" w:eastAsia="宋体" w:hAnsi="Helvetica Neue" w:cs="宋体"/>
          <w:color w:val="000000"/>
          <w:kern w:val="0"/>
          <w:szCs w:val="21"/>
        </w:rPr>
        <w:t>.</w:t>
      </w:r>
    </w:p>
    <w:p w:rsidR="00C068D9" w:rsidRPr="00C068D9" w:rsidRDefault="00C068D9" w:rsidP="00C068D9">
      <w:pPr>
        <w:widowControl/>
        <w:numPr>
          <w:ilvl w:val="0"/>
          <w:numId w:val="48"/>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Endpoint and Tissue Collection:</w:t>
      </w:r>
      <w:r w:rsidRPr="00C068D9">
        <w:rPr>
          <w:rFonts w:ascii="Helvetica Neue" w:eastAsia="宋体" w:hAnsi="Helvetica Neue" w:cs="宋体"/>
          <w:color w:val="000000"/>
          <w:kern w:val="0"/>
          <w:szCs w:val="21"/>
        </w:rPr>
        <w:t> At the end of the respective exposure periods (3 or 6 weeks), animals were euthanized by CO₂ asphyxiation followed by cervical dislocation. The lung, liver, spleen, and kidney were rapidly harvested, fixed in 4% paraformaldehyde for 24 hours, and processed for paraffin embedding and sectioning (4 µm).</w:t>
      </w:r>
    </w:p>
    <w:p w:rsidR="00C068D9" w:rsidRPr="00C068D9" w:rsidRDefault="00C068D9" w:rsidP="00C068D9">
      <w:pPr>
        <w:widowControl/>
        <w:jc w:val="left"/>
        <w:rPr>
          <w:rFonts w:ascii="宋体" w:eastAsia="宋体" w:hAnsi="宋体" w:cs="宋体"/>
          <w:kern w:val="0"/>
          <w:sz w:val="24"/>
          <w:szCs w:val="24"/>
        </w:rPr>
      </w:pPr>
      <w:r w:rsidRPr="00C068D9">
        <w:rPr>
          <w:rFonts w:ascii="宋体" w:eastAsia="宋体" w:hAnsi="宋体" w:cs="宋体"/>
          <w:kern w:val="0"/>
          <w:sz w:val="24"/>
          <w:szCs w:val="24"/>
        </w:rPr>
        <w:pict>
          <v:rect id="_x0000_i1124" style="width:396.55pt;height:1.5pt" o:hrpct="0" o:hralign="center" o:hrstd="t" o:hrnoshade="t" o:hr="t" fillcolor="black" stroked="f"/>
        </w:pict>
      </w:r>
    </w:p>
    <w:p w:rsidR="00C068D9" w:rsidRPr="00C068D9" w:rsidRDefault="00C068D9" w:rsidP="00C068D9">
      <w:pPr>
        <w:widowControl/>
        <w:shd w:val="clear" w:color="auto" w:fill="FFFFFF"/>
        <w:spacing w:before="100" w:beforeAutospacing="1" w:after="270"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S3.4 Immunofluorescence (IF) Staining Protocol</w:t>
      </w:r>
    </w:p>
    <w:p w:rsidR="00C068D9" w:rsidRPr="00C068D9" w:rsidRDefault="00C068D9" w:rsidP="00C068D9">
      <w:pPr>
        <w:widowControl/>
        <w:numPr>
          <w:ilvl w:val="0"/>
          <w:numId w:val="49"/>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Deparaffinization &amp; Rehydration:</w:t>
      </w:r>
      <w:r w:rsidRPr="00C068D9">
        <w:rPr>
          <w:rFonts w:ascii="Helvetica Neue" w:eastAsia="宋体" w:hAnsi="Helvetica Neue" w:cs="宋体"/>
          <w:color w:val="000000"/>
          <w:kern w:val="0"/>
          <w:szCs w:val="21"/>
        </w:rPr>
        <w:t> Tissue sections were deparaffinized in xylene (2x 5 min) and rehydrated through a graded ethanol series (100%, 95%, 70%; 3 min each) to deionized water.</w:t>
      </w:r>
    </w:p>
    <w:p w:rsidR="00C068D9" w:rsidRPr="00C068D9" w:rsidRDefault="00C068D9" w:rsidP="00C068D9">
      <w:pPr>
        <w:widowControl/>
        <w:numPr>
          <w:ilvl w:val="0"/>
          <w:numId w:val="49"/>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Antigen Retrieval:</w:t>
      </w:r>
      <w:r w:rsidRPr="00C068D9">
        <w:rPr>
          <w:rFonts w:ascii="Helvetica Neue" w:eastAsia="宋体" w:hAnsi="Helvetica Neue" w:cs="宋体"/>
          <w:color w:val="000000"/>
          <w:kern w:val="0"/>
          <w:szCs w:val="21"/>
        </w:rPr>
        <w:t> Slides were immersed in citrate buffer (10 mM, pH 6.0) and heated in a microwave oven at high power for 3 minutes, followed by low power for 12 minutes.</w:t>
      </w:r>
    </w:p>
    <w:p w:rsidR="00C068D9" w:rsidRPr="00C068D9" w:rsidRDefault="00C068D9" w:rsidP="00C068D9">
      <w:pPr>
        <w:widowControl/>
        <w:numPr>
          <w:ilvl w:val="0"/>
          <w:numId w:val="49"/>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Blocking:</w:t>
      </w:r>
      <w:r w:rsidRPr="00C068D9">
        <w:rPr>
          <w:rFonts w:ascii="Helvetica Neue" w:eastAsia="宋体" w:hAnsi="Helvetica Neue" w:cs="宋体"/>
          <w:color w:val="000000"/>
          <w:kern w:val="0"/>
          <w:szCs w:val="21"/>
        </w:rPr>
        <w:t> Non-specific binding was blocked with 5% Bovine Serum Albumin (BSA) in PBS for 1 hour at room temperature.</w:t>
      </w:r>
    </w:p>
    <w:p w:rsidR="00C068D9" w:rsidRPr="00C068D9" w:rsidRDefault="00C068D9" w:rsidP="00C068D9">
      <w:pPr>
        <w:widowControl/>
        <w:numPr>
          <w:ilvl w:val="0"/>
          <w:numId w:val="49"/>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Primary Antibody Incubation:</w:t>
      </w:r>
      <w:r w:rsidRPr="00C068D9">
        <w:rPr>
          <w:rFonts w:ascii="Helvetica Neue" w:eastAsia="宋体" w:hAnsi="Helvetica Neue" w:cs="宋体"/>
          <w:color w:val="000000"/>
          <w:kern w:val="0"/>
          <w:szCs w:val="21"/>
        </w:rPr>
        <w:t xml:space="preserve"> Slides were incubated overnight at 4°C with a rabbit polyclonal antibody against PTGS2 (1:200, </w:t>
      </w:r>
      <w:proofErr w:type="spellStart"/>
      <w:r w:rsidRPr="00C068D9">
        <w:rPr>
          <w:rFonts w:ascii="Helvetica Neue" w:eastAsia="宋体" w:hAnsi="Helvetica Neue" w:cs="宋体"/>
          <w:color w:val="000000"/>
          <w:kern w:val="0"/>
          <w:szCs w:val="21"/>
        </w:rPr>
        <w:t>Proteintech</w:t>
      </w:r>
      <w:proofErr w:type="spellEnd"/>
      <w:r w:rsidRPr="00C068D9">
        <w:rPr>
          <w:rFonts w:ascii="Helvetica Neue" w:eastAsia="宋体" w:hAnsi="Helvetica Neue" w:cs="宋体"/>
          <w:color w:val="000000"/>
          <w:kern w:val="0"/>
          <w:szCs w:val="21"/>
        </w:rPr>
        <w:t>, Cat# 27308-1-AP).</w:t>
      </w:r>
    </w:p>
    <w:p w:rsidR="00C068D9" w:rsidRPr="00C068D9" w:rsidRDefault="00C068D9" w:rsidP="00C068D9">
      <w:pPr>
        <w:widowControl/>
        <w:numPr>
          <w:ilvl w:val="0"/>
          <w:numId w:val="49"/>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lastRenderedPageBreak/>
        <w:t>Secondary Antibody Incubation:</w:t>
      </w:r>
      <w:r w:rsidRPr="00C068D9">
        <w:rPr>
          <w:rFonts w:ascii="Helvetica Neue" w:eastAsia="宋体" w:hAnsi="Helvetica Neue" w:cs="宋体"/>
          <w:color w:val="000000"/>
          <w:kern w:val="0"/>
          <w:szCs w:val="21"/>
        </w:rPr>
        <w:t> After washing three times with PBS, slides were incubated with an Alexa Fluor 488-conjugated Goat anti-Rabbit IgG secondary antibody (1:500, Invitrogen, Cat# A-11008) for 1 hour at room temperature in the dark.</w:t>
      </w:r>
    </w:p>
    <w:p w:rsidR="00C068D9" w:rsidRPr="00C068D9" w:rsidRDefault="00C068D9" w:rsidP="00C068D9">
      <w:pPr>
        <w:widowControl/>
        <w:numPr>
          <w:ilvl w:val="0"/>
          <w:numId w:val="49"/>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Nuclear Counterstaining:</w:t>
      </w:r>
      <w:r w:rsidRPr="00C068D9">
        <w:rPr>
          <w:rFonts w:ascii="Helvetica Neue" w:eastAsia="宋体" w:hAnsi="Helvetica Neue" w:cs="宋体"/>
          <w:color w:val="000000"/>
          <w:kern w:val="0"/>
          <w:szCs w:val="21"/>
        </w:rPr>
        <w:t xml:space="preserve"> Nuclei were stained with </w:t>
      </w:r>
      <w:bookmarkStart w:id="0" w:name="_GoBack"/>
      <w:bookmarkEnd w:id="0"/>
      <w:r w:rsidRPr="00C068D9">
        <w:rPr>
          <w:rFonts w:ascii="Helvetica Neue" w:eastAsia="宋体" w:hAnsi="Helvetica Neue" w:cs="宋体"/>
          <w:color w:val="000000"/>
          <w:kern w:val="0"/>
          <w:szCs w:val="21"/>
        </w:rPr>
        <w:t>DAPI (4′,6-diamidino-2-phenylindole; 1 µg/mL) for 5 minutes.</w:t>
      </w:r>
    </w:p>
    <w:p w:rsidR="00C068D9" w:rsidRPr="00C068D9" w:rsidRDefault="00C068D9" w:rsidP="00C068D9">
      <w:pPr>
        <w:widowControl/>
        <w:numPr>
          <w:ilvl w:val="0"/>
          <w:numId w:val="49"/>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Mounting:</w:t>
      </w:r>
      <w:r w:rsidRPr="00C068D9">
        <w:rPr>
          <w:rFonts w:ascii="Helvetica Neue" w:eastAsia="宋体" w:hAnsi="Helvetica Neue" w:cs="宋体"/>
          <w:color w:val="000000"/>
          <w:kern w:val="0"/>
          <w:szCs w:val="21"/>
        </w:rPr>
        <w:t xml:space="preserve"> Coverslips were mounted using </w:t>
      </w:r>
      <w:proofErr w:type="spellStart"/>
      <w:r w:rsidRPr="00C068D9">
        <w:rPr>
          <w:rFonts w:ascii="Helvetica Neue" w:eastAsia="宋体" w:hAnsi="Helvetica Neue" w:cs="宋体"/>
          <w:color w:val="000000"/>
          <w:kern w:val="0"/>
          <w:szCs w:val="21"/>
        </w:rPr>
        <w:t>ProLong</w:t>
      </w:r>
      <w:proofErr w:type="spellEnd"/>
      <w:r w:rsidRPr="00C068D9">
        <w:rPr>
          <w:rFonts w:ascii="Helvetica Neue" w:eastAsia="宋体" w:hAnsi="Helvetica Neue" w:cs="宋体"/>
          <w:color w:val="000000"/>
          <w:kern w:val="0"/>
          <w:szCs w:val="21"/>
        </w:rPr>
        <w:t xml:space="preserve"> Gold Antifade </w:t>
      </w:r>
      <w:proofErr w:type="spellStart"/>
      <w:r w:rsidRPr="00C068D9">
        <w:rPr>
          <w:rFonts w:ascii="Helvetica Neue" w:eastAsia="宋体" w:hAnsi="Helvetica Neue" w:cs="宋体"/>
          <w:color w:val="000000"/>
          <w:kern w:val="0"/>
          <w:szCs w:val="21"/>
        </w:rPr>
        <w:t>Mountant</w:t>
      </w:r>
      <w:proofErr w:type="spellEnd"/>
      <w:r w:rsidRPr="00C068D9">
        <w:rPr>
          <w:rFonts w:ascii="Helvetica Neue" w:eastAsia="宋体" w:hAnsi="Helvetica Neue" w:cs="宋体"/>
          <w:color w:val="000000"/>
          <w:kern w:val="0"/>
          <w:szCs w:val="21"/>
        </w:rPr>
        <w:t xml:space="preserve"> (Invitrogen, Cat# P36930).</w:t>
      </w:r>
    </w:p>
    <w:p w:rsidR="00C068D9" w:rsidRPr="00C068D9" w:rsidRDefault="00C068D9" w:rsidP="00C068D9">
      <w:pPr>
        <w:widowControl/>
        <w:shd w:val="clear" w:color="auto" w:fill="FFFFFF"/>
        <w:spacing w:before="100" w:beforeAutospacing="1" w:after="270" w:line="300" w:lineRule="atLeast"/>
        <w:jc w:val="left"/>
        <w:rPr>
          <w:rFonts w:ascii="Helvetica Neue" w:eastAsia="宋体" w:hAnsi="Helvetica Neue" w:cs="宋体"/>
          <w:color w:val="000000"/>
          <w:kern w:val="0"/>
          <w:szCs w:val="21"/>
        </w:rPr>
      </w:pPr>
      <w:r w:rsidRPr="00C068D9">
        <w:rPr>
          <w:rFonts w:ascii="Helvetica Neue" w:eastAsia="宋体" w:hAnsi="Helvetica Neue" w:cs="宋体"/>
          <w:b/>
          <w:bCs/>
          <w:color w:val="000000"/>
          <w:kern w:val="0"/>
          <w:szCs w:val="21"/>
        </w:rPr>
        <w:t>S3.5 Image Acquisition and Quantification</w:t>
      </w:r>
    </w:p>
    <w:p w:rsidR="00C068D9" w:rsidRPr="00C068D9" w:rsidRDefault="00C068D9" w:rsidP="00C068D9">
      <w:pPr>
        <w:widowControl/>
        <w:numPr>
          <w:ilvl w:val="0"/>
          <w:numId w:val="50"/>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color w:val="000000"/>
          <w:kern w:val="0"/>
          <w:szCs w:val="21"/>
        </w:rPr>
        <w:t xml:space="preserve">Images were captured using a Zeiss LSM 880 confocal microscope (Carl Zeiss, </w:t>
      </w:r>
      <w:proofErr w:type="spellStart"/>
      <w:r w:rsidRPr="00C068D9">
        <w:rPr>
          <w:rFonts w:ascii="Helvetica Neue" w:eastAsia="宋体" w:hAnsi="Helvetica Neue" w:cs="宋体"/>
          <w:color w:val="000000"/>
          <w:kern w:val="0"/>
          <w:szCs w:val="21"/>
        </w:rPr>
        <w:t>Oberkochen</w:t>
      </w:r>
      <w:proofErr w:type="spellEnd"/>
      <w:r w:rsidRPr="00C068D9">
        <w:rPr>
          <w:rFonts w:ascii="Helvetica Neue" w:eastAsia="宋体" w:hAnsi="Helvetica Neue" w:cs="宋体"/>
          <w:color w:val="000000"/>
          <w:kern w:val="0"/>
          <w:szCs w:val="21"/>
        </w:rPr>
        <w:t>, Germany).</w:t>
      </w:r>
    </w:p>
    <w:p w:rsidR="00C068D9" w:rsidRPr="00C068D9" w:rsidRDefault="00C068D9" w:rsidP="00C068D9">
      <w:pPr>
        <w:widowControl/>
        <w:numPr>
          <w:ilvl w:val="0"/>
          <w:numId w:val="50"/>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color w:val="000000"/>
          <w:kern w:val="0"/>
          <w:szCs w:val="21"/>
        </w:rPr>
        <w:t>For quantification, five non-overlapping high-power fields (×200 magnification) were randomly selected from each slide.</w:t>
      </w:r>
    </w:p>
    <w:p w:rsidR="00C068D9" w:rsidRPr="00C068D9" w:rsidRDefault="00C068D9" w:rsidP="00C068D9">
      <w:pPr>
        <w:widowControl/>
        <w:numPr>
          <w:ilvl w:val="0"/>
          <w:numId w:val="50"/>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color w:val="000000"/>
          <w:kern w:val="0"/>
          <w:szCs w:val="21"/>
        </w:rPr>
        <w:t>The fluorescence intensity of PTGS2 was quantified using ImageJ software. The mean fluorescence intensity (MFI) within manually drawn regions of interest (ROIs) was measured, and background fluorescence from an adjacent cell-free area was subtracted.</w:t>
      </w:r>
    </w:p>
    <w:p w:rsidR="00C068D9" w:rsidRPr="00C068D9" w:rsidRDefault="00C068D9" w:rsidP="00C068D9">
      <w:pPr>
        <w:widowControl/>
        <w:numPr>
          <w:ilvl w:val="0"/>
          <w:numId w:val="50"/>
        </w:numPr>
        <w:shd w:val="clear" w:color="auto" w:fill="FFFFFF"/>
        <w:spacing w:after="45" w:line="300" w:lineRule="atLeast"/>
        <w:jc w:val="left"/>
        <w:rPr>
          <w:rFonts w:ascii="Helvetica Neue" w:eastAsia="宋体" w:hAnsi="Helvetica Neue" w:cs="宋体"/>
          <w:color w:val="000000"/>
          <w:kern w:val="0"/>
          <w:szCs w:val="21"/>
        </w:rPr>
      </w:pPr>
      <w:r w:rsidRPr="00C068D9">
        <w:rPr>
          <w:rFonts w:ascii="Helvetica Neue" w:eastAsia="宋体" w:hAnsi="Helvetica Neue" w:cs="宋体"/>
          <w:color w:val="000000"/>
          <w:kern w:val="0"/>
          <w:szCs w:val="21"/>
        </w:rPr>
        <w:t>All image acquisition and quantification were performed by an investigator blinded to the experimental group assignments.</w:t>
      </w:r>
    </w:p>
    <w:p w:rsidR="00150B8A" w:rsidRPr="00C068D9" w:rsidRDefault="00BD3391" w:rsidP="00265279">
      <w:pPr>
        <w:rPr>
          <w:rFonts w:ascii="Times New Roman" w:hAnsi="Times New Roman" w:cs="Times New Roman"/>
          <w:sz w:val="20"/>
          <w:szCs w:val="20"/>
        </w:rPr>
      </w:pPr>
    </w:p>
    <w:sectPr w:rsidR="00150B8A" w:rsidRPr="00C068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3391" w:rsidRDefault="00BD3391" w:rsidP="008C0BE5">
      <w:r>
        <w:separator/>
      </w:r>
    </w:p>
  </w:endnote>
  <w:endnote w:type="continuationSeparator" w:id="0">
    <w:p w:rsidR="00BD3391" w:rsidRDefault="00BD3391" w:rsidP="008C0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Helvetica Neue">
    <w:altName w:val="Times New Roman"/>
    <w:charset w:val="00"/>
    <w:family w:val="roman"/>
    <w:pitch w:val="default"/>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3391" w:rsidRDefault="00BD3391" w:rsidP="008C0BE5">
      <w:r>
        <w:separator/>
      </w:r>
    </w:p>
  </w:footnote>
  <w:footnote w:type="continuationSeparator" w:id="0">
    <w:p w:rsidR="00BD3391" w:rsidRDefault="00BD3391" w:rsidP="008C0B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41D04"/>
    <w:multiLevelType w:val="multilevel"/>
    <w:tmpl w:val="B66E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65037"/>
    <w:multiLevelType w:val="multilevel"/>
    <w:tmpl w:val="39303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63D7F"/>
    <w:multiLevelType w:val="multilevel"/>
    <w:tmpl w:val="E684E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6D0A02"/>
    <w:multiLevelType w:val="multilevel"/>
    <w:tmpl w:val="1F4C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1F5494"/>
    <w:multiLevelType w:val="multilevel"/>
    <w:tmpl w:val="DA187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53B06"/>
    <w:multiLevelType w:val="multilevel"/>
    <w:tmpl w:val="0EEEF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42030"/>
    <w:multiLevelType w:val="multilevel"/>
    <w:tmpl w:val="33406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F85D80"/>
    <w:multiLevelType w:val="multilevel"/>
    <w:tmpl w:val="846C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5B287D"/>
    <w:multiLevelType w:val="multilevel"/>
    <w:tmpl w:val="FCA02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B6454A"/>
    <w:multiLevelType w:val="multilevel"/>
    <w:tmpl w:val="CF605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F506D7"/>
    <w:multiLevelType w:val="multilevel"/>
    <w:tmpl w:val="51988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403414"/>
    <w:multiLevelType w:val="multilevel"/>
    <w:tmpl w:val="65A0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F901B3"/>
    <w:multiLevelType w:val="multilevel"/>
    <w:tmpl w:val="A0A8F2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04291B"/>
    <w:multiLevelType w:val="multilevel"/>
    <w:tmpl w:val="6DB0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874707"/>
    <w:multiLevelType w:val="multilevel"/>
    <w:tmpl w:val="52D29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485678"/>
    <w:multiLevelType w:val="multilevel"/>
    <w:tmpl w:val="1602A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C66972"/>
    <w:multiLevelType w:val="multilevel"/>
    <w:tmpl w:val="1AD00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0C4148"/>
    <w:multiLevelType w:val="multilevel"/>
    <w:tmpl w:val="4110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B47AD6"/>
    <w:multiLevelType w:val="multilevel"/>
    <w:tmpl w:val="87680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991A6D"/>
    <w:multiLevelType w:val="multilevel"/>
    <w:tmpl w:val="FC5C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DF7DD2"/>
    <w:multiLevelType w:val="multilevel"/>
    <w:tmpl w:val="4E50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23481C"/>
    <w:multiLevelType w:val="multilevel"/>
    <w:tmpl w:val="4FE2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8A0939"/>
    <w:multiLevelType w:val="multilevel"/>
    <w:tmpl w:val="E662D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11366E"/>
    <w:multiLevelType w:val="multilevel"/>
    <w:tmpl w:val="CC322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C009FE"/>
    <w:multiLevelType w:val="multilevel"/>
    <w:tmpl w:val="2BC6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D94ED2"/>
    <w:multiLevelType w:val="multilevel"/>
    <w:tmpl w:val="2D2A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FA03D5"/>
    <w:multiLevelType w:val="multilevel"/>
    <w:tmpl w:val="4754D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5E4980"/>
    <w:multiLevelType w:val="multilevel"/>
    <w:tmpl w:val="0CB01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640B85"/>
    <w:multiLevelType w:val="multilevel"/>
    <w:tmpl w:val="4FE2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2B5E82"/>
    <w:multiLevelType w:val="multilevel"/>
    <w:tmpl w:val="D012E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F635A19"/>
    <w:multiLevelType w:val="multilevel"/>
    <w:tmpl w:val="5E7A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F208ED"/>
    <w:multiLevelType w:val="multilevel"/>
    <w:tmpl w:val="36B63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0C2814"/>
    <w:multiLevelType w:val="multilevel"/>
    <w:tmpl w:val="7292A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567B5A"/>
    <w:multiLevelType w:val="multilevel"/>
    <w:tmpl w:val="D86E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EE3341"/>
    <w:multiLevelType w:val="multilevel"/>
    <w:tmpl w:val="08CE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E111E3"/>
    <w:multiLevelType w:val="multilevel"/>
    <w:tmpl w:val="BDFAB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0236D8"/>
    <w:multiLevelType w:val="multilevel"/>
    <w:tmpl w:val="65CA5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BF1D37"/>
    <w:multiLevelType w:val="multilevel"/>
    <w:tmpl w:val="E3F00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081382"/>
    <w:multiLevelType w:val="multilevel"/>
    <w:tmpl w:val="2EAA8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E12033"/>
    <w:multiLevelType w:val="multilevel"/>
    <w:tmpl w:val="DA660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A47693"/>
    <w:multiLevelType w:val="multilevel"/>
    <w:tmpl w:val="556ED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A76DA6"/>
    <w:multiLevelType w:val="multilevel"/>
    <w:tmpl w:val="9536B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93B37E3"/>
    <w:multiLevelType w:val="multilevel"/>
    <w:tmpl w:val="8AF0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EE5F12"/>
    <w:multiLevelType w:val="multilevel"/>
    <w:tmpl w:val="13E2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330C91"/>
    <w:multiLevelType w:val="multilevel"/>
    <w:tmpl w:val="8DAEC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5B3027"/>
    <w:multiLevelType w:val="multilevel"/>
    <w:tmpl w:val="F6688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F8204B"/>
    <w:multiLevelType w:val="multilevel"/>
    <w:tmpl w:val="23DC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E62682"/>
    <w:multiLevelType w:val="multilevel"/>
    <w:tmpl w:val="1FA68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6758C6"/>
    <w:multiLevelType w:val="multilevel"/>
    <w:tmpl w:val="E412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3"/>
  </w:num>
  <w:num w:numId="3">
    <w:abstractNumId w:val="17"/>
  </w:num>
  <w:num w:numId="4">
    <w:abstractNumId w:val="27"/>
  </w:num>
  <w:num w:numId="5">
    <w:abstractNumId w:val="19"/>
  </w:num>
  <w:num w:numId="6">
    <w:abstractNumId w:val="0"/>
  </w:num>
  <w:num w:numId="7">
    <w:abstractNumId w:val="44"/>
  </w:num>
  <w:num w:numId="8">
    <w:abstractNumId w:val="16"/>
  </w:num>
  <w:num w:numId="9">
    <w:abstractNumId w:val="7"/>
  </w:num>
  <w:num w:numId="10">
    <w:abstractNumId w:val="45"/>
  </w:num>
  <w:num w:numId="11">
    <w:abstractNumId w:val="36"/>
  </w:num>
  <w:num w:numId="12">
    <w:abstractNumId w:val="24"/>
  </w:num>
  <w:num w:numId="13">
    <w:abstractNumId w:val="21"/>
  </w:num>
  <w:num w:numId="14">
    <w:abstractNumId w:val="33"/>
  </w:num>
  <w:num w:numId="15">
    <w:abstractNumId w:val="42"/>
  </w:num>
  <w:num w:numId="16">
    <w:abstractNumId w:val="9"/>
  </w:num>
  <w:num w:numId="17">
    <w:abstractNumId w:val="40"/>
  </w:num>
  <w:num w:numId="18">
    <w:abstractNumId w:val="13"/>
  </w:num>
  <w:num w:numId="19">
    <w:abstractNumId w:val="29"/>
  </w:num>
  <w:num w:numId="20">
    <w:abstractNumId w:val="39"/>
  </w:num>
  <w:num w:numId="21">
    <w:abstractNumId w:val="26"/>
  </w:num>
  <w:num w:numId="22">
    <w:abstractNumId w:val="22"/>
  </w:num>
  <w:num w:numId="23">
    <w:abstractNumId w:val="47"/>
  </w:num>
  <w:num w:numId="24">
    <w:abstractNumId w:val="37"/>
  </w:num>
  <w:num w:numId="25">
    <w:abstractNumId w:val="1"/>
  </w:num>
  <w:num w:numId="26">
    <w:abstractNumId w:val="35"/>
  </w:num>
  <w:num w:numId="27">
    <w:abstractNumId w:val="4"/>
  </w:num>
  <w:num w:numId="28">
    <w:abstractNumId w:val="34"/>
  </w:num>
  <w:num w:numId="29">
    <w:abstractNumId w:val="5"/>
  </w:num>
  <w:num w:numId="30">
    <w:abstractNumId w:val="15"/>
  </w:num>
  <w:num w:numId="31">
    <w:abstractNumId w:val="23"/>
  </w:num>
  <w:num w:numId="32">
    <w:abstractNumId w:val="3"/>
  </w:num>
  <w:num w:numId="33">
    <w:abstractNumId w:val="10"/>
  </w:num>
  <w:num w:numId="34">
    <w:abstractNumId w:val="31"/>
  </w:num>
  <w:num w:numId="35">
    <w:abstractNumId w:val="48"/>
  </w:num>
  <w:num w:numId="36">
    <w:abstractNumId w:val="12"/>
  </w:num>
  <w:num w:numId="37">
    <w:abstractNumId w:val="46"/>
  </w:num>
  <w:num w:numId="38">
    <w:abstractNumId w:val="2"/>
  </w:num>
  <w:num w:numId="39">
    <w:abstractNumId w:val="30"/>
  </w:num>
  <w:num w:numId="40">
    <w:abstractNumId w:val="25"/>
  </w:num>
  <w:num w:numId="41">
    <w:abstractNumId w:val="32"/>
  </w:num>
  <w:num w:numId="42">
    <w:abstractNumId w:val="6"/>
  </w:num>
  <w:num w:numId="43">
    <w:abstractNumId w:val="8"/>
  </w:num>
  <w:num w:numId="44">
    <w:abstractNumId w:val="11"/>
  </w:num>
  <w:num w:numId="45">
    <w:abstractNumId w:val="28"/>
  </w:num>
  <w:num w:numId="46">
    <w:abstractNumId w:val="18"/>
  </w:num>
  <w:num w:numId="47">
    <w:abstractNumId w:val="18"/>
    <w:lvlOverride w:ilvl="1">
      <w:lvl w:ilvl="1">
        <w:numFmt w:val="decimal"/>
        <w:lvlText w:val="%2."/>
        <w:lvlJc w:val="left"/>
      </w:lvl>
    </w:lvlOverride>
  </w:num>
  <w:num w:numId="48">
    <w:abstractNumId w:val="38"/>
  </w:num>
  <w:num w:numId="49">
    <w:abstractNumId w:val="41"/>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E54"/>
    <w:rsid w:val="000D1E64"/>
    <w:rsid w:val="000E3155"/>
    <w:rsid w:val="001B7285"/>
    <w:rsid w:val="00246290"/>
    <w:rsid w:val="00255DC3"/>
    <w:rsid w:val="00265279"/>
    <w:rsid w:val="003535EC"/>
    <w:rsid w:val="0036068D"/>
    <w:rsid w:val="00471E5F"/>
    <w:rsid w:val="006A50BE"/>
    <w:rsid w:val="00707BEB"/>
    <w:rsid w:val="00747E54"/>
    <w:rsid w:val="007E45EE"/>
    <w:rsid w:val="008B4202"/>
    <w:rsid w:val="008C0BE5"/>
    <w:rsid w:val="00904393"/>
    <w:rsid w:val="00B05AC6"/>
    <w:rsid w:val="00BD3391"/>
    <w:rsid w:val="00BE5690"/>
    <w:rsid w:val="00BF3E25"/>
    <w:rsid w:val="00C068D9"/>
    <w:rsid w:val="00CA5D44"/>
    <w:rsid w:val="00D667E2"/>
    <w:rsid w:val="00D85EB8"/>
    <w:rsid w:val="00DE5DE0"/>
    <w:rsid w:val="00E65131"/>
    <w:rsid w:val="00E81EAA"/>
    <w:rsid w:val="00F138B5"/>
    <w:rsid w:val="00FB0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26E67"/>
  <w15:chartTrackingRefBased/>
  <w15:docId w15:val="{4D47A299-2A12-4BAE-9D42-A561FEEE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0BE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C0BE5"/>
    <w:rPr>
      <w:sz w:val="18"/>
      <w:szCs w:val="18"/>
    </w:rPr>
  </w:style>
  <w:style w:type="paragraph" w:styleId="a5">
    <w:name w:val="footer"/>
    <w:basedOn w:val="a"/>
    <w:link w:val="a6"/>
    <w:uiPriority w:val="99"/>
    <w:unhideWhenUsed/>
    <w:rsid w:val="008C0BE5"/>
    <w:pPr>
      <w:tabs>
        <w:tab w:val="center" w:pos="4153"/>
        <w:tab w:val="right" w:pos="8306"/>
      </w:tabs>
      <w:snapToGrid w:val="0"/>
      <w:jc w:val="left"/>
    </w:pPr>
    <w:rPr>
      <w:sz w:val="18"/>
      <w:szCs w:val="18"/>
    </w:rPr>
  </w:style>
  <w:style w:type="character" w:customStyle="1" w:styleId="a6">
    <w:name w:val="页脚 字符"/>
    <w:basedOn w:val="a0"/>
    <w:link w:val="a5"/>
    <w:uiPriority w:val="99"/>
    <w:rsid w:val="008C0BE5"/>
    <w:rPr>
      <w:sz w:val="18"/>
      <w:szCs w:val="18"/>
    </w:rPr>
  </w:style>
  <w:style w:type="character" w:styleId="a7">
    <w:name w:val="Hyperlink"/>
    <w:basedOn w:val="a0"/>
    <w:uiPriority w:val="99"/>
    <w:unhideWhenUsed/>
    <w:rsid w:val="00707BEB"/>
    <w:rPr>
      <w:color w:val="0563C1" w:themeColor="hyperlink"/>
      <w:u w:val="single"/>
    </w:rPr>
  </w:style>
  <w:style w:type="paragraph" w:styleId="a8">
    <w:name w:val="List Paragraph"/>
    <w:basedOn w:val="a"/>
    <w:uiPriority w:val="34"/>
    <w:qFormat/>
    <w:rsid w:val="0036068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09574">
      <w:bodyDiv w:val="1"/>
      <w:marLeft w:val="0"/>
      <w:marRight w:val="0"/>
      <w:marTop w:val="0"/>
      <w:marBottom w:val="0"/>
      <w:divBdr>
        <w:top w:val="none" w:sz="0" w:space="0" w:color="auto"/>
        <w:left w:val="none" w:sz="0" w:space="0" w:color="auto"/>
        <w:bottom w:val="none" w:sz="0" w:space="0" w:color="auto"/>
        <w:right w:val="none" w:sz="0" w:space="0" w:color="auto"/>
      </w:divBdr>
    </w:div>
    <w:div w:id="204293086">
      <w:bodyDiv w:val="1"/>
      <w:marLeft w:val="0"/>
      <w:marRight w:val="0"/>
      <w:marTop w:val="0"/>
      <w:marBottom w:val="0"/>
      <w:divBdr>
        <w:top w:val="none" w:sz="0" w:space="0" w:color="auto"/>
        <w:left w:val="none" w:sz="0" w:space="0" w:color="auto"/>
        <w:bottom w:val="none" w:sz="0" w:space="0" w:color="auto"/>
        <w:right w:val="none" w:sz="0" w:space="0" w:color="auto"/>
      </w:divBdr>
    </w:div>
    <w:div w:id="416830179">
      <w:bodyDiv w:val="1"/>
      <w:marLeft w:val="0"/>
      <w:marRight w:val="0"/>
      <w:marTop w:val="0"/>
      <w:marBottom w:val="0"/>
      <w:divBdr>
        <w:top w:val="none" w:sz="0" w:space="0" w:color="auto"/>
        <w:left w:val="none" w:sz="0" w:space="0" w:color="auto"/>
        <w:bottom w:val="none" w:sz="0" w:space="0" w:color="auto"/>
        <w:right w:val="none" w:sz="0" w:space="0" w:color="auto"/>
      </w:divBdr>
    </w:div>
    <w:div w:id="485629054">
      <w:bodyDiv w:val="1"/>
      <w:marLeft w:val="0"/>
      <w:marRight w:val="0"/>
      <w:marTop w:val="0"/>
      <w:marBottom w:val="0"/>
      <w:divBdr>
        <w:top w:val="none" w:sz="0" w:space="0" w:color="auto"/>
        <w:left w:val="none" w:sz="0" w:space="0" w:color="auto"/>
        <w:bottom w:val="none" w:sz="0" w:space="0" w:color="auto"/>
        <w:right w:val="none" w:sz="0" w:space="0" w:color="auto"/>
      </w:divBdr>
      <w:divsChild>
        <w:div w:id="1764916287">
          <w:marLeft w:val="0"/>
          <w:marRight w:val="0"/>
          <w:marTop w:val="0"/>
          <w:marBottom w:val="0"/>
          <w:divBdr>
            <w:top w:val="none" w:sz="0" w:space="0" w:color="auto"/>
            <w:left w:val="none" w:sz="0" w:space="0" w:color="auto"/>
            <w:bottom w:val="none" w:sz="0" w:space="0" w:color="auto"/>
            <w:right w:val="none" w:sz="0" w:space="0" w:color="auto"/>
          </w:divBdr>
          <w:divsChild>
            <w:div w:id="10342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158220">
      <w:bodyDiv w:val="1"/>
      <w:marLeft w:val="0"/>
      <w:marRight w:val="0"/>
      <w:marTop w:val="0"/>
      <w:marBottom w:val="0"/>
      <w:divBdr>
        <w:top w:val="none" w:sz="0" w:space="0" w:color="auto"/>
        <w:left w:val="none" w:sz="0" w:space="0" w:color="auto"/>
        <w:bottom w:val="none" w:sz="0" w:space="0" w:color="auto"/>
        <w:right w:val="none" w:sz="0" w:space="0" w:color="auto"/>
      </w:divBdr>
    </w:div>
    <w:div w:id="711425706">
      <w:bodyDiv w:val="1"/>
      <w:marLeft w:val="0"/>
      <w:marRight w:val="0"/>
      <w:marTop w:val="0"/>
      <w:marBottom w:val="0"/>
      <w:divBdr>
        <w:top w:val="none" w:sz="0" w:space="0" w:color="auto"/>
        <w:left w:val="none" w:sz="0" w:space="0" w:color="auto"/>
        <w:bottom w:val="none" w:sz="0" w:space="0" w:color="auto"/>
        <w:right w:val="none" w:sz="0" w:space="0" w:color="auto"/>
      </w:divBdr>
    </w:div>
    <w:div w:id="1001541371">
      <w:bodyDiv w:val="1"/>
      <w:marLeft w:val="0"/>
      <w:marRight w:val="0"/>
      <w:marTop w:val="0"/>
      <w:marBottom w:val="0"/>
      <w:divBdr>
        <w:top w:val="none" w:sz="0" w:space="0" w:color="auto"/>
        <w:left w:val="none" w:sz="0" w:space="0" w:color="auto"/>
        <w:bottom w:val="none" w:sz="0" w:space="0" w:color="auto"/>
        <w:right w:val="none" w:sz="0" w:space="0" w:color="auto"/>
      </w:divBdr>
    </w:div>
    <w:div w:id="1166752062">
      <w:bodyDiv w:val="1"/>
      <w:marLeft w:val="0"/>
      <w:marRight w:val="0"/>
      <w:marTop w:val="0"/>
      <w:marBottom w:val="0"/>
      <w:divBdr>
        <w:top w:val="none" w:sz="0" w:space="0" w:color="auto"/>
        <w:left w:val="none" w:sz="0" w:space="0" w:color="auto"/>
        <w:bottom w:val="none" w:sz="0" w:space="0" w:color="auto"/>
        <w:right w:val="none" w:sz="0" w:space="0" w:color="auto"/>
      </w:divBdr>
    </w:div>
    <w:div w:id="1642537510">
      <w:bodyDiv w:val="1"/>
      <w:marLeft w:val="0"/>
      <w:marRight w:val="0"/>
      <w:marTop w:val="0"/>
      <w:marBottom w:val="0"/>
      <w:divBdr>
        <w:top w:val="none" w:sz="0" w:space="0" w:color="auto"/>
        <w:left w:val="none" w:sz="0" w:space="0" w:color="auto"/>
        <w:bottom w:val="none" w:sz="0" w:space="0" w:color="auto"/>
        <w:right w:val="none" w:sz="0" w:space="0" w:color="auto"/>
      </w:divBdr>
    </w:div>
    <w:div w:id="1674726855">
      <w:bodyDiv w:val="1"/>
      <w:marLeft w:val="0"/>
      <w:marRight w:val="0"/>
      <w:marTop w:val="0"/>
      <w:marBottom w:val="0"/>
      <w:divBdr>
        <w:top w:val="none" w:sz="0" w:space="0" w:color="auto"/>
        <w:left w:val="none" w:sz="0" w:space="0" w:color="auto"/>
        <w:bottom w:val="none" w:sz="0" w:space="0" w:color="auto"/>
        <w:right w:val="none" w:sz="0" w:space="0" w:color="auto"/>
      </w:divBdr>
    </w:div>
    <w:div w:id="1709835591">
      <w:bodyDiv w:val="1"/>
      <w:marLeft w:val="0"/>
      <w:marRight w:val="0"/>
      <w:marTop w:val="0"/>
      <w:marBottom w:val="0"/>
      <w:divBdr>
        <w:top w:val="none" w:sz="0" w:space="0" w:color="auto"/>
        <w:left w:val="none" w:sz="0" w:space="0" w:color="auto"/>
        <w:bottom w:val="none" w:sz="0" w:space="0" w:color="auto"/>
        <w:right w:val="none" w:sz="0" w:space="0" w:color="auto"/>
      </w:divBdr>
    </w:div>
    <w:div w:id="1878740534">
      <w:bodyDiv w:val="1"/>
      <w:marLeft w:val="0"/>
      <w:marRight w:val="0"/>
      <w:marTop w:val="0"/>
      <w:marBottom w:val="0"/>
      <w:divBdr>
        <w:top w:val="none" w:sz="0" w:space="0" w:color="auto"/>
        <w:left w:val="none" w:sz="0" w:space="0" w:color="auto"/>
        <w:bottom w:val="none" w:sz="0" w:space="0" w:color="auto"/>
        <w:right w:val="none" w:sz="0" w:space="0" w:color="auto"/>
      </w:divBdr>
      <w:divsChild>
        <w:div w:id="1584997788">
          <w:marLeft w:val="0"/>
          <w:marRight w:val="0"/>
          <w:marTop w:val="0"/>
          <w:marBottom w:val="0"/>
          <w:divBdr>
            <w:top w:val="none" w:sz="0" w:space="0" w:color="auto"/>
            <w:left w:val="none" w:sz="0" w:space="0" w:color="auto"/>
            <w:bottom w:val="none" w:sz="0" w:space="0" w:color="auto"/>
            <w:right w:val="none" w:sz="0" w:space="0" w:color="auto"/>
          </w:divBdr>
          <w:divsChild>
            <w:div w:id="105802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9</Pages>
  <Words>1812</Words>
  <Characters>10334</Characters>
  <Application>Microsoft Office Word</Application>
  <DocSecurity>0</DocSecurity>
  <Lines>86</Lines>
  <Paragraphs>24</Paragraphs>
  <ScaleCrop>false</ScaleCrop>
  <Company/>
  <LinksUpToDate>false</LinksUpToDate>
  <CharactersWithSpaces>12122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Peichen</cp:lastModifiedBy>
  <cp:revision>14</cp:revision>
  <dcterms:created xsi:type="dcterms:W3CDTF">2025-05-17T21:57:00Z</dcterms:created>
  <dcterms:modified xsi:type="dcterms:W3CDTF">2025-06-24T16:08:00Z</dcterms:modified>
</cp:coreProperties>
</file>