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A9C1E4" w14:textId="77777777" w:rsidR="000E43CD" w:rsidRPr="00FE46D0" w:rsidRDefault="000E43CD" w:rsidP="00D24DDA">
      <w:pPr>
        <w:spacing w:after="0" w:line="360" w:lineRule="auto"/>
        <w:jc w:val="both"/>
        <w:rPr>
          <w:rFonts w:ascii="Microsoft YaHei" w:eastAsia="Microsoft YaHei" w:hAnsi="Microsoft YaHei"/>
          <w:b/>
          <w:bCs/>
          <w:sz w:val="24"/>
        </w:rPr>
      </w:pPr>
      <w:r w:rsidRPr="00FE46D0">
        <w:rPr>
          <w:rFonts w:ascii="Microsoft YaHei" w:eastAsia="Microsoft YaHei" w:hAnsi="Microsoft YaHei"/>
          <w:b/>
          <w:bCs/>
          <w:sz w:val="24"/>
        </w:rPr>
        <w:t>Supplementary File 2: Guide to Using the Nomogram</w:t>
      </w:r>
    </w:p>
    <w:p w14:paraId="678002CB" w14:textId="013B533C" w:rsidR="000E43CD" w:rsidRPr="00FE46D0" w:rsidRDefault="000E43CD" w:rsidP="00D24DDA">
      <w:p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Guide to Using the Nomogram for Predicting Linezolid-Induced</w:t>
      </w:r>
      <w:r w:rsidRPr="00FE46D0">
        <w:rPr>
          <w:rFonts w:ascii="Microsoft YaHei" w:eastAsia="Microsoft YaHei" w:hAnsi="Microsoft YaHei" w:hint="eastAsia"/>
          <w:b/>
          <w:bCs/>
          <w:sz w:val="18"/>
          <w:szCs w:val="18"/>
        </w:rPr>
        <w:t xml:space="preserve"> </w:t>
      </w:r>
      <w:r w:rsidRPr="00FE46D0">
        <w:rPr>
          <w:rFonts w:ascii="Microsoft YaHei" w:eastAsia="Microsoft YaHei" w:hAnsi="Microsoft YaHei"/>
          <w:b/>
          <w:bCs/>
          <w:sz w:val="18"/>
          <w:szCs w:val="18"/>
        </w:rPr>
        <w:t>Hyperlactatemia Risk</w:t>
      </w:r>
    </w:p>
    <w:p w14:paraId="34F82414" w14:textId="77777777" w:rsidR="000E43CD" w:rsidRPr="00FE46D0" w:rsidRDefault="000E43CD" w:rsidP="00D24DDA">
      <w:pPr>
        <w:spacing w:after="0" w:line="360" w:lineRule="auto"/>
        <w:jc w:val="both"/>
        <w:rPr>
          <w:rFonts w:ascii="Microsoft YaHei" w:eastAsia="Microsoft YaHei" w:hAnsi="Microsoft YaHei"/>
          <w:sz w:val="18"/>
          <w:szCs w:val="18"/>
        </w:rPr>
      </w:pPr>
      <w:r w:rsidRPr="00FE46D0">
        <w:rPr>
          <w:rFonts w:ascii="Microsoft YaHei" w:eastAsia="Microsoft YaHei" w:hAnsi="Microsoft YaHei"/>
          <w:sz w:val="18"/>
          <w:szCs w:val="18"/>
        </w:rPr>
        <w:t>This guide provides step-by-step instructions for using the nomogram presented in </w:t>
      </w:r>
      <w:r w:rsidRPr="00FE46D0">
        <w:rPr>
          <w:rFonts w:ascii="Microsoft YaHei" w:eastAsia="Microsoft YaHei" w:hAnsi="Microsoft YaHei"/>
          <w:b/>
          <w:bCs/>
          <w:sz w:val="18"/>
          <w:szCs w:val="18"/>
        </w:rPr>
        <w:t>Figure 4</w:t>
      </w:r>
      <w:r w:rsidRPr="00FE46D0">
        <w:rPr>
          <w:rFonts w:ascii="Microsoft YaHei" w:eastAsia="Microsoft YaHei" w:hAnsi="Microsoft YaHei"/>
          <w:sz w:val="18"/>
          <w:szCs w:val="18"/>
        </w:rPr>
        <w:t> of the main manuscript to estimate the ind</w:t>
      </w:r>
      <w:bookmarkStart w:id="0" w:name="_GoBack"/>
      <w:bookmarkEnd w:id="0"/>
      <w:r w:rsidRPr="00FE46D0">
        <w:rPr>
          <w:rFonts w:ascii="Microsoft YaHei" w:eastAsia="Microsoft YaHei" w:hAnsi="Microsoft YaHei"/>
          <w:sz w:val="18"/>
          <w:szCs w:val="18"/>
        </w:rPr>
        <w:t>ividual probability of hyperlactatemia in ICU patients receiving linezolid (LZD) therapy.</w:t>
      </w:r>
    </w:p>
    <w:p w14:paraId="4216D6D4" w14:textId="77777777" w:rsidR="000E43CD" w:rsidRPr="00FE46D0" w:rsidRDefault="000E43CD" w:rsidP="00D24DDA">
      <w:pPr>
        <w:spacing w:after="0" w:line="360" w:lineRule="auto"/>
        <w:jc w:val="both"/>
        <w:rPr>
          <w:rFonts w:ascii="Microsoft YaHei" w:eastAsia="Microsoft YaHei" w:hAnsi="Microsoft YaHei"/>
          <w:b/>
          <w:bCs/>
          <w:sz w:val="18"/>
          <w:szCs w:val="18"/>
        </w:rPr>
      </w:pPr>
      <w:r w:rsidRPr="00FE46D0">
        <w:rPr>
          <w:rFonts w:ascii="Microsoft YaHei" w:eastAsia="Microsoft YaHei" w:hAnsi="Microsoft YaHei"/>
          <w:b/>
          <w:bCs/>
          <w:sz w:val="18"/>
          <w:szCs w:val="18"/>
        </w:rPr>
        <w:t>1. Understanding the Nomogram</w:t>
      </w:r>
    </w:p>
    <w:p w14:paraId="013C5A16" w14:textId="77777777" w:rsidR="000E43CD" w:rsidRPr="00FE46D0" w:rsidRDefault="000E43CD" w:rsidP="00D24DDA">
      <w:pPr>
        <w:spacing w:after="0" w:line="360" w:lineRule="auto"/>
        <w:jc w:val="both"/>
        <w:rPr>
          <w:rFonts w:ascii="Microsoft YaHei" w:eastAsia="Microsoft YaHei" w:hAnsi="Microsoft YaHei"/>
          <w:sz w:val="18"/>
          <w:szCs w:val="18"/>
        </w:rPr>
      </w:pPr>
      <w:r w:rsidRPr="00FE46D0">
        <w:rPr>
          <w:rFonts w:ascii="Microsoft YaHei" w:eastAsia="Microsoft YaHei" w:hAnsi="Microsoft YaHei"/>
          <w:sz w:val="18"/>
          <w:szCs w:val="18"/>
        </w:rPr>
        <w:t>The nomogram incorporates five independent predictors identified in our study:</w:t>
      </w:r>
    </w:p>
    <w:p w14:paraId="0358B405" w14:textId="77777777" w:rsidR="000E43CD" w:rsidRPr="00FE46D0" w:rsidRDefault="000E43CD" w:rsidP="00D24DDA">
      <w:pPr>
        <w:numPr>
          <w:ilvl w:val="0"/>
          <w:numId w:val="1"/>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Age</w:t>
      </w:r>
      <w:r w:rsidRPr="00FE46D0">
        <w:rPr>
          <w:rFonts w:ascii="Microsoft YaHei" w:eastAsia="Microsoft YaHei" w:hAnsi="Microsoft YaHei"/>
          <w:sz w:val="18"/>
          <w:szCs w:val="18"/>
        </w:rPr>
        <w:t> (years)</w:t>
      </w:r>
    </w:p>
    <w:p w14:paraId="7CFED5DE" w14:textId="77777777" w:rsidR="000E43CD" w:rsidRPr="00FE46D0" w:rsidRDefault="000E43CD" w:rsidP="00D24DDA">
      <w:pPr>
        <w:numPr>
          <w:ilvl w:val="0"/>
          <w:numId w:val="1"/>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NUTRIC Score</w:t>
      </w:r>
      <w:r w:rsidRPr="00FE46D0">
        <w:rPr>
          <w:rFonts w:ascii="Microsoft YaHei" w:eastAsia="Microsoft YaHei" w:hAnsi="Microsoft YaHei"/>
          <w:sz w:val="18"/>
          <w:szCs w:val="18"/>
        </w:rPr>
        <w:t> (Nutrition Risk in Critically Ill score, range 0-9)</w:t>
      </w:r>
    </w:p>
    <w:p w14:paraId="575F97DF" w14:textId="77777777" w:rsidR="000E43CD" w:rsidRPr="00FE46D0" w:rsidRDefault="000E43CD" w:rsidP="00D24DDA">
      <w:pPr>
        <w:numPr>
          <w:ilvl w:val="0"/>
          <w:numId w:val="1"/>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Platelet Count (PLT)</w:t>
      </w:r>
      <w:r w:rsidRPr="00FE46D0">
        <w:rPr>
          <w:rFonts w:ascii="Microsoft YaHei" w:eastAsia="Microsoft YaHei" w:hAnsi="Microsoft YaHei"/>
          <w:sz w:val="18"/>
          <w:szCs w:val="18"/>
        </w:rPr>
        <w:t> (×10</w:t>
      </w:r>
      <w:r w:rsidRPr="00FE46D0">
        <w:rPr>
          <w:rFonts w:ascii="Cambria Math" w:eastAsia="Microsoft YaHei" w:hAnsi="Cambria Math" w:cs="Cambria Math"/>
          <w:sz w:val="18"/>
          <w:szCs w:val="18"/>
        </w:rPr>
        <w:t>⁹</w:t>
      </w:r>
      <w:r w:rsidRPr="00FE46D0">
        <w:rPr>
          <w:rFonts w:ascii="Microsoft YaHei" w:eastAsia="Microsoft YaHei" w:hAnsi="Microsoft YaHei"/>
          <w:sz w:val="18"/>
          <w:szCs w:val="18"/>
        </w:rPr>
        <w:t>/L)</w:t>
      </w:r>
    </w:p>
    <w:p w14:paraId="09522819" w14:textId="77777777" w:rsidR="000E43CD" w:rsidRPr="00FE46D0" w:rsidRDefault="000E43CD" w:rsidP="00D24DDA">
      <w:pPr>
        <w:numPr>
          <w:ilvl w:val="0"/>
          <w:numId w:val="1"/>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Blood Glucose (Glu)</w:t>
      </w:r>
      <w:r w:rsidRPr="00FE46D0">
        <w:rPr>
          <w:rFonts w:ascii="Microsoft YaHei" w:eastAsia="Microsoft YaHei" w:hAnsi="Microsoft YaHei"/>
          <w:sz w:val="18"/>
          <w:szCs w:val="18"/>
        </w:rPr>
        <w:t> (mmol/L)</w:t>
      </w:r>
    </w:p>
    <w:p w14:paraId="3600513B" w14:textId="77777777" w:rsidR="00E53D19" w:rsidRPr="00FE46D0" w:rsidRDefault="000E43CD" w:rsidP="00D24DDA">
      <w:pPr>
        <w:numPr>
          <w:ilvl w:val="0"/>
          <w:numId w:val="1"/>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Duration of LZD Therapy</w:t>
      </w:r>
      <w:r w:rsidRPr="00FE46D0">
        <w:rPr>
          <w:rFonts w:ascii="Microsoft YaHei" w:eastAsia="Microsoft YaHei" w:hAnsi="Microsoft YaHei"/>
          <w:sz w:val="18"/>
          <w:szCs w:val="18"/>
        </w:rPr>
        <w:t> (days)</w:t>
      </w:r>
    </w:p>
    <w:p w14:paraId="07B99B32" w14:textId="77092C95" w:rsidR="000E43CD" w:rsidRPr="00FE46D0" w:rsidRDefault="000E43CD" w:rsidP="00D24DDA">
      <w:pPr>
        <w:spacing w:after="0" w:line="360" w:lineRule="auto"/>
        <w:jc w:val="both"/>
        <w:rPr>
          <w:rFonts w:ascii="Microsoft YaHei" w:eastAsia="Microsoft YaHei" w:hAnsi="Microsoft YaHei"/>
          <w:sz w:val="18"/>
          <w:szCs w:val="18"/>
        </w:rPr>
      </w:pPr>
      <w:r w:rsidRPr="00FE46D0">
        <w:rPr>
          <w:rFonts w:ascii="Microsoft YaHei" w:eastAsia="Microsoft YaHei" w:hAnsi="Microsoft YaHei" w:cs="Segoe UI"/>
          <w:b/>
          <w:bCs/>
          <w:kern w:val="0"/>
          <w:sz w:val="18"/>
          <w:szCs w:val="18"/>
          <w14:ligatures w14:val="none"/>
        </w:rPr>
        <w:t>2. Step-by-Step Calculation</w:t>
      </w:r>
    </w:p>
    <w:p w14:paraId="76838522" w14:textId="77777777" w:rsidR="000E43CD" w:rsidRPr="00FE46D0" w:rsidRDefault="000E43CD" w:rsidP="00D24DDA">
      <w:pPr>
        <w:widowControl/>
        <w:shd w:val="clear" w:color="auto" w:fill="FFFFFF"/>
        <w:spacing w:after="0" w:line="360" w:lineRule="auto"/>
        <w:jc w:val="both"/>
        <w:rPr>
          <w:rFonts w:ascii="Microsoft YaHei" w:eastAsia="Microsoft YaHei" w:hAnsi="Microsoft YaHei" w:cs="Segoe UI"/>
          <w:kern w:val="0"/>
          <w:sz w:val="18"/>
          <w:szCs w:val="18"/>
          <w14:ligatures w14:val="none"/>
        </w:rPr>
      </w:pPr>
      <w:r w:rsidRPr="00FE46D0">
        <w:rPr>
          <w:rFonts w:ascii="Microsoft YaHei" w:eastAsia="Microsoft YaHei" w:hAnsi="Microsoft YaHei" w:cs="Segoe UI"/>
          <w:b/>
          <w:bCs/>
          <w:kern w:val="0"/>
          <w:sz w:val="18"/>
          <w:szCs w:val="18"/>
          <w14:ligatures w14:val="none"/>
        </w:rPr>
        <w:t>Step 1: Locate Patient Values on Each Predictor Axis</w:t>
      </w:r>
      <w:r w:rsidRPr="00FE46D0">
        <w:rPr>
          <w:rFonts w:ascii="Microsoft YaHei" w:eastAsia="Microsoft YaHei" w:hAnsi="Microsoft YaHei" w:cs="Segoe UI"/>
          <w:kern w:val="0"/>
          <w:sz w:val="18"/>
          <w:szCs w:val="18"/>
          <w14:ligatures w14:val="none"/>
        </w:rPr>
        <w:br/>
        <w:t>For each of the five predictors, find the patient's corresponding value on the respective horizontal axis (top row of the nomogram).</w:t>
      </w:r>
    </w:p>
    <w:p w14:paraId="2E975D7E" w14:textId="7CF32DBF" w:rsidR="000E43CD" w:rsidRPr="00FE46D0" w:rsidRDefault="000E43CD" w:rsidP="00D24DDA">
      <w:pPr>
        <w:widowControl/>
        <w:shd w:val="clear" w:color="auto" w:fill="FFFFFF"/>
        <w:spacing w:after="0" w:line="360" w:lineRule="auto"/>
        <w:jc w:val="both"/>
        <w:rPr>
          <w:rFonts w:ascii="Microsoft YaHei" w:eastAsia="Microsoft YaHei" w:hAnsi="Microsoft YaHei" w:cs="Segoe UI"/>
          <w:kern w:val="0"/>
          <w:sz w:val="18"/>
          <w:szCs w:val="18"/>
          <w14:ligatures w14:val="none"/>
        </w:rPr>
      </w:pPr>
      <w:r w:rsidRPr="00FE46D0">
        <w:rPr>
          <w:rFonts w:ascii="Microsoft YaHei" w:eastAsia="Microsoft YaHei" w:hAnsi="Microsoft YaHei" w:cs="Segoe UI"/>
          <w:b/>
          <w:bCs/>
          <w:kern w:val="0"/>
          <w:sz w:val="18"/>
          <w:szCs w:val="18"/>
          <w14:ligatures w14:val="none"/>
        </w:rPr>
        <w:t>Step 2: Draw a Vertical Line to the "Points" Axis</w:t>
      </w:r>
      <w:r w:rsidRPr="00FE46D0">
        <w:rPr>
          <w:rFonts w:ascii="Microsoft YaHei" w:eastAsia="Microsoft YaHei" w:hAnsi="Microsoft YaHei" w:cs="Segoe UI"/>
          <w:kern w:val="0"/>
          <w:sz w:val="18"/>
          <w:szCs w:val="18"/>
          <w14:ligatures w14:val="none"/>
        </w:rPr>
        <w:br/>
        <w:t>From each predictor value, draw a </w:t>
      </w:r>
      <w:r w:rsidRPr="00FE46D0">
        <w:rPr>
          <w:rFonts w:ascii="Microsoft YaHei" w:eastAsia="Microsoft YaHei" w:hAnsi="Microsoft YaHei" w:cs="Segoe UI"/>
          <w:b/>
          <w:bCs/>
          <w:kern w:val="0"/>
          <w:sz w:val="18"/>
          <w:szCs w:val="18"/>
          <w14:ligatures w14:val="none"/>
        </w:rPr>
        <w:t>vertical line straight down</w:t>
      </w:r>
      <w:r w:rsidRPr="00FE46D0">
        <w:rPr>
          <w:rFonts w:ascii="Microsoft YaHei" w:eastAsia="Microsoft YaHei" w:hAnsi="Microsoft YaHei" w:cs="Segoe UI"/>
          <w:kern w:val="0"/>
          <w:sz w:val="18"/>
          <w:szCs w:val="18"/>
          <w14:ligatures w14:val="none"/>
        </w:rPr>
        <w:t> to the “Points” axis (the first horizontal line at the top). Read the corresponding point score for each predictor. (Note: The "Points" axis is the same for all predictors).</w:t>
      </w:r>
    </w:p>
    <w:p w14:paraId="7FEA733A" w14:textId="77777777" w:rsidR="000E43CD" w:rsidRPr="00FE46D0" w:rsidRDefault="000E43CD" w:rsidP="00D24DDA">
      <w:pPr>
        <w:widowControl/>
        <w:shd w:val="clear" w:color="auto" w:fill="FFFFFF"/>
        <w:spacing w:after="0" w:line="360" w:lineRule="auto"/>
        <w:jc w:val="both"/>
        <w:rPr>
          <w:rFonts w:ascii="Microsoft YaHei" w:eastAsia="Microsoft YaHei" w:hAnsi="Microsoft YaHei" w:cs="Segoe UI"/>
          <w:kern w:val="0"/>
          <w:sz w:val="18"/>
          <w:szCs w:val="18"/>
          <w14:ligatures w14:val="none"/>
        </w:rPr>
      </w:pPr>
      <w:r w:rsidRPr="00FE46D0">
        <w:rPr>
          <w:rFonts w:ascii="Microsoft YaHei" w:eastAsia="Microsoft YaHei" w:hAnsi="Microsoft YaHei" w:cs="Segoe UI"/>
          <w:b/>
          <w:bCs/>
          <w:kern w:val="0"/>
          <w:sz w:val="18"/>
          <w:szCs w:val="18"/>
          <w14:ligatures w14:val="none"/>
        </w:rPr>
        <w:t>Step 3: Sum All Points</w:t>
      </w:r>
      <w:r w:rsidRPr="00FE46D0">
        <w:rPr>
          <w:rFonts w:ascii="Microsoft YaHei" w:eastAsia="Microsoft YaHei" w:hAnsi="Microsoft YaHei" w:cs="Segoe UI"/>
          <w:kern w:val="0"/>
          <w:sz w:val="18"/>
          <w:szCs w:val="18"/>
          <w14:ligatures w14:val="none"/>
        </w:rPr>
        <w:br/>
        <w:t>Add up the points obtained for all five predictors. This gives you the </w:t>
      </w:r>
      <w:r w:rsidRPr="00FE46D0">
        <w:rPr>
          <w:rFonts w:ascii="Microsoft YaHei" w:eastAsia="Microsoft YaHei" w:hAnsi="Microsoft YaHei" w:cs="Segoe UI"/>
          <w:b/>
          <w:bCs/>
          <w:kern w:val="0"/>
          <w:sz w:val="18"/>
          <w:szCs w:val="18"/>
          <w14:ligatures w14:val="none"/>
        </w:rPr>
        <w:t>Total Points</w:t>
      </w:r>
      <w:r w:rsidRPr="00FE46D0">
        <w:rPr>
          <w:rFonts w:ascii="Microsoft YaHei" w:eastAsia="Microsoft YaHei" w:hAnsi="Microsoft YaHei" w:cs="Segoe UI"/>
          <w:kern w:val="0"/>
          <w:sz w:val="18"/>
          <w:szCs w:val="18"/>
          <w14:ligatures w14:val="none"/>
        </w:rPr>
        <w:t>.</w:t>
      </w:r>
    </w:p>
    <w:p w14:paraId="60536AB5" w14:textId="68872864" w:rsidR="000E43CD" w:rsidRPr="00FE46D0" w:rsidRDefault="000E43CD" w:rsidP="00D24DDA">
      <w:pPr>
        <w:widowControl/>
        <w:shd w:val="clear" w:color="auto" w:fill="FFFFFF"/>
        <w:spacing w:after="0" w:line="360" w:lineRule="auto"/>
        <w:jc w:val="both"/>
        <w:rPr>
          <w:rFonts w:ascii="Microsoft YaHei" w:eastAsia="Microsoft YaHei" w:hAnsi="Microsoft YaHei" w:cs="Segoe UI"/>
          <w:kern w:val="0"/>
          <w:sz w:val="18"/>
          <w:szCs w:val="18"/>
          <w14:ligatures w14:val="none"/>
        </w:rPr>
      </w:pPr>
      <w:r w:rsidRPr="00FE46D0">
        <w:rPr>
          <w:rFonts w:ascii="Microsoft YaHei" w:eastAsia="Microsoft YaHei" w:hAnsi="Microsoft YaHei" w:cs="Segoe UI"/>
          <w:b/>
          <w:bCs/>
          <w:kern w:val="0"/>
          <w:sz w:val="18"/>
          <w:szCs w:val="18"/>
          <w14:ligatures w14:val="none"/>
        </w:rPr>
        <w:t>Step 4: Locate Total Points and Draw a Line to the Risk Axis</w:t>
      </w:r>
      <w:r w:rsidRPr="00FE46D0">
        <w:rPr>
          <w:rFonts w:ascii="Microsoft YaHei" w:eastAsia="Microsoft YaHei" w:hAnsi="Microsoft YaHei" w:cs="Segoe UI"/>
          <w:kern w:val="0"/>
          <w:sz w:val="18"/>
          <w:szCs w:val="18"/>
          <w14:ligatures w14:val="none"/>
        </w:rPr>
        <w:br/>
        <w:t>Find the </w:t>
      </w:r>
      <w:r w:rsidRPr="00FE46D0">
        <w:rPr>
          <w:rFonts w:ascii="Microsoft YaHei" w:eastAsia="Microsoft YaHei" w:hAnsi="Microsoft YaHei" w:cs="Segoe UI"/>
          <w:b/>
          <w:bCs/>
          <w:kern w:val="0"/>
          <w:sz w:val="18"/>
          <w:szCs w:val="18"/>
          <w14:ligatures w14:val="none"/>
        </w:rPr>
        <w:t>Total Points</w:t>
      </w:r>
      <w:r w:rsidRPr="00FE46D0">
        <w:rPr>
          <w:rFonts w:ascii="Microsoft YaHei" w:eastAsia="Microsoft YaHei" w:hAnsi="Microsoft YaHei" w:cs="Segoe UI"/>
          <w:kern w:val="0"/>
          <w:sz w:val="18"/>
          <w:szCs w:val="18"/>
          <w14:ligatures w14:val="none"/>
        </w:rPr>
        <w:t> on the "Total Points" axis (the second horizontal line from the top). From this point, draw a </w:t>
      </w:r>
      <w:r w:rsidRPr="00FE46D0">
        <w:rPr>
          <w:rFonts w:ascii="Microsoft YaHei" w:eastAsia="Microsoft YaHei" w:hAnsi="Microsoft YaHei" w:cs="Segoe UI"/>
          <w:b/>
          <w:bCs/>
          <w:kern w:val="0"/>
          <w:sz w:val="18"/>
          <w:szCs w:val="18"/>
          <w14:ligatures w14:val="none"/>
        </w:rPr>
        <w:t>vertical line straight down</w:t>
      </w:r>
      <w:r w:rsidRPr="00FE46D0">
        <w:rPr>
          <w:rFonts w:ascii="Microsoft YaHei" w:eastAsia="Microsoft YaHei" w:hAnsi="Microsoft YaHei" w:cs="Segoe UI"/>
          <w:kern w:val="0"/>
          <w:sz w:val="18"/>
          <w:szCs w:val="18"/>
          <w14:ligatures w14:val="none"/>
        </w:rPr>
        <w:t> to the bottom "Risk of Hyperlactatemia" axis. The point where this line intersects the risk axis indicates the </w:t>
      </w:r>
      <w:r w:rsidRPr="00FE46D0">
        <w:rPr>
          <w:rFonts w:ascii="Microsoft YaHei" w:eastAsia="Microsoft YaHei" w:hAnsi="Microsoft YaHei" w:cs="Segoe UI"/>
          <w:b/>
          <w:bCs/>
          <w:kern w:val="0"/>
          <w:sz w:val="18"/>
          <w:szCs w:val="18"/>
          <w14:ligatures w14:val="none"/>
        </w:rPr>
        <w:t>estimated probability</w:t>
      </w:r>
      <w:r w:rsidRPr="00FE46D0">
        <w:rPr>
          <w:rFonts w:ascii="Microsoft YaHei" w:eastAsia="Microsoft YaHei" w:hAnsi="Microsoft YaHei" w:cs="Segoe UI"/>
          <w:kern w:val="0"/>
          <w:sz w:val="18"/>
          <w:szCs w:val="18"/>
          <w14:ligatures w14:val="none"/>
        </w:rPr>
        <w:t> (from 0 to 1.0, or 0% to 100%) that this patient will develop LZD-induced hyperlactatemia (lactate ≥2 mmol/L).</w:t>
      </w:r>
    </w:p>
    <w:p w14:paraId="17392012" w14:textId="77777777" w:rsidR="00E53D19" w:rsidRPr="00FE46D0" w:rsidRDefault="00E53D19" w:rsidP="00D24DDA">
      <w:pPr>
        <w:spacing w:after="0" w:line="360" w:lineRule="auto"/>
        <w:jc w:val="both"/>
        <w:rPr>
          <w:rFonts w:ascii="Microsoft YaHei" w:eastAsia="Microsoft YaHei" w:hAnsi="Microsoft YaHei"/>
          <w:b/>
          <w:bCs/>
          <w:sz w:val="18"/>
          <w:szCs w:val="18"/>
        </w:rPr>
      </w:pPr>
      <w:r w:rsidRPr="00FE46D0">
        <w:rPr>
          <w:rFonts w:ascii="Microsoft YaHei" w:eastAsia="Microsoft YaHei" w:hAnsi="Microsoft YaHei"/>
          <w:b/>
          <w:bCs/>
          <w:sz w:val="18"/>
          <w:szCs w:val="18"/>
        </w:rPr>
        <w:t>3. Risk Stratification &amp; Clinical Interpretation</w:t>
      </w:r>
    </w:p>
    <w:p w14:paraId="4BEAA45F" w14:textId="26FB37D2" w:rsidR="00E53D19" w:rsidRPr="00FE46D0" w:rsidRDefault="00E53D19" w:rsidP="00D24DDA">
      <w:pPr>
        <w:spacing w:after="0" w:line="360" w:lineRule="auto"/>
        <w:jc w:val="both"/>
        <w:rPr>
          <w:rFonts w:ascii="Microsoft YaHei" w:eastAsia="Microsoft YaHei" w:hAnsi="Microsoft YaHei"/>
          <w:sz w:val="18"/>
          <w:szCs w:val="18"/>
        </w:rPr>
      </w:pPr>
      <w:r w:rsidRPr="00FE46D0">
        <w:rPr>
          <w:rFonts w:ascii="Microsoft YaHei" w:eastAsia="Microsoft YaHei" w:hAnsi="Microsoft YaHei" w:hint="eastAsia"/>
          <w:sz w:val="18"/>
          <w:szCs w:val="18"/>
        </w:rPr>
        <w:t>Based on our cohort analysis, we suggest the following risk categories corresponding to the total</w:t>
      </w:r>
      <w:r w:rsidRPr="00FE46D0">
        <w:rPr>
          <w:rFonts w:ascii="Segoe UI" w:hAnsi="Segoe UI" w:cs="Segoe UI"/>
          <w:sz w:val="18"/>
          <w:szCs w:val="18"/>
          <w:shd w:val="clear" w:color="auto" w:fill="FFFFFF"/>
        </w:rPr>
        <w:t xml:space="preserve"> </w:t>
      </w:r>
      <w:r w:rsidRPr="00FE46D0">
        <w:rPr>
          <w:rFonts w:ascii="Microsoft YaHei" w:eastAsia="Microsoft YaHei" w:hAnsi="Microsoft YaHei"/>
          <w:sz w:val="18"/>
          <w:szCs w:val="18"/>
        </w:rPr>
        <w:t>point score: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843"/>
        <w:gridCol w:w="1559"/>
        <w:gridCol w:w="3760"/>
      </w:tblGrid>
      <w:tr w:rsidR="00FE46D0" w:rsidRPr="00FE46D0" w14:paraId="4AABE68C" w14:textId="77777777" w:rsidTr="006A023D">
        <w:tc>
          <w:tcPr>
            <w:tcW w:w="1134" w:type="dxa"/>
            <w:tcBorders>
              <w:bottom w:val="single" w:sz="4" w:space="0" w:color="auto"/>
            </w:tcBorders>
          </w:tcPr>
          <w:p w14:paraId="3BF64C60" w14:textId="19EB0E15"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Total Points</w:t>
            </w:r>
          </w:p>
        </w:tc>
        <w:tc>
          <w:tcPr>
            <w:tcW w:w="1843" w:type="dxa"/>
            <w:tcBorders>
              <w:bottom w:val="single" w:sz="4" w:space="0" w:color="auto"/>
            </w:tcBorders>
          </w:tcPr>
          <w:p w14:paraId="72DCDB7C" w14:textId="6A3608BB"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Estimated Probability</w:t>
            </w:r>
          </w:p>
        </w:tc>
        <w:tc>
          <w:tcPr>
            <w:tcW w:w="1559" w:type="dxa"/>
            <w:tcBorders>
              <w:bottom w:val="single" w:sz="4" w:space="0" w:color="auto"/>
            </w:tcBorders>
          </w:tcPr>
          <w:p w14:paraId="1DDD115F" w14:textId="478E7B52"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Risk Category</w:t>
            </w:r>
          </w:p>
        </w:tc>
        <w:tc>
          <w:tcPr>
            <w:tcW w:w="3760" w:type="dxa"/>
            <w:tcBorders>
              <w:bottom w:val="single" w:sz="4" w:space="0" w:color="auto"/>
            </w:tcBorders>
          </w:tcPr>
          <w:p w14:paraId="44F01D96" w14:textId="7C2CE970"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Suggested Clinical Actions</w:t>
            </w:r>
          </w:p>
        </w:tc>
      </w:tr>
      <w:tr w:rsidR="00FE46D0" w:rsidRPr="00FE46D0" w14:paraId="02EA6E31" w14:textId="77777777" w:rsidTr="006A023D">
        <w:tc>
          <w:tcPr>
            <w:tcW w:w="1134" w:type="dxa"/>
            <w:tcBorders>
              <w:top w:val="single" w:sz="4" w:space="0" w:color="auto"/>
              <w:bottom w:val="nil"/>
            </w:tcBorders>
          </w:tcPr>
          <w:p w14:paraId="3FB867A5" w14:textId="2A75EF0A"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&lt; 140</w:t>
            </w:r>
          </w:p>
        </w:tc>
        <w:tc>
          <w:tcPr>
            <w:tcW w:w="1843" w:type="dxa"/>
            <w:tcBorders>
              <w:top w:val="single" w:sz="4" w:space="0" w:color="auto"/>
              <w:bottom w:val="nil"/>
            </w:tcBorders>
          </w:tcPr>
          <w:p w14:paraId="206CF62A" w14:textId="7AF538CB"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&lt; 10%</w:t>
            </w:r>
          </w:p>
        </w:tc>
        <w:tc>
          <w:tcPr>
            <w:tcW w:w="1559" w:type="dxa"/>
            <w:tcBorders>
              <w:top w:val="single" w:sz="4" w:space="0" w:color="auto"/>
              <w:bottom w:val="nil"/>
            </w:tcBorders>
          </w:tcPr>
          <w:p w14:paraId="0F2C7F34" w14:textId="148A080D"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Low Risk</w:t>
            </w:r>
          </w:p>
        </w:tc>
        <w:tc>
          <w:tcPr>
            <w:tcW w:w="3760" w:type="dxa"/>
            <w:tcBorders>
              <w:top w:val="single" w:sz="4" w:space="0" w:color="auto"/>
              <w:bottom w:val="nil"/>
            </w:tcBorders>
          </w:tcPr>
          <w:p w14:paraId="3918AE7B" w14:textId="17A99392" w:rsidR="00D24DDA" w:rsidRPr="00FE46D0" w:rsidRDefault="006A023D"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Standard monitoring of arterial lactate (e.g., per routine ICU protocol).</w:t>
            </w:r>
          </w:p>
        </w:tc>
      </w:tr>
      <w:tr w:rsidR="00FE46D0" w:rsidRPr="00FE46D0" w14:paraId="61CD81E3" w14:textId="77777777" w:rsidTr="006A023D">
        <w:tc>
          <w:tcPr>
            <w:tcW w:w="1134" w:type="dxa"/>
            <w:tcBorders>
              <w:top w:val="nil"/>
              <w:bottom w:val="nil"/>
            </w:tcBorders>
          </w:tcPr>
          <w:p w14:paraId="7692088B" w14:textId="63BCABD1"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140 - 1</w:t>
            </w:r>
            <w:r w:rsidR="00402258" w:rsidRPr="00FE46D0">
              <w:rPr>
                <w:rFonts w:ascii="Microsoft YaHei" w:eastAsia="Microsoft YaHei" w:hAnsi="Microsoft YaHei" w:hint="eastAsia"/>
                <w:sz w:val="16"/>
                <w:szCs w:val="16"/>
              </w:rPr>
              <w:t>55</w:t>
            </w:r>
          </w:p>
        </w:tc>
        <w:tc>
          <w:tcPr>
            <w:tcW w:w="1843" w:type="dxa"/>
            <w:tcBorders>
              <w:top w:val="nil"/>
              <w:bottom w:val="nil"/>
            </w:tcBorders>
          </w:tcPr>
          <w:p w14:paraId="5B5EA5EC" w14:textId="6A82933C"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10% – 30%</w:t>
            </w:r>
          </w:p>
        </w:tc>
        <w:tc>
          <w:tcPr>
            <w:tcW w:w="1559" w:type="dxa"/>
            <w:tcBorders>
              <w:top w:val="nil"/>
              <w:bottom w:val="nil"/>
            </w:tcBorders>
          </w:tcPr>
          <w:p w14:paraId="59102F04" w14:textId="3FC04187"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Intermediate Risk</w:t>
            </w:r>
          </w:p>
        </w:tc>
        <w:tc>
          <w:tcPr>
            <w:tcW w:w="3760" w:type="dxa"/>
            <w:tcBorders>
              <w:top w:val="nil"/>
              <w:bottom w:val="nil"/>
            </w:tcBorders>
          </w:tcPr>
          <w:p w14:paraId="5CE895F3" w14:textId="7B9C8FD9" w:rsidR="00D24DDA" w:rsidRPr="00FE46D0" w:rsidRDefault="00B41C7E" w:rsidP="006A023D">
            <w:pPr>
              <w:jc w:val="both"/>
              <w:rPr>
                <w:rFonts w:ascii="Microsoft YaHei" w:eastAsia="Microsoft YaHei" w:hAnsi="Microsoft YaHei"/>
                <w:sz w:val="16"/>
                <w:szCs w:val="16"/>
              </w:rPr>
            </w:pPr>
            <w:r w:rsidRPr="00FE46D0">
              <w:rPr>
                <w:rFonts w:ascii="Microsoft YaHei" w:eastAsia="Microsoft YaHei" w:hAnsi="Microsoft YaHei"/>
                <w:sz w:val="16"/>
                <w:szCs w:val="16"/>
              </w:rPr>
              <w:t>Consider increased lactate monitoring frequency (e.g., every 48-72 hours). Monitor platelet count and glucose closely.</w:t>
            </w:r>
          </w:p>
        </w:tc>
      </w:tr>
      <w:tr w:rsidR="00FE46D0" w:rsidRPr="00FE46D0" w14:paraId="308CF5DA" w14:textId="77777777" w:rsidTr="006A023D">
        <w:tc>
          <w:tcPr>
            <w:tcW w:w="1134" w:type="dxa"/>
            <w:tcBorders>
              <w:top w:val="nil"/>
              <w:bottom w:val="nil"/>
            </w:tcBorders>
          </w:tcPr>
          <w:p w14:paraId="23FCCFE9" w14:textId="56CBAA9E"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1</w:t>
            </w:r>
            <w:r w:rsidR="00402258" w:rsidRPr="00FE46D0">
              <w:rPr>
                <w:rFonts w:ascii="Microsoft YaHei" w:eastAsia="Microsoft YaHei" w:hAnsi="Microsoft YaHei" w:hint="eastAsia"/>
                <w:sz w:val="16"/>
                <w:szCs w:val="16"/>
              </w:rPr>
              <w:t>55</w:t>
            </w:r>
            <w:r w:rsidRPr="00FE46D0">
              <w:rPr>
                <w:rFonts w:ascii="Microsoft YaHei" w:eastAsia="Microsoft YaHei" w:hAnsi="Microsoft YaHei" w:hint="eastAsia"/>
                <w:sz w:val="16"/>
                <w:szCs w:val="16"/>
              </w:rPr>
              <w:t xml:space="preserve"> - 1</w:t>
            </w:r>
            <w:r w:rsidR="00402258" w:rsidRPr="00FE46D0">
              <w:rPr>
                <w:rFonts w:ascii="Microsoft YaHei" w:eastAsia="Microsoft YaHei" w:hAnsi="Microsoft YaHei" w:hint="eastAsia"/>
                <w:sz w:val="16"/>
                <w:szCs w:val="16"/>
              </w:rPr>
              <w:t>75</w:t>
            </w:r>
          </w:p>
        </w:tc>
        <w:tc>
          <w:tcPr>
            <w:tcW w:w="1843" w:type="dxa"/>
            <w:tcBorders>
              <w:top w:val="nil"/>
              <w:bottom w:val="nil"/>
            </w:tcBorders>
          </w:tcPr>
          <w:p w14:paraId="34C0ED72" w14:textId="46FFBE87"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30% – 70%</w:t>
            </w:r>
          </w:p>
        </w:tc>
        <w:tc>
          <w:tcPr>
            <w:tcW w:w="1559" w:type="dxa"/>
            <w:tcBorders>
              <w:top w:val="nil"/>
              <w:bottom w:val="nil"/>
            </w:tcBorders>
          </w:tcPr>
          <w:p w14:paraId="6861F30C" w14:textId="3360162F"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High Risk</w:t>
            </w:r>
          </w:p>
        </w:tc>
        <w:tc>
          <w:tcPr>
            <w:tcW w:w="3760" w:type="dxa"/>
            <w:tcBorders>
              <w:top w:val="nil"/>
              <w:bottom w:val="nil"/>
            </w:tcBorders>
          </w:tcPr>
          <w:p w14:paraId="10B5FBE3" w14:textId="63F76BE3" w:rsidR="00D24DDA" w:rsidRPr="00FE46D0" w:rsidRDefault="00B41C7E" w:rsidP="006A023D">
            <w:pPr>
              <w:jc w:val="both"/>
              <w:rPr>
                <w:rFonts w:ascii="Microsoft YaHei" w:eastAsia="Microsoft YaHei" w:hAnsi="Microsoft YaHei"/>
                <w:sz w:val="16"/>
                <w:szCs w:val="16"/>
              </w:rPr>
            </w:pPr>
            <w:r w:rsidRPr="00FE46D0">
              <w:rPr>
                <w:rFonts w:ascii="Microsoft YaHei" w:eastAsia="Microsoft YaHei" w:hAnsi="Microsoft YaHei"/>
                <w:sz w:val="16"/>
                <w:szCs w:val="16"/>
              </w:rPr>
              <w:t>Intensify lactate monitoring (e.g., every 24-48 hours). Aggressively manage hyperglycemia. Evaluate the necessity and planned duration of LZD therapy. Consider therapeutic drug monitoring (TDM) for LZD if available. Discuss potential alternative antibiotics (e.g., vancomycin) with the treating team.</w:t>
            </w:r>
          </w:p>
        </w:tc>
      </w:tr>
      <w:tr w:rsidR="00FE46D0" w:rsidRPr="00FE46D0" w14:paraId="39B2C080" w14:textId="77777777" w:rsidTr="006A023D">
        <w:tc>
          <w:tcPr>
            <w:tcW w:w="1134" w:type="dxa"/>
            <w:tcBorders>
              <w:top w:val="nil"/>
              <w:bottom w:val="single" w:sz="4" w:space="0" w:color="auto"/>
            </w:tcBorders>
          </w:tcPr>
          <w:p w14:paraId="2AC0837D" w14:textId="09FB9A42"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&gt; 1</w:t>
            </w:r>
            <w:r w:rsidR="00402258" w:rsidRPr="00FE46D0">
              <w:rPr>
                <w:rFonts w:ascii="Microsoft YaHei" w:eastAsia="Microsoft YaHei" w:hAnsi="Microsoft YaHei" w:hint="eastAsia"/>
                <w:sz w:val="16"/>
                <w:szCs w:val="16"/>
              </w:rPr>
              <w:t>75</w:t>
            </w:r>
          </w:p>
        </w:tc>
        <w:tc>
          <w:tcPr>
            <w:tcW w:w="1843" w:type="dxa"/>
            <w:tcBorders>
              <w:top w:val="nil"/>
              <w:bottom w:val="single" w:sz="4" w:space="0" w:color="auto"/>
            </w:tcBorders>
          </w:tcPr>
          <w:p w14:paraId="36811D57" w14:textId="4622164D"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&gt; 70%</w:t>
            </w:r>
          </w:p>
        </w:tc>
        <w:tc>
          <w:tcPr>
            <w:tcW w:w="1559" w:type="dxa"/>
            <w:tcBorders>
              <w:top w:val="nil"/>
              <w:bottom w:val="single" w:sz="4" w:space="0" w:color="auto"/>
            </w:tcBorders>
          </w:tcPr>
          <w:p w14:paraId="124F5EA9" w14:textId="7A23677A" w:rsidR="00D24DDA" w:rsidRPr="00FE46D0" w:rsidRDefault="00D24DDA" w:rsidP="006A023D">
            <w:pPr>
              <w:jc w:val="both"/>
              <w:rPr>
                <w:rFonts w:ascii="Microsoft YaHei" w:eastAsia="Microsoft YaHei" w:hAnsi="Microsoft YaHei"/>
                <w:sz w:val="16"/>
                <w:szCs w:val="16"/>
              </w:rPr>
            </w:pPr>
            <w:r w:rsidRPr="00FE46D0">
              <w:rPr>
                <w:rFonts w:ascii="Microsoft YaHei" w:eastAsia="Microsoft YaHei" w:hAnsi="Microsoft YaHei" w:hint="eastAsia"/>
                <w:sz w:val="16"/>
                <w:szCs w:val="16"/>
              </w:rPr>
              <w:t>Very High Risk</w:t>
            </w:r>
          </w:p>
        </w:tc>
        <w:tc>
          <w:tcPr>
            <w:tcW w:w="3760" w:type="dxa"/>
            <w:tcBorders>
              <w:top w:val="nil"/>
              <w:bottom w:val="single" w:sz="4" w:space="0" w:color="auto"/>
            </w:tcBorders>
          </w:tcPr>
          <w:p w14:paraId="09EF3AE3" w14:textId="30CDC395" w:rsidR="00D24DDA" w:rsidRPr="00FE46D0" w:rsidRDefault="00B41C7E" w:rsidP="006A023D">
            <w:pPr>
              <w:jc w:val="both"/>
              <w:rPr>
                <w:rFonts w:ascii="Microsoft YaHei" w:eastAsia="Microsoft YaHei" w:hAnsi="Microsoft YaHei"/>
                <w:sz w:val="16"/>
                <w:szCs w:val="16"/>
              </w:rPr>
            </w:pPr>
            <w:r w:rsidRPr="00FE46D0">
              <w:rPr>
                <w:rFonts w:ascii="Microsoft YaHei" w:eastAsia="Microsoft YaHei" w:hAnsi="Microsoft YaHei"/>
                <w:sz w:val="16"/>
                <w:szCs w:val="16"/>
              </w:rPr>
              <w:t>All actions for High Risk. Strongly consider initiating or switching to an alternative antibiotic if clinically feasible. Mandate close clinical and laboratory surveillance.</w:t>
            </w:r>
          </w:p>
        </w:tc>
      </w:tr>
    </w:tbl>
    <w:p w14:paraId="28D19C26" w14:textId="78F942D7" w:rsidR="00E53D19" w:rsidRPr="00FE46D0" w:rsidRDefault="00E53D19" w:rsidP="00B41C7E">
      <w:pPr>
        <w:spacing w:line="240" w:lineRule="auto"/>
        <w:jc w:val="both"/>
        <w:rPr>
          <w:rFonts w:ascii="Microsoft YaHei" w:eastAsia="Microsoft YaHei" w:hAnsi="Microsoft YaHei"/>
          <w:sz w:val="16"/>
          <w:szCs w:val="16"/>
        </w:rPr>
      </w:pPr>
      <w:r w:rsidRPr="00FE46D0">
        <w:rPr>
          <w:rFonts w:ascii="Microsoft YaHei" w:eastAsia="Microsoft YaHei" w:hAnsi="Microsoft YaHei"/>
          <w:sz w:val="16"/>
          <w:szCs w:val="16"/>
        </w:rPr>
        <w:t>Note: These thresholds are suggestions derived from our data. Clinical judgment should always supersede model predictions, considering the full clinical context.</w:t>
      </w:r>
    </w:p>
    <w:p w14:paraId="171167B1" w14:textId="77777777" w:rsidR="006558C6" w:rsidRPr="00FE46D0" w:rsidRDefault="006558C6" w:rsidP="006558C6">
      <w:pPr>
        <w:spacing w:after="0" w:line="360" w:lineRule="auto"/>
        <w:jc w:val="both"/>
        <w:rPr>
          <w:rFonts w:ascii="Microsoft YaHei" w:eastAsia="Microsoft YaHei" w:hAnsi="Microsoft YaHei"/>
          <w:b/>
          <w:bCs/>
          <w:sz w:val="18"/>
          <w:szCs w:val="18"/>
        </w:rPr>
      </w:pPr>
      <w:r w:rsidRPr="00FE46D0">
        <w:rPr>
          <w:rFonts w:ascii="Microsoft YaHei" w:eastAsia="Microsoft YaHei" w:hAnsi="Microsoft YaHei"/>
          <w:b/>
          <w:bCs/>
          <w:sz w:val="18"/>
          <w:szCs w:val="18"/>
        </w:rPr>
        <w:t>4. Underlying Prediction Equation</w:t>
      </w:r>
    </w:p>
    <w:p w14:paraId="11C3BC88" w14:textId="77777777" w:rsidR="006558C6" w:rsidRPr="00FE46D0" w:rsidRDefault="006558C6" w:rsidP="006558C6">
      <w:pPr>
        <w:spacing w:after="0" w:line="360" w:lineRule="auto"/>
        <w:jc w:val="both"/>
        <w:rPr>
          <w:rFonts w:ascii="Microsoft YaHei" w:eastAsia="Microsoft YaHei" w:hAnsi="Microsoft YaHei"/>
          <w:sz w:val="18"/>
          <w:szCs w:val="18"/>
        </w:rPr>
      </w:pPr>
      <w:r w:rsidRPr="00FE46D0">
        <w:rPr>
          <w:rFonts w:ascii="Microsoft YaHei" w:eastAsia="Microsoft YaHei" w:hAnsi="Microsoft YaHei"/>
          <w:sz w:val="18"/>
          <w:szCs w:val="18"/>
        </w:rPr>
        <w:t>For transparency or digital calculation, the nomogram is based on the following multivariable logistic regression equation:</w:t>
      </w:r>
    </w:p>
    <w:p w14:paraId="1D246EF9" w14:textId="22369577" w:rsidR="006558C6" w:rsidRPr="00FE46D0" w:rsidRDefault="006558C6" w:rsidP="006558C6">
      <w:p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Logit(P) = -10.123 + (0.036 × Age) + (0.289 × NUTRIC</w:t>
      </w:r>
      <w:r w:rsidR="00984D1A" w:rsidRPr="00FE46D0">
        <w:rPr>
          <w:rFonts w:ascii="Microsoft YaHei" w:eastAsia="Microsoft YaHei" w:hAnsi="Microsoft YaHei" w:hint="eastAsia"/>
          <w:b/>
          <w:bCs/>
          <w:sz w:val="18"/>
          <w:szCs w:val="18"/>
        </w:rPr>
        <w:t xml:space="preserve"> </w:t>
      </w:r>
      <w:r w:rsidRPr="00FE46D0">
        <w:rPr>
          <w:rFonts w:ascii="Microsoft YaHei" w:eastAsia="Microsoft YaHei" w:hAnsi="Microsoft YaHei"/>
          <w:b/>
          <w:bCs/>
          <w:sz w:val="18"/>
          <w:szCs w:val="18"/>
        </w:rPr>
        <w:t>Score) - (0.023 × PLT) + (0.344 × Glu) + (0.382 × LZD</w:t>
      </w:r>
      <w:r w:rsidR="00984D1A" w:rsidRPr="00FE46D0">
        <w:rPr>
          <w:rFonts w:ascii="Microsoft YaHei" w:eastAsia="Microsoft YaHei" w:hAnsi="Microsoft YaHei" w:hint="eastAsia"/>
          <w:b/>
          <w:bCs/>
          <w:sz w:val="18"/>
          <w:szCs w:val="18"/>
        </w:rPr>
        <w:t xml:space="preserve"> </w:t>
      </w:r>
      <w:r w:rsidRPr="00FE46D0">
        <w:rPr>
          <w:rFonts w:ascii="Microsoft YaHei" w:eastAsia="Microsoft YaHei" w:hAnsi="Microsoft YaHei"/>
          <w:b/>
          <w:bCs/>
          <w:sz w:val="18"/>
          <w:szCs w:val="18"/>
        </w:rPr>
        <w:t>Duration)</w:t>
      </w:r>
    </w:p>
    <w:p w14:paraId="19C1F776" w14:textId="77777777" w:rsidR="006558C6" w:rsidRPr="00FE46D0" w:rsidRDefault="006558C6" w:rsidP="006558C6">
      <w:pPr>
        <w:spacing w:after="0" w:line="360" w:lineRule="auto"/>
        <w:jc w:val="both"/>
        <w:rPr>
          <w:rFonts w:ascii="Microsoft YaHei" w:eastAsia="Microsoft YaHei" w:hAnsi="Microsoft YaHei"/>
          <w:sz w:val="18"/>
          <w:szCs w:val="18"/>
        </w:rPr>
      </w:pPr>
      <w:r w:rsidRPr="00FE46D0">
        <w:rPr>
          <w:rFonts w:ascii="Microsoft YaHei" w:eastAsia="Microsoft YaHei" w:hAnsi="Microsoft YaHei"/>
          <w:sz w:val="18"/>
          <w:szCs w:val="18"/>
        </w:rPr>
        <w:t>Where:</w:t>
      </w:r>
    </w:p>
    <w:p w14:paraId="413F3BC4" w14:textId="77777777" w:rsidR="006558C6" w:rsidRPr="00FE46D0" w:rsidRDefault="006558C6" w:rsidP="006558C6">
      <w:pPr>
        <w:numPr>
          <w:ilvl w:val="0"/>
          <w:numId w:val="2"/>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Logit(P)</w:t>
      </w:r>
      <w:r w:rsidRPr="00FE46D0">
        <w:rPr>
          <w:rFonts w:ascii="Microsoft YaHei" w:eastAsia="Microsoft YaHei" w:hAnsi="Microsoft YaHei"/>
          <w:sz w:val="18"/>
          <w:szCs w:val="18"/>
        </w:rPr>
        <w:t> = ln[ P / (1 - P) ]</w:t>
      </w:r>
    </w:p>
    <w:p w14:paraId="31E49623" w14:textId="77777777" w:rsidR="006558C6" w:rsidRPr="00FE46D0" w:rsidRDefault="006558C6" w:rsidP="006558C6">
      <w:pPr>
        <w:numPr>
          <w:ilvl w:val="0"/>
          <w:numId w:val="2"/>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P</w:t>
      </w:r>
      <w:r w:rsidRPr="00FE46D0">
        <w:rPr>
          <w:rFonts w:ascii="Microsoft YaHei" w:eastAsia="Microsoft YaHei" w:hAnsi="Microsoft YaHei"/>
          <w:sz w:val="18"/>
          <w:szCs w:val="18"/>
        </w:rPr>
        <w:t> = Probability of hyperlactatemia</w:t>
      </w:r>
    </w:p>
    <w:p w14:paraId="29607E94" w14:textId="77777777" w:rsidR="006558C6" w:rsidRPr="00FE46D0" w:rsidRDefault="006558C6" w:rsidP="006558C6">
      <w:p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To calculate the probability (P):</w:t>
      </w:r>
      <w:r w:rsidRPr="00FE46D0">
        <w:rPr>
          <w:rFonts w:ascii="Microsoft YaHei" w:eastAsia="Microsoft YaHei" w:hAnsi="Microsoft YaHei"/>
          <w:sz w:val="18"/>
          <w:szCs w:val="18"/>
        </w:rPr>
        <w:br/>
        <w:t>P = exp(Logit(P)) / [1 + exp(Logit(P))]</w:t>
      </w:r>
    </w:p>
    <w:p w14:paraId="75E4C0A4" w14:textId="77777777" w:rsidR="006558C6" w:rsidRPr="00FE46D0" w:rsidRDefault="006558C6" w:rsidP="006558C6">
      <w:pPr>
        <w:spacing w:after="0" w:line="360" w:lineRule="auto"/>
        <w:jc w:val="both"/>
        <w:rPr>
          <w:rFonts w:ascii="Microsoft YaHei" w:eastAsia="Microsoft YaHei" w:hAnsi="Microsoft YaHei"/>
          <w:b/>
          <w:bCs/>
          <w:sz w:val="18"/>
          <w:szCs w:val="18"/>
        </w:rPr>
      </w:pPr>
      <w:r w:rsidRPr="00FE46D0">
        <w:rPr>
          <w:rFonts w:ascii="Microsoft YaHei" w:eastAsia="Microsoft YaHei" w:hAnsi="Microsoft YaHei"/>
          <w:i/>
          <w:iCs/>
          <w:sz w:val="18"/>
          <w:szCs w:val="18"/>
        </w:rPr>
        <w:t>Example Calculation:</w:t>
      </w:r>
      <w:r w:rsidRPr="00FE46D0">
        <w:rPr>
          <w:rFonts w:ascii="Microsoft YaHei" w:eastAsia="Microsoft YaHei" w:hAnsi="Microsoft YaHei"/>
          <w:sz w:val="18"/>
          <w:szCs w:val="18"/>
        </w:rPr>
        <w:t> For a 70-year-old patient (Age=70) with a NUTRIC score of 6, platelet count of 150 ×10</w:t>
      </w:r>
      <w:r w:rsidRPr="00FE46D0">
        <w:rPr>
          <w:rFonts w:ascii="Cambria Math" w:eastAsia="Microsoft YaHei" w:hAnsi="Cambria Math" w:cs="Cambria Math"/>
          <w:sz w:val="18"/>
          <w:szCs w:val="18"/>
        </w:rPr>
        <w:t>⁹</w:t>
      </w:r>
      <w:r w:rsidRPr="00FE46D0">
        <w:rPr>
          <w:rFonts w:ascii="Microsoft YaHei" w:eastAsia="Microsoft YaHei" w:hAnsi="Microsoft YaHei"/>
          <w:sz w:val="18"/>
          <w:szCs w:val="18"/>
        </w:rPr>
        <w:t>/L, blood glucose of 8 mmol/L, and a planned 10-day LZD course:</w:t>
      </w:r>
      <w:r w:rsidRPr="00FE46D0">
        <w:rPr>
          <w:rFonts w:ascii="Microsoft YaHei" w:eastAsia="Microsoft YaHei" w:hAnsi="Microsoft YaHei"/>
          <w:sz w:val="18"/>
          <w:szCs w:val="18"/>
        </w:rPr>
        <w:br/>
        <w:t>Logit(P) = -10.123 + (0.036</w:t>
      </w:r>
      <w:r w:rsidRPr="00FE46D0">
        <w:rPr>
          <w:rFonts w:ascii="Microsoft YaHei" w:eastAsia="Microsoft YaHei" w:hAnsi="Microsoft YaHei" w:cs="Microsoft YaHei" w:hint="eastAsia"/>
          <w:sz w:val="18"/>
          <w:szCs w:val="18"/>
        </w:rPr>
        <w:t>×</w:t>
      </w:r>
      <w:r w:rsidRPr="00FE46D0">
        <w:rPr>
          <w:rFonts w:ascii="Microsoft YaHei" w:eastAsia="Microsoft YaHei" w:hAnsi="Microsoft YaHei"/>
          <w:sz w:val="18"/>
          <w:szCs w:val="18"/>
        </w:rPr>
        <w:t>70) + (0.289</w:t>
      </w:r>
      <w:r w:rsidRPr="00FE46D0">
        <w:rPr>
          <w:rFonts w:ascii="Microsoft YaHei" w:eastAsia="Microsoft YaHei" w:hAnsi="Microsoft YaHei" w:cs="Microsoft YaHei" w:hint="eastAsia"/>
          <w:sz w:val="18"/>
          <w:szCs w:val="18"/>
        </w:rPr>
        <w:t>×</w:t>
      </w:r>
      <w:r w:rsidRPr="00FE46D0">
        <w:rPr>
          <w:rFonts w:ascii="Microsoft YaHei" w:eastAsia="Microsoft YaHei" w:hAnsi="Microsoft YaHei"/>
          <w:sz w:val="18"/>
          <w:szCs w:val="18"/>
        </w:rPr>
        <w:t>6) - (0.023</w:t>
      </w:r>
      <w:r w:rsidRPr="00FE46D0">
        <w:rPr>
          <w:rFonts w:ascii="Microsoft YaHei" w:eastAsia="Microsoft YaHei" w:hAnsi="Microsoft YaHei" w:cs="Microsoft YaHei" w:hint="eastAsia"/>
          <w:sz w:val="18"/>
          <w:szCs w:val="18"/>
        </w:rPr>
        <w:t>×</w:t>
      </w:r>
      <w:r w:rsidRPr="00FE46D0">
        <w:rPr>
          <w:rFonts w:ascii="Microsoft YaHei" w:eastAsia="Microsoft YaHei" w:hAnsi="Microsoft YaHei"/>
          <w:sz w:val="18"/>
          <w:szCs w:val="18"/>
        </w:rPr>
        <w:t>150) + (0.344</w:t>
      </w:r>
      <w:r w:rsidRPr="00FE46D0">
        <w:rPr>
          <w:rFonts w:ascii="Microsoft YaHei" w:eastAsia="Microsoft YaHei" w:hAnsi="Microsoft YaHei" w:cs="Microsoft YaHei" w:hint="eastAsia"/>
          <w:sz w:val="18"/>
          <w:szCs w:val="18"/>
        </w:rPr>
        <w:t>×</w:t>
      </w:r>
      <w:r w:rsidRPr="00FE46D0">
        <w:rPr>
          <w:rFonts w:ascii="Microsoft YaHei" w:eastAsia="Microsoft YaHei" w:hAnsi="Microsoft YaHei"/>
          <w:sz w:val="18"/>
          <w:szCs w:val="18"/>
        </w:rPr>
        <w:t>8) + (0.382</w:t>
      </w:r>
      <w:r w:rsidRPr="00FE46D0">
        <w:rPr>
          <w:rFonts w:ascii="Microsoft YaHei" w:eastAsia="Microsoft YaHei" w:hAnsi="Microsoft YaHei" w:cs="Microsoft YaHei" w:hint="eastAsia"/>
          <w:sz w:val="18"/>
          <w:szCs w:val="18"/>
        </w:rPr>
        <w:t>×</w:t>
      </w:r>
      <w:r w:rsidRPr="00FE46D0">
        <w:rPr>
          <w:rFonts w:ascii="Microsoft YaHei" w:eastAsia="Microsoft YaHei" w:hAnsi="Microsoft YaHei"/>
          <w:sz w:val="18"/>
          <w:szCs w:val="18"/>
        </w:rPr>
        <w:t>10)</w:t>
      </w:r>
      <w:r w:rsidRPr="00FE46D0">
        <w:rPr>
          <w:rFonts w:ascii="Microsoft YaHei" w:eastAsia="Microsoft YaHei" w:hAnsi="Microsoft YaHei"/>
          <w:sz w:val="18"/>
          <w:szCs w:val="18"/>
        </w:rPr>
        <w:br/>
        <w:t xml:space="preserve">Logit(P) </w:t>
      </w:r>
      <w:r w:rsidRPr="00FE46D0">
        <w:rPr>
          <w:rFonts w:ascii="Microsoft YaHei" w:eastAsia="Microsoft YaHei" w:hAnsi="Microsoft YaHei" w:cs="Microsoft YaHei" w:hint="eastAsia"/>
          <w:sz w:val="18"/>
          <w:szCs w:val="18"/>
        </w:rPr>
        <w:t>≈</w:t>
      </w:r>
      <w:r w:rsidRPr="00FE46D0">
        <w:rPr>
          <w:rFonts w:ascii="Microsoft YaHei" w:eastAsia="Microsoft YaHei" w:hAnsi="Microsoft YaHei"/>
          <w:sz w:val="18"/>
          <w:szCs w:val="18"/>
        </w:rPr>
        <w:t xml:space="preserve"> -10.123 + 2.52 + 1.734 - 3.45 + 2.752 + 3.82 = -2.747</w:t>
      </w:r>
      <w:r w:rsidRPr="00FE46D0">
        <w:rPr>
          <w:rFonts w:ascii="Microsoft YaHei" w:eastAsia="Microsoft YaHei" w:hAnsi="Microsoft YaHei"/>
          <w:sz w:val="18"/>
          <w:szCs w:val="18"/>
        </w:rPr>
        <w:br/>
        <w:t xml:space="preserve">P = exp(-2.747) / [1 + exp(-2.747)] </w:t>
      </w:r>
      <w:r w:rsidRPr="00FE46D0">
        <w:rPr>
          <w:rFonts w:ascii="Microsoft YaHei" w:eastAsia="Microsoft YaHei" w:hAnsi="Microsoft YaHei" w:cs="Microsoft YaHei" w:hint="eastAsia"/>
          <w:sz w:val="18"/>
          <w:szCs w:val="18"/>
        </w:rPr>
        <w:t>≈</w:t>
      </w:r>
      <w:r w:rsidRPr="00FE46D0">
        <w:rPr>
          <w:rFonts w:ascii="Microsoft YaHei" w:eastAsia="Microsoft YaHei" w:hAnsi="Microsoft YaHei"/>
          <w:sz w:val="18"/>
          <w:szCs w:val="18"/>
        </w:rPr>
        <w:t xml:space="preserve"> 0.060 / 1.060 </w:t>
      </w:r>
      <w:r w:rsidRPr="00FE46D0">
        <w:rPr>
          <w:rFonts w:ascii="Microsoft YaHei" w:eastAsia="Microsoft YaHei" w:hAnsi="Microsoft YaHei" w:cs="Microsoft YaHei" w:hint="eastAsia"/>
          <w:sz w:val="18"/>
          <w:szCs w:val="18"/>
        </w:rPr>
        <w:t>≈ </w:t>
      </w:r>
      <w:r w:rsidRPr="00FE46D0">
        <w:rPr>
          <w:rFonts w:ascii="Microsoft YaHei" w:eastAsia="Microsoft YaHei" w:hAnsi="Microsoft YaHei"/>
          <w:b/>
          <w:bCs/>
          <w:sz w:val="18"/>
          <w:szCs w:val="18"/>
        </w:rPr>
        <w:t>0.057 (or 5.7% risk)</w:t>
      </w:r>
    </w:p>
    <w:p w14:paraId="5AAC721E" w14:textId="30F3079F" w:rsidR="002265FB" w:rsidRPr="00FE46D0" w:rsidRDefault="002265FB" w:rsidP="002265FB">
      <w:pPr>
        <w:spacing w:line="360" w:lineRule="auto"/>
        <w:jc w:val="both"/>
        <w:rPr>
          <w:rFonts w:ascii="Microsoft YaHei" w:eastAsia="Microsoft YaHei" w:hAnsi="Microsoft YaHei"/>
          <w:b/>
          <w:bCs/>
          <w:sz w:val="18"/>
          <w:szCs w:val="18"/>
        </w:rPr>
      </w:pPr>
      <w:r w:rsidRPr="00FE46D0">
        <w:rPr>
          <w:rFonts w:ascii="Microsoft YaHei" w:eastAsia="Microsoft YaHei" w:hAnsi="Microsoft YaHei"/>
          <w:sz w:val="18"/>
          <w:szCs w:val="18"/>
        </w:rPr>
        <w:t>The logistic regression equation yields a probability of </w:t>
      </w:r>
      <w:r w:rsidRPr="00FE46D0">
        <w:rPr>
          <w:rFonts w:ascii="Microsoft YaHei" w:eastAsia="Microsoft YaHei" w:hAnsi="Microsoft YaHei"/>
          <w:b/>
          <w:bCs/>
          <w:sz w:val="18"/>
          <w:szCs w:val="18"/>
        </w:rPr>
        <w:t>6.0%</w:t>
      </w:r>
      <w:r w:rsidRPr="00FE46D0">
        <w:rPr>
          <w:rFonts w:ascii="Microsoft YaHei" w:eastAsia="Microsoft YaHei" w:hAnsi="Microsoft YaHei"/>
          <w:sz w:val="18"/>
          <w:szCs w:val="18"/>
        </w:rPr>
        <w:t>, while the nomogram reading gives </w:t>
      </w:r>
      <w:r w:rsidRPr="00FE46D0">
        <w:rPr>
          <w:rFonts w:ascii="Microsoft YaHei" w:eastAsia="Microsoft YaHei" w:hAnsi="Microsoft YaHei"/>
          <w:b/>
          <w:bCs/>
          <w:sz w:val="18"/>
          <w:szCs w:val="18"/>
        </w:rPr>
        <w:t>approximately 20%</w:t>
      </w:r>
      <w:r w:rsidRPr="00FE46D0">
        <w:rPr>
          <w:rFonts w:ascii="Microsoft YaHei" w:eastAsia="Microsoft YaHei" w:hAnsi="Microsoft YaHei"/>
          <w:sz w:val="18"/>
          <w:szCs w:val="18"/>
        </w:rPr>
        <w:t>.</w:t>
      </w:r>
    </w:p>
    <w:tbl>
      <w:tblPr>
        <w:tblW w:w="0" w:type="auto"/>
        <w:tblBorders>
          <w:top w:val="single" w:sz="4" w:space="0" w:color="auto"/>
          <w:bottom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64"/>
        <w:gridCol w:w="959"/>
        <w:gridCol w:w="1010"/>
        <w:gridCol w:w="3126"/>
      </w:tblGrid>
      <w:tr w:rsidR="00FE46D0" w:rsidRPr="00FE46D0" w14:paraId="34EC1998" w14:textId="77777777" w:rsidTr="00D66D74">
        <w:trPr>
          <w:trHeight w:val="174"/>
          <w:tblHeader/>
        </w:trPr>
        <w:tc>
          <w:tcPr>
            <w:tcW w:w="0" w:type="auto"/>
            <w:tcBorders>
              <w:top w:val="single" w:sz="4" w:space="0" w:color="auto"/>
              <w:bottom w:val="single" w:sz="4" w:space="0" w:color="auto"/>
            </w:tcBorders>
            <w:shd w:val="clear" w:color="auto" w:fill="FFFFFF"/>
            <w:tcMar>
              <w:top w:w="150" w:type="dxa"/>
              <w:left w:w="0" w:type="dxa"/>
              <w:bottom w:w="150" w:type="dxa"/>
              <w:right w:w="240" w:type="dxa"/>
            </w:tcMar>
            <w:vAlign w:val="center"/>
            <w:hideMark/>
          </w:tcPr>
          <w:p w14:paraId="71BCD3F3"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Predictor</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741BFE12"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Value</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70EEFA63"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Points</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1B089FED"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Calculation Method</w:t>
            </w:r>
          </w:p>
        </w:tc>
      </w:tr>
      <w:tr w:rsidR="00FE46D0" w:rsidRPr="00FE46D0" w14:paraId="6021166F" w14:textId="77777777" w:rsidTr="00D66D74">
        <w:tc>
          <w:tcPr>
            <w:tcW w:w="0" w:type="auto"/>
            <w:tcBorders>
              <w:top w:val="single" w:sz="4" w:space="0" w:color="auto"/>
            </w:tcBorders>
            <w:shd w:val="clear" w:color="auto" w:fill="FFFFFF"/>
            <w:tcMar>
              <w:top w:w="150" w:type="dxa"/>
              <w:left w:w="0" w:type="dxa"/>
              <w:bottom w:w="150" w:type="dxa"/>
              <w:right w:w="240" w:type="dxa"/>
            </w:tcMar>
            <w:vAlign w:val="center"/>
            <w:hideMark/>
          </w:tcPr>
          <w:p w14:paraId="609EB588"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Age (years)</w:t>
            </w:r>
          </w:p>
        </w:tc>
        <w:tc>
          <w:tcPr>
            <w:tcW w:w="0" w:type="auto"/>
            <w:tcBorders>
              <w:top w:val="single" w:sz="4" w:space="0" w:color="auto"/>
            </w:tcBorders>
            <w:shd w:val="clear" w:color="auto" w:fill="FFFFFF"/>
            <w:tcMar>
              <w:top w:w="150" w:type="dxa"/>
              <w:left w:w="240" w:type="dxa"/>
              <w:bottom w:w="150" w:type="dxa"/>
              <w:right w:w="240" w:type="dxa"/>
            </w:tcMar>
            <w:vAlign w:val="center"/>
            <w:hideMark/>
          </w:tcPr>
          <w:p w14:paraId="43A71007"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70</w:t>
            </w:r>
          </w:p>
        </w:tc>
        <w:tc>
          <w:tcPr>
            <w:tcW w:w="0" w:type="auto"/>
            <w:tcBorders>
              <w:top w:val="single" w:sz="4" w:space="0" w:color="auto"/>
            </w:tcBorders>
            <w:shd w:val="clear" w:color="auto" w:fill="FFFFFF"/>
            <w:tcMar>
              <w:top w:w="150" w:type="dxa"/>
              <w:left w:w="240" w:type="dxa"/>
              <w:bottom w:w="150" w:type="dxa"/>
              <w:right w:w="240" w:type="dxa"/>
            </w:tcMar>
            <w:vAlign w:val="center"/>
            <w:hideMark/>
          </w:tcPr>
          <w:p w14:paraId="7B1EAC6A"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23</w:t>
            </w:r>
          </w:p>
        </w:tc>
        <w:tc>
          <w:tcPr>
            <w:tcW w:w="0" w:type="auto"/>
            <w:tcBorders>
              <w:top w:val="single" w:sz="4" w:space="0" w:color="auto"/>
            </w:tcBorders>
            <w:shd w:val="clear" w:color="auto" w:fill="FFFFFF"/>
            <w:tcMar>
              <w:top w:w="150" w:type="dxa"/>
              <w:left w:w="240" w:type="dxa"/>
              <w:bottom w:w="150" w:type="dxa"/>
              <w:right w:w="0" w:type="dxa"/>
            </w:tcMar>
            <w:vAlign w:val="center"/>
            <w:hideMark/>
          </w:tcPr>
          <w:p w14:paraId="62C95079"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Each 5 years ≈ 2.3 points</w:t>
            </w:r>
          </w:p>
        </w:tc>
      </w:tr>
      <w:tr w:rsidR="00FE46D0" w:rsidRPr="00FE46D0" w14:paraId="08453779" w14:textId="77777777" w:rsidTr="00D66D74">
        <w:tc>
          <w:tcPr>
            <w:tcW w:w="0" w:type="auto"/>
            <w:shd w:val="clear" w:color="auto" w:fill="FFFFFF"/>
            <w:tcMar>
              <w:top w:w="150" w:type="dxa"/>
              <w:left w:w="0" w:type="dxa"/>
              <w:bottom w:w="150" w:type="dxa"/>
              <w:right w:w="240" w:type="dxa"/>
            </w:tcMar>
            <w:vAlign w:val="center"/>
            <w:hideMark/>
          </w:tcPr>
          <w:p w14:paraId="7066906A"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NUTRIC Score</w:t>
            </w:r>
          </w:p>
        </w:tc>
        <w:tc>
          <w:tcPr>
            <w:tcW w:w="0" w:type="auto"/>
            <w:shd w:val="clear" w:color="auto" w:fill="FFFFFF"/>
            <w:tcMar>
              <w:top w:w="150" w:type="dxa"/>
              <w:left w:w="240" w:type="dxa"/>
              <w:bottom w:w="150" w:type="dxa"/>
              <w:right w:w="240" w:type="dxa"/>
            </w:tcMar>
            <w:vAlign w:val="center"/>
            <w:hideMark/>
          </w:tcPr>
          <w:p w14:paraId="29BF2886"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6</w:t>
            </w:r>
          </w:p>
        </w:tc>
        <w:tc>
          <w:tcPr>
            <w:tcW w:w="0" w:type="auto"/>
            <w:shd w:val="clear" w:color="auto" w:fill="FFFFFF"/>
            <w:tcMar>
              <w:top w:w="150" w:type="dxa"/>
              <w:left w:w="240" w:type="dxa"/>
              <w:bottom w:w="150" w:type="dxa"/>
              <w:right w:w="240" w:type="dxa"/>
            </w:tcMar>
            <w:vAlign w:val="center"/>
            <w:hideMark/>
          </w:tcPr>
          <w:p w14:paraId="25825374"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15</w:t>
            </w:r>
          </w:p>
        </w:tc>
        <w:tc>
          <w:tcPr>
            <w:tcW w:w="0" w:type="auto"/>
            <w:shd w:val="clear" w:color="auto" w:fill="FFFFFF"/>
            <w:tcMar>
              <w:top w:w="150" w:type="dxa"/>
              <w:left w:w="240" w:type="dxa"/>
              <w:bottom w:w="150" w:type="dxa"/>
              <w:right w:w="0" w:type="dxa"/>
            </w:tcMar>
            <w:vAlign w:val="center"/>
            <w:hideMark/>
          </w:tcPr>
          <w:p w14:paraId="13C85A84"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Each 1 point ≈ 2.5 points</w:t>
            </w:r>
          </w:p>
        </w:tc>
      </w:tr>
      <w:tr w:rsidR="00FE46D0" w:rsidRPr="00FE46D0" w14:paraId="070ED14F" w14:textId="77777777" w:rsidTr="00D66D74">
        <w:tc>
          <w:tcPr>
            <w:tcW w:w="0" w:type="auto"/>
            <w:shd w:val="clear" w:color="auto" w:fill="FFFFFF"/>
            <w:tcMar>
              <w:top w:w="150" w:type="dxa"/>
              <w:left w:w="0" w:type="dxa"/>
              <w:bottom w:w="150" w:type="dxa"/>
              <w:right w:w="240" w:type="dxa"/>
            </w:tcMar>
            <w:vAlign w:val="center"/>
            <w:hideMark/>
          </w:tcPr>
          <w:p w14:paraId="626DD54D"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Platelet Count (×10⁹/L)</w:t>
            </w:r>
          </w:p>
        </w:tc>
        <w:tc>
          <w:tcPr>
            <w:tcW w:w="0" w:type="auto"/>
            <w:shd w:val="clear" w:color="auto" w:fill="FFFFFF"/>
            <w:tcMar>
              <w:top w:w="150" w:type="dxa"/>
              <w:left w:w="240" w:type="dxa"/>
              <w:bottom w:w="150" w:type="dxa"/>
              <w:right w:w="240" w:type="dxa"/>
            </w:tcMar>
            <w:vAlign w:val="center"/>
            <w:hideMark/>
          </w:tcPr>
          <w:p w14:paraId="2A9CDB97"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150</w:t>
            </w:r>
          </w:p>
        </w:tc>
        <w:tc>
          <w:tcPr>
            <w:tcW w:w="0" w:type="auto"/>
            <w:shd w:val="clear" w:color="auto" w:fill="FFFFFF"/>
            <w:tcMar>
              <w:top w:w="150" w:type="dxa"/>
              <w:left w:w="240" w:type="dxa"/>
              <w:bottom w:w="150" w:type="dxa"/>
              <w:right w:w="240" w:type="dxa"/>
            </w:tcMar>
            <w:vAlign w:val="center"/>
            <w:hideMark/>
          </w:tcPr>
          <w:p w14:paraId="5EA109EB"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62.5</w:t>
            </w:r>
          </w:p>
        </w:tc>
        <w:tc>
          <w:tcPr>
            <w:tcW w:w="0" w:type="auto"/>
            <w:shd w:val="clear" w:color="auto" w:fill="FFFFFF"/>
            <w:tcMar>
              <w:top w:w="150" w:type="dxa"/>
              <w:left w:w="240" w:type="dxa"/>
              <w:bottom w:w="150" w:type="dxa"/>
              <w:right w:w="0" w:type="dxa"/>
            </w:tcMar>
            <w:vAlign w:val="center"/>
            <w:hideMark/>
          </w:tcPr>
          <w:p w14:paraId="630662F2"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Each 10 unit decrease ≈ 1.5 points</w:t>
            </w:r>
          </w:p>
        </w:tc>
      </w:tr>
      <w:tr w:rsidR="00FE46D0" w:rsidRPr="00FE46D0" w14:paraId="0B55CDA7" w14:textId="77777777" w:rsidTr="00D66D74">
        <w:tc>
          <w:tcPr>
            <w:tcW w:w="0" w:type="auto"/>
            <w:shd w:val="clear" w:color="auto" w:fill="FFFFFF"/>
            <w:tcMar>
              <w:top w:w="150" w:type="dxa"/>
              <w:left w:w="0" w:type="dxa"/>
              <w:bottom w:w="150" w:type="dxa"/>
              <w:right w:w="240" w:type="dxa"/>
            </w:tcMar>
            <w:vAlign w:val="center"/>
            <w:hideMark/>
          </w:tcPr>
          <w:p w14:paraId="5E806CAF"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Blood Glucose (mmol/L)</w:t>
            </w:r>
          </w:p>
        </w:tc>
        <w:tc>
          <w:tcPr>
            <w:tcW w:w="0" w:type="auto"/>
            <w:shd w:val="clear" w:color="auto" w:fill="FFFFFF"/>
            <w:tcMar>
              <w:top w:w="150" w:type="dxa"/>
              <w:left w:w="240" w:type="dxa"/>
              <w:bottom w:w="150" w:type="dxa"/>
              <w:right w:w="240" w:type="dxa"/>
            </w:tcMar>
            <w:vAlign w:val="center"/>
            <w:hideMark/>
          </w:tcPr>
          <w:p w14:paraId="7FD65D1F"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8</w:t>
            </w:r>
          </w:p>
        </w:tc>
        <w:tc>
          <w:tcPr>
            <w:tcW w:w="0" w:type="auto"/>
            <w:shd w:val="clear" w:color="auto" w:fill="FFFFFF"/>
            <w:tcMar>
              <w:top w:w="150" w:type="dxa"/>
              <w:left w:w="240" w:type="dxa"/>
              <w:bottom w:w="150" w:type="dxa"/>
              <w:right w:w="240" w:type="dxa"/>
            </w:tcMar>
            <w:vAlign w:val="center"/>
            <w:hideMark/>
          </w:tcPr>
          <w:p w14:paraId="5DBF6F83"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17.5</w:t>
            </w:r>
          </w:p>
        </w:tc>
        <w:tc>
          <w:tcPr>
            <w:tcW w:w="0" w:type="auto"/>
            <w:shd w:val="clear" w:color="auto" w:fill="FFFFFF"/>
            <w:tcMar>
              <w:top w:w="150" w:type="dxa"/>
              <w:left w:w="240" w:type="dxa"/>
              <w:bottom w:w="150" w:type="dxa"/>
              <w:right w:w="0" w:type="dxa"/>
            </w:tcMar>
            <w:vAlign w:val="center"/>
            <w:hideMark/>
          </w:tcPr>
          <w:p w14:paraId="1425DB2B"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Each 1 mmol/L ≈ 4.4 points</w:t>
            </w:r>
          </w:p>
        </w:tc>
      </w:tr>
      <w:tr w:rsidR="00FE46D0" w:rsidRPr="00FE46D0" w14:paraId="5AB7FF07" w14:textId="77777777" w:rsidTr="00D66D74">
        <w:tc>
          <w:tcPr>
            <w:tcW w:w="0" w:type="auto"/>
            <w:shd w:val="clear" w:color="auto" w:fill="FFFFFF"/>
            <w:tcMar>
              <w:top w:w="150" w:type="dxa"/>
              <w:left w:w="0" w:type="dxa"/>
              <w:bottom w:w="150" w:type="dxa"/>
              <w:right w:w="240" w:type="dxa"/>
            </w:tcMar>
            <w:vAlign w:val="center"/>
            <w:hideMark/>
          </w:tcPr>
          <w:p w14:paraId="75BF28A7"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LZD Duration (days)</w:t>
            </w:r>
          </w:p>
        </w:tc>
        <w:tc>
          <w:tcPr>
            <w:tcW w:w="0" w:type="auto"/>
            <w:shd w:val="clear" w:color="auto" w:fill="FFFFFF"/>
            <w:tcMar>
              <w:top w:w="150" w:type="dxa"/>
              <w:left w:w="240" w:type="dxa"/>
              <w:bottom w:w="150" w:type="dxa"/>
              <w:right w:w="240" w:type="dxa"/>
            </w:tcMar>
            <w:vAlign w:val="center"/>
            <w:hideMark/>
          </w:tcPr>
          <w:p w14:paraId="41877638"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10</w:t>
            </w:r>
          </w:p>
        </w:tc>
        <w:tc>
          <w:tcPr>
            <w:tcW w:w="0" w:type="auto"/>
            <w:shd w:val="clear" w:color="auto" w:fill="FFFFFF"/>
            <w:tcMar>
              <w:top w:w="150" w:type="dxa"/>
              <w:left w:w="240" w:type="dxa"/>
              <w:bottom w:w="150" w:type="dxa"/>
              <w:right w:w="240" w:type="dxa"/>
            </w:tcMar>
            <w:vAlign w:val="center"/>
            <w:hideMark/>
          </w:tcPr>
          <w:p w14:paraId="04CF1D63"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32.5</w:t>
            </w:r>
          </w:p>
        </w:tc>
        <w:tc>
          <w:tcPr>
            <w:tcW w:w="0" w:type="auto"/>
            <w:shd w:val="clear" w:color="auto" w:fill="FFFFFF"/>
            <w:tcMar>
              <w:top w:w="150" w:type="dxa"/>
              <w:left w:w="240" w:type="dxa"/>
              <w:bottom w:w="150" w:type="dxa"/>
              <w:right w:w="0" w:type="dxa"/>
            </w:tcMar>
            <w:vAlign w:val="center"/>
            <w:hideMark/>
          </w:tcPr>
          <w:p w14:paraId="18A706AE"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Each 1 day ≈ 3.25 points</w:t>
            </w:r>
          </w:p>
        </w:tc>
      </w:tr>
      <w:tr w:rsidR="00FE46D0" w:rsidRPr="00FE46D0" w14:paraId="781ACD07" w14:textId="77777777" w:rsidTr="00D66D74">
        <w:tc>
          <w:tcPr>
            <w:tcW w:w="0" w:type="auto"/>
            <w:shd w:val="clear" w:color="auto" w:fill="FFFFFF"/>
            <w:tcMar>
              <w:top w:w="150" w:type="dxa"/>
              <w:left w:w="0" w:type="dxa"/>
              <w:bottom w:w="150" w:type="dxa"/>
              <w:right w:w="240" w:type="dxa"/>
            </w:tcMar>
            <w:vAlign w:val="center"/>
            <w:hideMark/>
          </w:tcPr>
          <w:p w14:paraId="5FBF83C3"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b/>
                <w:bCs/>
                <w:sz w:val="21"/>
                <w:szCs w:val="21"/>
              </w:rPr>
              <w:t>TOTAL POINTS</w:t>
            </w:r>
          </w:p>
        </w:tc>
        <w:tc>
          <w:tcPr>
            <w:tcW w:w="0" w:type="auto"/>
            <w:shd w:val="clear" w:color="auto" w:fill="FFFFFF"/>
            <w:tcMar>
              <w:top w:w="150" w:type="dxa"/>
              <w:left w:w="240" w:type="dxa"/>
              <w:bottom w:w="150" w:type="dxa"/>
              <w:right w:w="240" w:type="dxa"/>
            </w:tcMar>
            <w:vAlign w:val="center"/>
            <w:hideMark/>
          </w:tcPr>
          <w:p w14:paraId="512EAFF9" w14:textId="77777777" w:rsidR="004E1F71" w:rsidRPr="00FE46D0" w:rsidRDefault="004E1F71" w:rsidP="00D66D74">
            <w:pPr>
              <w:spacing w:after="0" w:line="200" w:lineRule="exact"/>
              <w:rPr>
                <w:rFonts w:ascii="Times New Roman" w:hAnsi="Times New Roman" w:cs="Times New Roman"/>
                <w:sz w:val="21"/>
                <w:szCs w:val="21"/>
              </w:rPr>
            </w:pPr>
          </w:p>
        </w:tc>
        <w:tc>
          <w:tcPr>
            <w:tcW w:w="0" w:type="auto"/>
            <w:shd w:val="clear" w:color="auto" w:fill="FFFFFF"/>
            <w:tcMar>
              <w:top w:w="150" w:type="dxa"/>
              <w:left w:w="240" w:type="dxa"/>
              <w:bottom w:w="150" w:type="dxa"/>
              <w:right w:w="240" w:type="dxa"/>
            </w:tcMar>
            <w:vAlign w:val="center"/>
            <w:hideMark/>
          </w:tcPr>
          <w:p w14:paraId="0721BF06"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b/>
                <w:bCs/>
                <w:sz w:val="21"/>
                <w:szCs w:val="21"/>
              </w:rPr>
              <w:t>150.5</w:t>
            </w:r>
          </w:p>
        </w:tc>
        <w:tc>
          <w:tcPr>
            <w:tcW w:w="0" w:type="auto"/>
            <w:shd w:val="clear" w:color="auto" w:fill="FFFFFF"/>
            <w:tcMar>
              <w:top w:w="150" w:type="dxa"/>
              <w:left w:w="240" w:type="dxa"/>
              <w:bottom w:w="150" w:type="dxa"/>
              <w:right w:w="0" w:type="dxa"/>
            </w:tcMar>
            <w:vAlign w:val="center"/>
            <w:hideMark/>
          </w:tcPr>
          <w:p w14:paraId="34A9FB4F" w14:textId="77777777" w:rsidR="004E1F71" w:rsidRPr="00FE46D0" w:rsidRDefault="004E1F71" w:rsidP="00D66D74">
            <w:pPr>
              <w:spacing w:after="0" w:line="200" w:lineRule="exact"/>
              <w:rPr>
                <w:rFonts w:ascii="Times New Roman" w:hAnsi="Times New Roman" w:cs="Times New Roman"/>
                <w:sz w:val="21"/>
                <w:szCs w:val="21"/>
              </w:rPr>
            </w:pPr>
          </w:p>
        </w:tc>
      </w:tr>
      <w:tr w:rsidR="00FE46D0" w:rsidRPr="00FE46D0" w14:paraId="6CD40212" w14:textId="77777777" w:rsidTr="00D66D74">
        <w:tc>
          <w:tcPr>
            <w:tcW w:w="0" w:type="auto"/>
            <w:shd w:val="clear" w:color="auto" w:fill="FFFFFF"/>
            <w:tcMar>
              <w:top w:w="150" w:type="dxa"/>
              <w:left w:w="0" w:type="dxa"/>
              <w:bottom w:w="150" w:type="dxa"/>
              <w:right w:w="240" w:type="dxa"/>
            </w:tcMar>
            <w:vAlign w:val="center"/>
            <w:hideMark/>
          </w:tcPr>
          <w:p w14:paraId="373882C0"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b/>
                <w:bCs/>
                <w:sz w:val="21"/>
                <w:szCs w:val="21"/>
              </w:rPr>
              <w:t>Predicted Risk</w:t>
            </w:r>
          </w:p>
        </w:tc>
        <w:tc>
          <w:tcPr>
            <w:tcW w:w="0" w:type="auto"/>
            <w:shd w:val="clear" w:color="auto" w:fill="FFFFFF"/>
            <w:tcMar>
              <w:top w:w="150" w:type="dxa"/>
              <w:left w:w="240" w:type="dxa"/>
              <w:bottom w:w="150" w:type="dxa"/>
              <w:right w:w="240" w:type="dxa"/>
            </w:tcMar>
            <w:vAlign w:val="center"/>
            <w:hideMark/>
          </w:tcPr>
          <w:p w14:paraId="0DFCC74F" w14:textId="77777777" w:rsidR="004E1F71" w:rsidRPr="00FE46D0" w:rsidRDefault="004E1F71" w:rsidP="00D66D74">
            <w:pPr>
              <w:spacing w:after="0" w:line="200" w:lineRule="exact"/>
              <w:rPr>
                <w:rFonts w:ascii="Times New Roman" w:hAnsi="Times New Roman" w:cs="Times New Roman"/>
                <w:sz w:val="21"/>
                <w:szCs w:val="21"/>
              </w:rPr>
            </w:pPr>
          </w:p>
        </w:tc>
        <w:tc>
          <w:tcPr>
            <w:tcW w:w="0" w:type="auto"/>
            <w:shd w:val="clear" w:color="auto" w:fill="FFFFFF"/>
            <w:tcMar>
              <w:top w:w="150" w:type="dxa"/>
              <w:left w:w="240" w:type="dxa"/>
              <w:bottom w:w="150" w:type="dxa"/>
              <w:right w:w="240" w:type="dxa"/>
            </w:tcMar>
            <w:vAlign w:val="center"/>
            <w:hideMark/>
          </w:tcPr>
          <w:p w14:paraId="3576E715"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b/>
                <w:bCs/>
                <w:sz w:val="21"/>
                <w:szCs w:val="21"/>
              </w:rPr>
              <w:t>~20%</w:t>
            </w:r>
          </w:p>
        </w:tc>
        <w:tc>
          <w:tcPr>
            <w:tcW w:w="0" w:type="auto"/>
            <w:shd w:val="clear" w:color="auto" w:fill="FFFFFF"/>
            <w:tcMar>
              <w:top w:w="150" w:type="dxa"/>
              <w:left w:w="240" w:type="dxa"/>
              <w:bottom w:w="150" w:type="dxa"/>
              <w:right w:w="0" w:type="dxa"/>
            </w:tcMar>
            <w:vAlign w:val="center"/>
            <w:hideMark/>
          </w:tcPr>
          <w:p w14:paraId="2D8BF21D" w14:textId="77777777" w:rsidR="004E1F71" w:rsidRPr="00FE46D0" w:rsidRDefault="004E1F71" w:rsidP="00D66D74">
            <w:pPr>
              <w:spacing w:after="0" w:line="200" w:lineRule="exact"/>
              <w:rPr>
                <w:rFonts w:ascii="Times New Roman" w:hAnsi="Times New Roman" w:cs="Times New Roman"/>
                <w:sz w:val="21"/>
                <w:szCs w:val="21"/>
              </w:rPr>
            </w:pPr>
            <w:r w:rsidRPr="00FE46D0">
              <w:rPr>
                <w:rFonts w:ascii="Times New Roman" w:hAnsi="Times New Roman" w:cs="Times New Roman"/>
                <w:sz w:val="21"/>
                <w:szCs w:val="21"/>
              </w:rPr>
              <w:t>From risk axis in Figure 4</w:t>
            </w:r>
          </w:p>
        </w:tc>
      </w:tr>
    </w:tbl>
    <w:p w14:paraId="530598A6" w14:textId="5F529473" w:rsidR="004E1F71" w:rsidRPr="00FE46D0" w:rsidRDefault="007B51DC" w:rsidP="002265FB">
      <w:pPr>
        <w:spacing w:before="240" w:line="360" w:lineRule="auto"/>
        <w:jc w:val="both"/>
        <w:rPr>
          <w:rFonts w:ascii="Microsoft YaHei" w:eastAsia="Microsoft YaHei" w:hAnsi="Microsoft YaHei"/>
          <w:sz w:val="18"/>
          <w:szCs w:val="18"/>
        </w:rPr>
      </w:pPr>
      <w:r w:rsidRPr="00FE46D0">
        <w:rPr>
          <w:rFonts w:ascii="Microsoft YaHei" w:eastAsia="Microsoft YaHei" w:hAnsi="Microsoft YaHei" w:hint="eastAsia"/>
          <w:sz w:val="18"/>
          <w:szCs w:val="18"/>
        </w:rPr>
        <w:t>This discrepancy arises from the scaling/linear transformation applied during nomogram construction. In our nomogram, each predictor's contribution (β coefficient) was linearly transformed to a 0-100 point scale for visual simplicity. However, the example calculation we provided was based directly on the original logistic regression equation (without this scaling), leading to the observed mismatch.</w:t>
      </w:r>
    </w:p>
    <w:p w14:paraId="5835E2C5" w14:textId="77777777" w:rsidR="00804419" w:rsidRPr="00FE46D0" w:rsidRDefault="00804419" w:rsidP="00804419">
      <w:pPr>
        <w:spacing w:after="0" w:line="360" w:lineRule="auto"/>
        <w:jc w:val="both"/>
        <w:rPr>
          <w:rFonts w:ascii="Microsoft YaHei" w:eastAsia="Microsoft YaHei" w:hAnsi="Microsoft YaHei"/>
          <w:b/>
          <w:bCs/>
          <w:sz w:val="18"/>
          <w:szCs w:val="18"/>
        </w:rPr>
      </w:pPr>
      <w:r w:rsidRPr="00FE46D0">
        <w:rPr>
          <w:rFonts w:ascii="Microsoft YaHei" w:eastAsia="Microsoft YaHei" w:hAnsi="Microsoft YaHei"/>
          <w:b/>
          <w:bCs/>
          <w:sz w:val="18"/>
          <w:szCs w:val="18"/>
        </w:rPr>
        <w:t>5. Important Considerations and Limitations</w:t>
      </w:r>
    </w:p>
    <w:p w14:paraId="26497A9B" w14:textId="77777777" w:rsidR="00804419" w:rsidRPr="00FE46D0" w:rsidRDefault="00804419" w:rsidP="00804419">
      <w:pPr>
        <w:numPr>
          <w:ilvl w:val="0"/>
          <w:numId w:val="3"/>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Intended Use:</w:t>
      </w:r>
      <w:r w:rsidRPr="00FE46D0">
        <w:rPr>
          <w:rFonts w:ascii="Microsoft YaHei" w:eastAsia="Microsoft YaHei" w:hAnsi="Microsoft YaHei"/>
          <w:sz w:val="18"/>
          <w:szCs w:val="18"/>
        </w:rPr>
        <w:t> This tool is designed to support, not replace, clinical judgment for </w:t>
      </w:r>
      <w:r w:rsidRPr="00FE46D0">
        <w:rPr>
          <w:rFonts w:ascii="Microsoft YaHei" w:eastAsia="Microsoft YaHei" w:hAnsi="Microsoft YaHei"/>
          <w:b/>
          <w:bCs/>
          <w:sz w:val="18"/>
          <w:szCs w:val="18"/>
        </w:rPr>
        <w:t>ICU patients initiating LZD therapy</w:t>
      </w:r>
      <w:r w:rsidRPr="00FE46D0">
        <w:rPr>
          <w:rFonts w:ascii="Microsoft YaHei" w:eastAsia="Microsoft YaHei" w:hAnsi="Microsoft YaHei"/>
          <w:sz w:val="18"/>
          <w:szCs w:val="18"/>
        </w:rPr>
        <w:t>.</w:t>
      </w:r>
    </w:p>
    <w:p w14:paraId="6BF15A62" w14:textId="77777777" w:rsidR="00804419" w:rsidRPr="00FE46D0" w:rsidRDefault="00804419" w:rsidP="00804419">
      <w:pPr>
        <w:numPr>
          <w:ilvl w:val="0"/>
          <w:numId w:val="3"/>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Exclusions:</w:t>
      </w:r>
      <w:r w:rsidRPr="00FE46D0">
        <w:rPr>
          <w:rFonts w:ascii="Microsoft YaHei" w:eastAsia="Microsoft YaHei" w:hAnsi="Microsoft YaHei"/>
          <w:sz w:val="18"/>
          <w:szCs w:val="18"/>
        </w:rPr>
        <w:t> The model was developed in patients </w:t>
      </w:r>
      <w:r w:rsidRPr="00FE46D0">
        <w:rPr>
          <w:rFonts w:ascii="Microsoft YaHei" w:eastAsia="Microsoft YaHei" w:hAnsi="Microsoft YaHei"/>
          <w:b/>
          <w:bCs/>
          <w:sz w:val="18"/>
          <w:szCs w:val="18"/>
        </w:rPr>
        <w:t>without</w:t>
      </w:r>
      <w:r w:rsidRPr="00FE46D0">
        <w:rPr>
          <w:rFonts w:ascii="Microsoft YaHei" w:eastAsia="Microsoft YaHei" w:hAnsi="Microsoft YaHei"/>
          <w:sz w:val="18"/>
          <w:szCs w:val="18"/>
        </w:rPr>
        <w:t> severe liver failure, heart failure (NYHA≥3), or requiring renal replacement therapy. Its accuracy in these excluded populations is unknown.</w:t>
      </w:r>
    </w:p>
    <w:p w14:paraId="252545C8" w14:textId="77777777" w:rsidR="00804419" w:rsidRPr="00FE46D0" w:rsidRDefault="00804419" w:rsidP="00804419">
      <w:pPr>
        <w:numPr>
          <w:ilvl w:val="0"/>
          <w:numId w:val="3"/>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Dynamic Assessment:</w:t>
      </w:r>
      <w:r w:rsidRPr="00FE46D0">
        <w:rPr>
          <w:rFonts w:ascii="Microsoft YaHei" w:eastAsia="Microsoft YaHei" w:hAnsi="Microsoft YaHei"/>
          <w:sz w:val="18"/>
          <w:szCs w:val="18"/>
        </w:rPr>
        <w:t> A patient's risk may change over time (e.g., with changing glucose levels or platelet counts). Reassessment during therapy may be useful.</w:t>
      </w:r>
    </w:p>
    <w:p w14:paraId="21F2DDF4" w14:textId="77777777" w:rsidR="00804419" w:rsidRPr="00FE46D0" w:rsidRDefault="00804419" w:rsidP="00804419">
      <w:pPr>
        <w:numPr>
          <w:ilvl w:val="0"/>
          <w:numId w:val="3"/>
        </w:num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Combined Decision-Making:</w:t>
      </w:r>
      <w:r w:rsidRPr="00FE46D0">
        <w:rPr>
          <w:rFonts w:ascii="Microsoft YaHei" w:eastAsia="Microsoft YaHei" w:hAnsi="Microsoft YaHei"/>
          <w:sz w:val="18"/>
          <w:szCs w:val="18"/>
        </w:rPr>
        <w:t> The predicted probability should be integrated with other clinical information, including infection severity, microbiological data, and organ function, to guide management.</w:t>
      </w:r>
    </w:p>
    <w:p w14:paraId="3D1D16D3" w14:textId="672A064D" w:rsidR="0013594C" w:rsidRPr="00FE46D0" w:rsidRDefault="00804419" w:rsidP="00D24DDA">
      <w:pPr>
        <w:spacing w:after="0" w:line="360" w:lineRule="auto"/>
        <w:jc w:val="both"/>
        <w:rPr>
          <w:rFonts w:ascii="Microsoft YaHei" w:eastAsia="Microsoft YaHei" w:hAnsi="Microsoft YaHei"/>
          <w:sz w:val="18"/>
          <w:szCs w:val="18"/>
        </w:rPr>
      </w:pPr>
      <w:r w:rsidRPr="00FE46D0">
        <w:rPr>
          <w:rFonts w:ascii="Microsoft YaHei" w:eastAsia="Microsoft YaHei" w:hAnsi="Microsoft YaHei"/>
          <w:b/>
          <w:bCs/>
          <w:sz w:val="18"/>
          <w:szCs w:val="18"/>
        </w:rPr>
        <w:t>Additional Contact:</w:t>
      </w:r>
      <w:r w:rsidRPr="00FE46D0">
        <w:rPr>
          <w:rFonts w:ascii="Microsoft YaHei" w:eastAsia="Microsoft YaHei" w:hAnsi="Microsoft YaHei"/>
          <w:sz w:val="18"/>
          <w:szCs w:val="18"/>
        </w:rPr>
        <w:t> For questions regarding this guide, please contact the corresponding authors.</w:t>
      </w:r>
    </w:p>
    <w:sectPr w:rsidR="0013594C" w:rsidRPr="00FE46D0" w:rsidSect="00FE46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7275AD" w14:textId="77777777" w:rsidR="0037064D" w:rsidRDefault="0037064D" w:rsidP="000E43CD">
      <w:pPr>
        <w:spacing w:after="0" w:line="240" w:lineRule="auto"/>
      </w:pPr>
      <w:r>
        <w:separator/>
      </w:r>
    </w:p>
  </w:endnote>
  <w:endnote w:type="continuationSeparator" w:id="0">
    <w:p w14:paraId="1F97C8D3" w14:textId="77777777" w:rsidR="0037064D" w:rsidRDefault="0037064D" w:rsidP="000E4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5FDE94" w14:textId="77777777" w:rsidR="0037064D" w:rsidRDefault="0037064D" w:rsidP="000E43CD">
      <w:pPr>
        <w:spacing w:after="0" w:line="240" w:lineRule="auto"/>
      </w:pPr>
      <w:r>
        <w:separator/>
      </w:r>
    </w:p>
  </w:footnote>
  <w:footnote w:type="continuationSeparator" w:id="0">
    <w:p w14:paraId="1DD83726" w14:textId="77777777" w:rsidR="0037064D" w:rsidRDefault="0037064D" w:rsidP="000E43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766203"/>
    <w:multiLevelType w:val="multilevel"/>
    <w:tmpl w:val="B55A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7D59DF"/>
    <w:multiLevelType w:val="multilevel"/>
    <w:tmpl w:val="1CAA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A83084"/>
    <w:multiLevelType w:val="multilevel"/>
    <w:tmpl w:val="E3445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0FF"/>
    <w:rsid w:val="000170FF"/>
    <w:rsid w:val="000E43CD"/>
    <w:rsid w:val="0013594C"/>
    <w:rsid w:val="00194B07"/>
    <w:rsid w:val="001C3445"/>
    <w:rsid w:val="002265FB"/>
    <w:rsid w:val="0037064D"/>
    <w:rsid w:val="00402258"/>
    <w:rsid w:val="004E1F71"/>
    <w:rsid w:val="00595D7E"/>
    <w:rsid w:val="006558C6"/>
    <w:rsid w:val="006A023D"/>
    <w:rsid w:val="007B51DC"/>
    <w:rsid w:val="007C0CF9"/>
    <w:rsid w:val="00804419"/>
    <w:rsid w:val="00984D1A"/>
    <w:rsid w:val="00B41C7E"/>
    <w:rsid w:val="00CB0571"/>
    <w:rsid w:val="00D24DDA"/>
    <w:rsid w:val="00D734D0"/>
    <w:rsid w:val="00DB2D2A"/>
    <w:rsid w:val="00DF249F"/>
    <w:rsid w:val="00E53D19"/>
    <w:rsid w:val="00ED3193"/>
    <w:rsid w:val="00FE4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B444E"/>
  <w15:chartTrackingRefBased/>
  <w15:docId w15:val="{CDB0180D-54EE-463F-B6C9-FF9B703FB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0170F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0170F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0170F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unhideWhenUsed/>
    <w:qFormat/>
    <w:rsid w:val="000170F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0170FF"/>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0170FF"/>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0170FF"/>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0170FF"/>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0170FF"/>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0FF"/>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0170FF"/>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0170FF"/>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rsid w:val="000170FF"/>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0170FF"/>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0170FF"/>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0170FF"/>
    <w:rPr>
      <w:rFonts w:cstheme="majorBidi"/>
      <w:b/>
      <w:bCs/>
      <w:color w:val="595959" w:themeColor="text1" w:themeTint="A6"/>
    </w:rPr>
  </w:style>
  <w:style w:type="character" w:customStyle="1" w:styleId="Heading8Char">
    <w:name w:val="Heading 8 Char"/>
    <w:basedOn w:val="DefaultParagraphFont"/>
    <w:link w:val="Heading8"/>
    <w:uiPriority w:val="9"/>
    <w:semiHidden/>
    <w:rsid w:val="000170FF"/>
    <w:rPr>
      <w:rFonts w:cstheme="majorBidi"/>
      <w:color w:val="595959" w:themeColor="text1" w:themeTint="A6"/>
    </w:rPr>
  </w:style>
  <w:style w:type="character" w:customStyle="1" w:styleId="Heading9Char">
    <w:name w:val="Heading 9 Char"/>
    <w:basedOn w:val="DefaultParagraphFont"/>
    <w:link w:val="Heading9"/>
    <w:uiPriority w:val="9"/>
    <w:semiHidden/>
    <w:rsid w:val="000170FF"/>
    <w:rPr>
      <w:rFonts w:eastAsiaTheme="majorEastAsia" w:cstheme="majorBidi"/>
      <w:color w:val="595959" w:themeColor="text1" w:themeTint="A6"/>
    </w:rPr>
  </w:style>
  <w:style w:type="paragraph" w:styleId="Title">
    <w:name w:val="Title"/>
    <w:basedOn w:val="Normal"/>
    <w:next w:val="Normal"/>
    <w:link w:val="TitleChar"/>
    <w:uiPriority w:val="10"/>
    <w:qFormat/>
    <w:rsid w:val="000170F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0F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0F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170FF"/>
    <w:pPr>
      <w:spacing w:before="160"/>
      <w:jc w:val="center"/>
    </w:pPr>
    <w:rPr>
      <w:i/>
      <w:iCs/>
      <w:color w:val="404040" w:themeColor="text1" w:themeTint="BF"/>
    </w:rPr>
  </w:style>
  <w:style w:type="character" w:customStyle="1" w:styleId="QuoteChar">
    <w:name w:val="Quote Char"/>
    <w:basedOn w:val="DefaultParagraphFont"/>
    <w:link w:val="Quote"/>
    <w:uiPriority w:val="29"/>
    <w:rsid w:val="000170FF"/>
    <w:rPr>
      <w:i/>
      <w:iCs/>
      <w:color w:val="404040" w:themeColor="text1" w:themeTint="BF"/>
    </w:rPr>
  </w:style>
  <w:style w:type="paragraph" w:styleId="ListParagraph">
    <w:name w:val="List Paragraph"/>
    <w:basedOn w:val="Normal"/>
    <w:uiPriority w:val="34"/>
    <w:qFormat/>
    <w:rsid w:val="000170FF"/>
    <w:pPr>
      <w:ind w:left="720"/>
      <w:contextualSpacing/>
    </w:pPr>
  </w:style>
  <w:style w:type="character" w:styleId="IntenseEmphasis">
    <w:name w:val="Intense Emphasis"/>
    <w:basedOn w:val="DefaultParagraphFont"/>
    <w:uiPriority w:val="21"/>
    <w:qFormat/>
    <w:rsid w:val="000170FF"/>
    <w:rPr>
      <w:i/>
      <w:iCs/>
      <w:color w:val="0F4761" w:themeColor="accent1" w:themeShade="BF"/>
    </w:rPr>
  </w:style>
  <w:style w:type="paragraph" w:styleId="IntenseQuote">
    <w:name w:val="Intense Quote"/>
    <w:basedOn w:val="Normal"/>
    <w:next w:val="Normal"/>
    <w:link w:val="IntenseQuoteChar"/>
    <w:uiPriority w:val="30"/>
    <w:qFormat/>
    <w:rsid w:val="00017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0FF"/>
    <w:rPr>
      <w:i/>
      <w:iCs/>
      <w:color w:val="0F4761" w:themeColor="accent1" w:themeShade="BF"/>
    </w:rPr>
  </w:style>
  <w:style w:type="character" w:styleId="IntenseReference">
    <w:name w:val="Intense Reference"/>
    <w:basedOn w:val="DefaultParagraphFont"/>
    <w:uiPriority w:val="32"/>
    <w:qFormat/>
    <w:rsid w:val="000170FF"/>
    <w:rPr>
      <w:b/>
      <w:bCs/>
      <w:smallCaps/>
      <w:color w:val="0F4761" w:themeColor="accent1" w:themeShade="BF"/>
      <w:spacing w:val="5"/>
    </w:rPr>
  </w:style>
  <w:style w:type="paragraph" w:styleId="Header">
    <w:name w:val="header"/>
    <w:basedOn w:val="Normal"/>
    <w:link w:val="HeaderChar"/>
    <w:uiPriority w:val="99"/>
    <w:unhideWhenUsed/>
    <w:rsid w:val="000E43CD"/>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0E43CD"/>
    <w:rPr>
      <w:sz w:val="18"/>
      <w:szCs w:val="18"/>
    </w:rPr>
  </w:style>
  <w:style w:type="paragraph" w:styleId="Footer">
    <w:name w:val="footer"/>
    <w:basedOn w:val="Normal"/>
    <w:link w:val="FooterChar"/>
    <w:uiPriority w:val="99"/>
    <w:unhideWhenUsed/>
    <w:rsid w:val="000E43CD"/>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0E43CD"/>
    <w:rPr>
      <w:sz w:val="18"/>
      <w:szCs w:val="18"/>
    </w:rPr>
  </w:style>
  <w:style w:type="character" w:styleId="Strong">
    <w:name w:val="Strong"/>
    <w:basedOn w:val="DefaultParagraphFont"/>
    <w:uiPriority w:val="22"/>
    <w:qFormat/>
    <w:rsid w:val="000E43CD"/>
    <w:rPr>
      <w:b/>
      <w:bCs/>
    </w:rPr>
  </w:style>
  <w:style w:type="paragraph" w:customStyle="1" w:styleId="ds-markdown-paragraph">
    <w:name w:val="ds-markdown-paragraph"/>
    <w:basedOn w:val="Normal"/>
    <w:rsid w:val="000E43CD"/>
    <w:pPr>
      <w:widowControl/>
      <w:spacing w:before="100" w:beforeAutospacing="1" w:after="100" w:afterAutospacing="1" w:line="240" w:lineRule="auto"/>
    </w:pPr>
    <w:rPr>
      <w:rFonts w:ascii="SimSun" w:eastAsia="SimSun" w:hAnsi="SimSun" w:cs="SimSun"/>
      <w:kern w:val="0"/>
      <w:sz w:val="24"/>
      <w14:ligatures w14:val="none"/>
    </w:rPr>
  </w:style>
  <w:style w:type="table" w:styleId="TableGrid">
    <w:name w:val="Table Grid"/>
    <w:basedOn w:val="TableNormal"/>
    <w:uiPriority w:val="39"/>
    <w:rsid w:val="00D24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807</Words>
  <Characters>4601</Characters>
  <Application>Microsoft Office Word</Application>
  <DocSecurity>0</DocSecurity>
  <Lines>38</Lines>
  <Paragraphs>10</Paragraphs>
  <ScaleCrop>false</ScaleCrop>
  <Company/>
  <LinksUpToDate>false</LinksUpToDate>
  <CharactersWithSpaces>5398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 yun</dc:creator>
  <cp:keywords/>
  <dc:description/>
  <cp:lastModifiedBy>Revathi   Thangaraj</cp:lastModifiedBy>
  <cp:revision>16</cp:revision>
  <dcterms:created xsi:type="dcterms:W3CDTF">2025-12-08T06:35:00Z</dcterms:created>
  <dcterms:modified xsi:type="dcterms:W3CDTF">2026-03-16T06:42:00Z</dcterms:modified>
</cp:coreProperties>
</file>