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E3815" w14:textId="3876F0B2" w:rsidR="00704644" w:rsidRPr="005E7139" w:rsidRDefault="00CA1C50">
      <w:pPr>
        <w:rPr>
          <w:rFonts w:ascii="Times New Roman" w:hAnsi="Times New Roman" w:cs="Times New Roman"/>
          <w:b/>
          <w:bCs/>
        </w:rPr>
      </w:pPr>
      <w:r w:rsidRPr="005E7139">
        <w:rPr>
          <w:rFonts w:ascii="Times New Roman" w:hAnsi="Times New Roman" w:cs="Times New Roman" w:hint="eastAsia"/>
          <w:b/>
          <w:bCs/>
        </w:rPr>
        <w:t>Supplementary Table</w:t>
      </w:r>
      <w:r w:rsidR="00B3309B">
        <w:rPr>
          <w:rFonts w:ascii="Times New Roman" w:hAnsi="Times New Roman" w:cs="Times New Roman" w:hint="eastAsia"/>
          <w:b/>
          <w:bCs/>
        </w:rPr>
        <w:t xml:space="preserve"> 2</w:t>
      </w:r>
      <w:r w:rsidRPr="005E7139">
        <w:rPr>
          <w:rFonts w:ascii="Times New Roman" w:hAnsi="Times New Roman" w:cs="Times New Roman" w:hint="eastAsia"/>
          <w:b/>
          <w:bCs/>
        </w:rPr>
        <w:t xml:space="preserve">. </w:t>
      </w:r>
      <w:r w:rsidRPr="005E7139">
        <w:rPr>
          <w:rFonts w:ascii="Times New Roman" w:hAnsi="Times New Roman" w:cs="Times New Roman"/>
          <w:b/>
          <w:bCs/>
        </w:rPr>
        <w:t>Comparison of the SVM model with conventional clinical scores for predicting RRT initiation</w:t>
      </w:r>
    </w:p>
    <w:tbl>
      <w:tblPr>
        <w:tblW w:w="8475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1"/>
        <w:gridCol w:w="918"/>
        <w:gridCol w:w="1166"/>
        <w:gridCol w:w="1564"/>
        <w:gridCol w:w="1358"/>
        <w:gridCol w:w="1008"/>
      </w:tblGrid>
      <w:tr w:rsidR="00CA1C50" w:rsidRPr="00CA1C50" w14:paraId="21217FC1" w14:textId="77777777" w:rsidTr="00CA1C50">
        <w:trPr>
          <w:trHeight w:val="56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B2BA68" w14:textId="77777777" w:rsidR="00CA1C50" w:rsidRPr="00CA1C50" w:rsidRDefault="00CA1C50" w:rsidP="00CA1C50">
            <w:pPr>
              <w:rPr>
                <w:rFonts w:ascii="Times New Roman" w:hAnsi="Times New Roman" w:cs="Times New Roman"/>
                <w:b/>
                <w:bCs/>
              </w:rPr>
            </w:pPr>
            <w:r w:rsidRPr="00CA1C50">
              <w:rPr>
                <w:rFonts w:ascii="Times New Roman" w:hAnsi="Times New Roman" w:cs="Times New Roman"/>
                <w:b/>
                <w:bCs/>
              </w:rPr>
              <w:t>Cohort</w:t>
            </w:r>
          </w:p>
        </w:tc>
        <w:tc>
          <w:tcPr>
            <w:tcW w:w="0" w:type="auto"/>
            <w:vAlign w:val="center"/>
            <w:hideMark/>
          </w:tcPr>
          <w:p w14:paraId="57A5C95A" w14:textId="77777777" w:rsidR="00CA1C50" w:rsidRPr="00CA1C50" w:rsidRDefault="00CA1C50" w:rsidP="00CA1C50">
            <w:pPr>
              <w:rPr>
                <w:rFonts w:ascii="Times New Roman" w:hAnsi="Times New Roman" w:cs="Times New Roman"/>
                <w:b/>
                <w:bCs/>
              </w:rPr>
            </w:pPr>
            <w:r w:rsidRPr="00CA1C50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0E2A5A8E" w14:textId="77777777" w:rsidR="00CA1C50" w:rsidRPr="00CA1C50" w:rsidRDefault="00CA1C50" w:rsidP="00CA1C50">
            <w:pPr>
              <w:rPr>
                <w:rFonts w:ascii="Times New Roman" w:hAnsi="Times New Roman" w:cs="Times New Roman"/>
                <w:b/>
                <w:bCs/>
              </w:rPr>
            </w:pPr>
            <w:r w:rsidRPr="00CA1C50">
              <w:rPr>
                <w:rFonts w:ascii="Times New Roman" w:hAnsi="Times New Roman" w:cs="Times New Roman"/>
                <w:b/>
                <w:bCs/>
              </w:rPr>
              <w:t>AUROC</w:t>
            </w:r>
          </w:p>
        </w:tc>
        <w:tc>
          <w:tcPr>
            <w:tcW w:w="0" w:type="auto"/>
            <w:vAlign w:val="center"/>
            <w:hideMark/>
          </w:tcPr>
          <w:p w14:paraId="09E0AE1D" w14:textId="77777777" w:rsidR="00CA1C50" w:rsidRPr="00CA1C50" w:rsidRDefault="00CA1C50" w:rsidP="00CA1C50">
            <w:pPr>
              <w:rPr>
                <w:rFonts w:ascii="Times New Roman" w:hAnsi="Times New Roman" w:cs="Times New Roman"/>
                <w:b/>
                <w:bCs/>
              </w:rPr>
            </w:pPr>
            <w:r w:rsidRPr="00CA1C50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0B844EAD" w14:textId="77777777" w:rsidR="00CA1C50" w:rsidRPr="00CA1C50" w:rsidRDefault="00CA1C50" w:rsidP="00CA1C50">
            <w:pPr>
              <w:rPr>
                <w:rFonts w:ascii="Times New Roman" w:hAnsi="Times New Roman" w:cs="Times New Roman"/>
                <w:b/>
                <w:bCs/>
              </w:rPr>
            </w:pPr>
            <w:r w:rsidRPr="00CA1C50">
              <w:rPr>
                <w:rFonts w:ascii="Times New Roman" w:hAnsi="Times New Roman" w:cs="Times New Roman"/>
                <w:b/>
                <w:bCs/>
              </w:rPr>
              <w:t>DeLong Z</w:t>
            </w:r>
          </w:p>
        </w:tc>
        <w:tc>
          <w:tcPr>
            <w:tcW w:w="0" w:type="auto"/>
            <w:vAlign w:val="center"/>
            <w:hideMark/>
          </w:tcPr>
          <w:p w14:paraId="6DCB08E7" w14:textId="77777777" w:rsidR="00CA1C50" w:rsidRPr="00CA1C50" w:rsidRDefault="00CA1C50" w:rsidP="00CA1C50">
            <w:pPr>
              <w:rPr>
                <w:rFonts w:ascii="Times New Roman" w:hAnsi="Times New Roman" w:cs="Times New Roman"/>
                <w:b/>
                <w:bCs/>
              </w:rPr>
            </w:pPr>
            <w:r w:rsidRPr="00CA1C50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CA1C50" w:rsidRPr="00CA1C50" w14:paraId="7A88D4CA" w14:textId="77777777" w:rsidTr="00CA1C50">
        <w:trPr>
          <w:trHeight w:val="564"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D2ED014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  <w:b/>
                <w:bCs/>
              </w:rPr>
              <w:t>Training (n=937)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7F15540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SVM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06044C0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0.897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83A650C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0.873–0.921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3435B65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A1609F5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–</w:t>
            </w:r>
          </w:p>
        </w:tc>
      </w:tr>
      <w:tr w:rsidR="00CA1C50" w:rsidRPr="00CA1C50" w14:paraId="10ECC293" w14:textId="77777777" w:rsidTr="00CA1C50">
        <w:trPr>
          <w:trHeight w:val="564"/>
          <w:tblCellSpacing w:w="15" w:type="dxa"/>
        </w:trPr>
        <w:tc>
          <w:tcPr>
            <w:tcW w:w="0" w:type="auto"/>
            <w:vAlign w:val="center"/>
            <w:hideMark/>
          </w:tcPr>
          <w:p w14:paraId="6E5852F3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D7320FF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SOFA</w:t>
            </w:r>
          </w:p>
        </w:tc>
        <w:tc>
          <w:tcPr>
            <w:tcW w:w="0" w:type="auto"/>
            <w:vAlign w:val="center"/>
            <w:hideMark/>
          </w:tcPr>
          <w:p w14:paraId="54C5C60E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0.751</w:t>
            </w:r>
          </w:p>
        </w:tc>
        <w:tc>
          <w:tcPr>
            <w:tcW w:w="0" w:type="auto"/>
            <w:vAlign w:val="center"/>
            <w:hideMark/>
          </w:tcPr>
          <w:p w14:paraId="424BE4BF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0.712–0.791</w:t>
            </w:r>
          </w:p>
        </w:tc>
        <w:tc>
          <w:tcPr>
            <w:tcW w:w="0" w:type="auto"/>
            <w:vAlign w:val="center"/>
            <w:hideMark/>
          </w:tcPr>
          <w:p w14:paraId="74934F2C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8.51</w:t>
            </w:r>
          </w:p>
        </w:tc>
        <w:tc>
          <w:tcPr>
            <w:tcW w:w="0" w:type="auto"/>
            <w:vAlign w:val="center"/>
            <w:hideMark/>
          </w:tcPr>
          <w:p w14:paraId="52513861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&lt;0.001</w:t>
            </w:r>
          </w:p>
        </w:tc>
      </w:tr>
      <w:tr w:rsidR="00CA1C50" w:rsidRPr="00CA1C50" w14:paraId="5B363E5B" w14:textId="77777777" w:rsidTr="00CA1C50">
        <w:trPr>
          <w:trHeight w:val="564"/>
          <w:tblCellSpacing w:w="15" w:type="dxa"/>
        </w:trPr>
        <w:tc>
          <w:tcPr>
            <w:tcW w:w="0" w:type="auto"/>
            <w:vAlign w:val="center"/>
            <w:hideMark/>
          </w:tcPr>
          <w:p w14:paraId="65F13301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13E90A4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MELD</w:t>
            </w:r>
          </w:p>
        </w:tc>
        <w:tc>
          <w:tcPr>
            <w:tcW w:w="0" w:type="auto"/>
            <w:vAlign w:val="center"/>
            <w:hideMark/>
          </w:tcPr>
          <w:p w14:paraId="083FD745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0.816</w:t>
            </w:r>
          </w:p>
        </w:tc>
        <w:tc>
          <w:tcPr>
            <w:tcW w:w="0" w:type="auto"/>
            <w:vAlign w:val="center"/>
            <w:hideMark/>
          </w:tcPr>
          <w:p w14:paraId="143236EE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0.782–0.850</w:t>
            </w:r>
          </w:p>
        </w:tc>
        <w:tc>
          <w:tcPr>
            <w:tcW w:w="0" w:type="auto"/>
            <w:vAlign w:val="center"/>
            <w:hideMark/>
          </w:tcPr>
          <w:p w14:paraId="6571F92A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3.81</w:t>
            </w:r>
          </w:p>
        </w:tc>
        <w:tc>
          <w:tcPr>
            <w:tcW w:w="0" w:type="auto"/>
            <w:vAlign w:val="center"/>
            <w:hideMark/>
          </w:tcPr>
          <w:p w14:paraId="60709CA5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&lt;0.001</w:t>
            </w:r>
          </w:p>
        </w:tc>
      </w:tr>
      <w:tr w:rsidR="00CA1C50" w:rsidRPr="00CA1C50" w14:paraId="6CE84B45" w14:textId="77777777" w:rsidTr="00CA1C50">
        <w:trPr>
          <w:trHeight w:val="564"/>
          <w:tblCellSpacing w:w="15" w:type="dxa"/>
        </w:trPr>
        <w:tc>
          <w:tcPr>
            <w:tcW w:w="0" w:type="auto"/>
            <w:vAlign w:val="center"/>
            <w:hideMark/>
          </w:tcPr>
          <w:p w14:paraId="4B030FC9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  <w:b/>
                <w:bCs/>
              </w:rPr>
              <w:t>Validation (n=229)</w:t>
            </w:r>
          </w:p>
        </w:tc>
        <w:tc>
          <w:tcPr>
            <w:tcW w:w="0" w:type="auto"/>
            <w:vAlign w:val="center"/>
            <w:hideMark/>
          </w:tcPr>
          <w:p w14:paraId="4F816CFB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SVM</w:t>
            </w:r>
          </w:p>
        </w:tc>
        <w:tc>
          <w:tcPr>
            <w:tcW w:w="0" w:type="auto"/>
            <w:vAlign w:val="center"/>
            <w:hideMark/>
          </w:tcPr>
          <w:p w14:paraId="333EC6A8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0.864</w:t>
            </w:r>
          </w:p>
        </w:tc>
        <w:tc>
          <w:tcPr>
            <w:tcW w:w="0" w:type="auto"/>
            <w:vAlign w:val="center"/>
            <w:hideMark/>
          </w:tcPr>
          <w:p w14:paraId="0A57DCF9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0.815–0.913</w:t>
            </w:r>
          </w:p>
        </w:tc>
        <w:tc>
          <w:tcPr>
            <w:tcW w:w="0" w:type="auto"/>
            <w:vAlign w:val="center"/>
            <w:hideMark/>
          </w:tcPr>
          <w:p w14:paraId="67C4E9F0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14:paraId="084F7FD9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–</w:t>
            </w:r>
          </w:p>
        </w:tc>
      </w:tr>
      <w:tr w:rsidR="00CA1C50" w:rsidRPr="00CA1C50" w14:paraId="0C927E6C" w14:textId="77777777" w:rsidTr="00CA1C50">
        <w:trPr>
          <w:trHeight w:val="564"/>
          <w:tblCellSpacing w:w="15" w:type="dxa"/>
        </w:trPr>
        <w:tc>
          <w:tcPr>
            <w:tcW w:w="0" w:type="auto"/>
            <w:vAlign w:val="center"/>
            <w:hideMark/>
          </w:tcPr>
          <w:p w14:paraId="269C930C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FC20C4C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SOFA</w:t>
            </w:r>
          </w:p>
        </w:tc>
        <w:tc>
          <w:tcPr>
            <w:tcW w:w="0" w:type="auto"/>
            <w:vAlign w:val="center"/>
            <w:hideMark/>
          </w:tcPr>
          <w:p w14:paraId="325EB0C1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0.796</w:t>
            </w:r>
          </w:p>
        </w:tc>
        <w:tc>
          <w:tcPr>
            <w:tcW w:w="0" w:type="auto"/>
            <w:vAlign w:val="center"/>
            <w:hideMark/>
          </w:tcPr>
          <w:p w14:paraId="75AF9A3A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0.736–0.855</w:t>
            </w:r>
          </w:p>
        </w:tc>
        <w:tc>
          <w:tcPr>
            <w:tcW w:w="0" w:type="auto"/>
            <w:vAlign w:val="center"/>
            <w:hideMark/>
          </w:tcPr>
          <w:p w14:paraId="6CBC9329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2.28</w:t>
            </w:r>
          </w:p>
        </w:tc>
        <w:tc>
          <w:tcPr>
            <w:tcW w:w="0" w:type="auto"/>
            <w:vAlign w:val="center"/>
            <w:hideMark/>
          </w:tcPr>
          <w:p w14:paraId="196681E9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0.022</w:t>
            </w:r>
          </w:p>
        </w:tc>
      </w:tr>
      <w:tr w:rsidR="00CA1C50" w:rsidRPr="00CA1C50" w14:paraId="09C567F0" w14:textId="77777777" w:rsidTr="00CA1C50">
        <w:trPr>
          <w:trHeight w:val="564"/>
          <w:tblCellSpacing w:w="15" w:type="dxa"/>
        </w:trPr>
        <w:tc>
          <w:tcPr>
            <w:tcW w:w="0" w:type="auto"/>
            <w:vAlign w:val="center"/>
            <w:hideMark/>
          </w:tcPr>
          <w:p w14:paraId="6B08A03E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4F84E67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MELD</w:t>
            </w:r>
          </w:p>
        </w:tc>
        <w:tc>
          <w:tcPr>
            <w:tcW w:w="0" w:type="auto"/>
            <w:vAlign w:val="center"/>
            <w:hideMark/>
          </w:tcPr>
          <w:p w14:paraId="04E4A435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0.889</w:t>
            </w:r>
          </w:p>
        </w:tc>
        <w:tc>
          <w:tcPr>
            <w:tcW w:w="0" w:type="auto"/>
            <w:vAlign w:val="center"/>
            <w:hideMark/>
          </w:tcPr>
          <w:p w14:paraId="527C301D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0.844–0.933</w:t>
            </w:r>
          </w:p>
        </w:tc>
        <w:tc>
          <w:tcPr>
            <w:tcW w:w="0" w:type="auto"/>
            <w:vAlign w:val="center"/>
            <w:hideMark/>
          </w:tcPr>
          <w:p w14:paraId="014E9E7B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−0.74</w:t>
            </w:r>
          </w:p>
        </w:tc>
        <w:tc>
          <w:tcPr>
            <w:tcW w:w="0" w:type="auto"/>
            <w:vAlign w:val="center"/>
            <w:hideMark/>
          </w:tcPr>
          <w:p w14:paraId="40229546" w14:textId="77777777" w:rsidR="00CA1C50" w:rsidRPr="00CA1C50" w:rsidRDefault="00CA1C50" w:rsidP="00CA1C50">
            <w:pPr>
              <w:rPr>
                <w:rFonts w:ascii="Times New Roman" w:hAnsi="Times New Roman" w:cs="Times New Roman"/>
              </w:rPr>
            </w:pPr>
            <w:r w:rsidRPr="00CA1C50">
              <w:rPr>
                <w:rFonts w:ascii="Times New Roman" w:hAnsi="Times New Roman" w:cs="Times New Roman"/>
              </w:rPr>
              <w:t>0.462</w:t>
            </w:r>
          </w:p>
        </w:tc>
      </w:tr>
    </w:tbl>
    <w:p w14:paraId="21CB8D3E" w14:textId="2E8A188B" w:rsidR="00CA1C50" w:rsidRPr="00CA1C50" w:rsidRDefault="00EE72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 w:hint="eastAsia"/>
        </w:rPr>
        <w:t xml:space="preserve">ote: </w:t>
      </w:r>
      <w:r w:rsidRPr="00EE721D">
        <w:rPr>
          <w:rFonts w:ascii="Times New Roman" w:hAnsi="Times New Roman" w:cs="Times New Roman" w:hint="eastAsia"/>
        </w:rPr>
        <w:t>Statistical comparisons between ROC curves were performed using the DeLong test, with the SVM model used as the reference model.</w:t>
      </w:r>
    </w:p>
    <w:sectPr w:rsidR="00CA1C50" w:rsidRPr="00CA1C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F8A72" w14:textId="77777777" w:rsidR="0060663E" w:rsidRDefault="0060663E" w:rsidP="00CA1C5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C944127" w14:textId="77777777" w:rsidR="0060663E" w:rsidRDefault="0060663E" w:rsidP="00CA1C5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36F5B" w14:textId="77777777" w:rsidR="0060663E" w:rsidRDefault="0060663E" w:rsidP="00CA1C5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E7CB10C" w14:textId="77777777" w:rsidR="0060663E" w:rsidRDefault="0060663E" w:rsidP="00CA1C5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644"/>
    <w:rsid w:val="000F11AD"/>
    <w:rsid w:val="005B5280"/>
    <w:rsid w:val="005E7139"/>
    <w:rsid w:val="0060663E"/>
    <w:rsid w:val="00704644"/>
    <w:rsid w:val="00B3309B"/>
    <w:rsid w:val="00CA1C50"/>
    <w:rsid w:val="00EE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643B9"/>
  <w15:chartTrackingRefBased/>
  <w15:docId w15:val="{17AB7670-AD10-450C-851E-090EB4F84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046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6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64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464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464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464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464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464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0464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046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046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464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0464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0464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0464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0464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0464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046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04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46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046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4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046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46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464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46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0464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464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A1C5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A1C5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A1C5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A1C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448</Characters>
  <Application>Microsoft Office Word</Application>
  <DocSecurity>0</DocSecurity>
  <Lines>64</Lines>
  <Paragraphs>53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2026-03-16T15:23:00Z</dcterms:created>
  <dcterms:modified xsi:type="dcterms:W3CDTF">2026-03-16T15:29:00Z</dcterms:modified>
</cp:coreProperties>
</file>