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1B2D6">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5274310" cy="3743325"/>
            <wp:effectExtent l="0" t="0" r="2540" b="9525"/>
            <wp:docPr id="1325383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8387"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74310" cy="3743325"/>
                    </a:xfrm>
                    <a:prstGeom prst="rect">
                      <a:avLst/>
                    </a:prstGeom>
                    <a:noFill/>
                    <a:ln>
                      <a:noFill/>
                    </a:ln>
                  </pic:spPr>
                </pic:pic>
              </a:graphicData>
            </a:graphic>
          </wp:inline>
        </w:drawing>
      </w:r>
    </w:p>
    <w:p w14:paraId="32329A5B">
      <w:pPr>
        <w:rPr>
          <w:rFonts w:ascii="Times New Roman" w:hAnsi="Times New Roman" w:cs="Times New Roman"/>
          <w:color w:val="000000" w:themeColor="text1"/>
          <w14:textFill>
            <w14:solidFill>
              <w14:schemeClr w14:val="tx1"/>
            </w14:solidFill>
          </w14:textFill>
        </w:rPr>
      </w:pPr>
    </w:p>
    <w:p w14:paraId="6ED77F46">
      <w:pPr>
        <w:spacing w:line="36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Figure </w:t>
      </w:r>
      <w:r>
        <w:rPr>
          <w:rFonts w:hint="eastAsia" w:ascii="Times New Roman" w:hAnsi="Times New Roman" w:cs="Times New Roman"/>
          <w:b/>
          <w:bCs/>
          <w:color w:val="000000" w:themeColor="text1"/>
          <w:sz w:val="24"/>
          <w:szCs w:val="24"/>
          <w14:textFill>
            <w14:solidFill>
              <w14:schemeClr w14:val="tx1"/>
            </w14:solidFill>
          </w14:textFill>
        </w:rPr>
        <w:t>S1</w:t>
      </w:r>
      <w:r>
        <w:rPr>
          <w:rFonts w:ascii="Times New Roman" w:hAnsi="Times New Roman" w:cs="Times New Roman"/>
          <w:b/>
          <w:bCs/>
          <w:color w:val="000000" w:themeColor="text1"/>
          <w:sz w:val="24"/>
          <w:szCs w:val="24"/>
          <w14:textFill>
            <w14:solidFill>
              <w14:schemeClr w14:val="tx1"/>
            </w14:solidFill>
          </w14:textFill>
        </w:rPr>
        <w:t>. Subgroup Analysis of Ventilator Parameters in Patients Undergoing Invasive Mechanical Ventilation</w:t>
      </w:r>
      <w:r>
        <w:rPr>
          <w:rFonts w:hint="eastAsia" w:ascii="Times New Roman" w:hAnsi="Times New Roman" w:cs="Times New Roman"/>
          <w:b/>
          <w:bCs/>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This forest plot presents the association between salbutamol exposure and 28-day mortality, stratified by the median values of key ventilator parameters (peak pressure, PEEP, tidal volume, and mean airway pressure) among patients receiving invasive mechanical ventilation. The adjusted odds ratios and 95% confidence intervals are shown for each subgroup, with the corresponding P-values for interaction displayed.</w:t>
      </w:r>
    </w:p>
    <w:p w14:paraId="4DF29F78">
      <w:pPr>
        <w:rPr>
          <w:rFonts w:ascii="Times New Roman" w:hAnsi="Times New Roman" w:cs="Times New Roman"/>
          <w:color w:val="000000" w:themeColor="text1"/>
          <w14:textFill>
            <w14:solidFill>
              <w14:schemeClr w14:val="tx1"/>
            </w14:solidFill>
          </w14:textFill>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8D56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2026-03-02T19:38:27Z</dcterms:created>
  <dc:creator>Administrator</dc:creator>
  <cp:lastModifiedBy>寻梦的跫音</cp:lastModifiedBy>
  <dcterms:modified xsi:type="dcterms:W3CDTF">2026-03-02T19:38:51Z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eyJoZGlkIjoiMWYyYWZhYWJhZWZlMzc2OGZjYzVkN2I5MmNhYTE1NjYiLCJ1c2VySWQiOiI0NTUxMzY3NDUifQ==</vt:lpwstr>
  </property>
  <property fmtid="{D5CDD505-2E9C-101B-9397-08002B2CF9AE}" pid="4" name="ICV">
    <vt:lpwstr>FD4BE5FC16504DFEAA7B74FC4B57B107_12</vt:lpwstr>
  </property>
</Properties>
</file>