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7B289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69CD1FDF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S1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Ventilator Parameters in Patients Receiving Invasive Mechanical Ventilation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2"/>
        <w:gridCol w:w="1354"/>
        <w:gridCol w:w="1423"/>
        <w:gridCol w:w="1375"/>
        <w:gridCol w:w="838"/>
      </w:tblGrid>
      <w:tr w14:paraId="5EAA2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82D6AA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4" w:type="dxa"/>
            <w:tcBorders>
              <w:top w:val="single" w:color="auto" w:sz="4" w:space="0"/>
              <w:bottom w:val="single" w:color="auto" w:sz="4" w:space="0"/>
            </w:tcBorders>
          </w:tcPr>
          <w:p w14:paraId="1F722C93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Overall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7A24BDC5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Salbutamol (+)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6E911B82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Salbutamol (-)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 w14:paraId="4FD94EA0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 w14:paraId="303DC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2" w:type="dxa"/>
            <w:tcBorders>
              <w:top w:val="single" w:color="auto" w:sz="4" w:space="0"/>
            </w:tcBorders>
            <w:vAlign w:val="center"/>
          </w:tcPr>
          <w:p w14:paraId="40DF3CFD">
            <w:pP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Number</w:t>
            </w:r>
          </w:p>
        </w:tc>
        <w:tc>
          <w:tcPr>
            <w:tcW w:w="1354" w:type="dxa"/>
            <w:tcBorders>
              <w:top w:val="single" w:color="auto" w:sz="4" w:space="0"/>
            </w:tcBorders>
          </w:tcPr>
          <w:p w14:paraId="4F3394FE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7,685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08E7C15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3,931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3DF21EF8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3,754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0C9AF88C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46D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2" w:type="dxa"/>
            <w:vAlign w:val="center"/>
          </w:tcPr>
          <w:p w14:paraId="4E1F5534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Peak pressure, cmH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O, M (Q1, Q3)</w:t>
            </w:r>
          </w:p>
        </w:tc>
        <w:tc>
          <w:tcPr>
            <w:tcW w:w="1354" w:type="dxa"/>
          </w:tcPr>
          <w:p w14:paraId="23149CC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19(16,23)</w:t>
            </w:r>
          </w:p>
        </w:tc>
        <w:tc>
          <w:tcPr>
            <w:tcW w:w="0" w:type="auto"/>
          </w:tcPr>
          <w:p w14:paraId="68D080C5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20(17,24)</w:t>
            </w:r>
          </w:p>
        </w:tc>
        <w:tc>
          <w:tcPr>
            <w:tcW w:w="0" w:type="auto"/>
          </w:tcPr>
          <w:p w14:paraId="21E90206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19(15,22)</w:t>
            </w:r>
          </w:p>
        </w:tc>
        <w:tc>
          <w:tcPr>
            <w:tcW w:w="0" w:type="auto"/>
          </w:tcPr>
          <w:p w14:paraId="02FF6EB5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6BB00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2" w:type="dxa"/>
            <w:vAlign w:val="center"/>
          </w:tcPr>
          <w:p w14:paraId="64B3964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PEEP, cmH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O, M (Q1, Q3)</w:t>
            </w:r>
          </w:p>
        </w:tc>
        <w:tc>
          <w:tcPr>
            <w:tcW w:w="1354" w:type="dxa"/>
          </w:tcPr>
          <w:p w14:paraId="589A4E15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5(5,8)</w:t>
            </w:r>
          </w:p>
        </w:tc>
        <w:tc>
          <w:tcPr>
            <w:tcW w:w="0" w:type="auto"/>
          </w:tcPr>
          <w:p w14:paraId="32B25F5C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6(5,8)</w:t>
            </w:r>
          </w:p>
        </w:tc>
        <w:tc>
          <w:tcPr>
            <w:tcW w:w="0" w:type="auto"/>
          </w:tcPr>
          <w:p w14:paraId="00011D33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5(5,7)</w:t>
            </w:r>
          </w:p>
        </w:tc>
        <w:tc>
          <w:tcPr>
            <w:tcW w:w="0" w:type="auto"/>
          </w:tcPr>
          <w:p w14:paraId="45C9D9A9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1F551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2" w:type="dxa"/>
            <w:vAlign w:val="center"/>
          </w:tcPr>
          <w:p w14:paraId="5A3E783C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fr-FR"/>
                <w14:textFill>
                  <w14:solidFill>
                    <w14:schemeClr w14:val="tx1"/>
                  </w14:solidFill>
                </w14:textFill>
              </w:rPr>
              <w:t>Tidal volume, ml, M (Q1, Q3)</w:t>
            </w:r>
          </w:p>
        </w:tc>
        <w:tc>
          <w:tcPr>
            <w:tcW w:w="1354" w:type="dxa"/>
          </w:tcPr>
          <w:p w14:paraId="29977CD3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467(413,523)</w:t>
            </w:r>
          </w:p>
        </w:tc>
        <w:tc>
          <w:tcPr>
            <w:tcW w:w="0" w:type="auto"/>
          </w:tcPr>
          <w:p w14:paraId="339C7B20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463(409,521)</w:t>
            </w:r>
          </w:p>
        </w:tc>
        <w:tc>
          <w:tcPr>
            <w:tcW w:w="0" w:type="auto"/>
          </w:tcPr>
          <w:p w14:paraId="152C579D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471(417,525)</w:t>
            </w:r>
          </w:p>
        </w:tc>
        <w:tc>
          <w:tcPr>
            <w:tcW w:w="0" w:type="auto"/>
          </w:tcPr>
          <w:p w14:paraId="6129E578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6BCC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32" w:type="dxa"/>
            <w:tcBorders>
              <w:bottom w:val="single" w:color="auto" w:sz="4" w:space="0"/>
            </w:tcBorders>
            <w:vAlign w:val="center"/>
          </w:tcPr>
          <w:p w14:paraId="1EA20271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Mean airway pressure, cmH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O, M (Q1, Q3)</w:t>
            </w:r>
          </w:p>
        </w:tc>
        <w:tc>
          <w:tcPr>
            <w:tcW w:w="1354" w:type="dxa"/>
            <w:tcBorders>
              <w:bottom w:val="single" w:color="auto" w:sz="4" w:space="0"/>
            </w:tcBorders>
          </w:tcPr>
          <w:p w14:paraId="48447A59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9.4(8.0,11.8)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0616853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10.0(8.4,12.3)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29027E5B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8.9(7.8,11.1)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5FB632F0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</w:tbl>
    <w:p w14:paraId="46137EE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This table compares the peak pressure, PEEP, tidal volume, and mean airway pressure​between the salbutamol-exposed and non-exposed groups among patients receiving invasive mechanical ventilation. The data are presented as median and interquartile range. The salbutamol-exposed group had significantly higher peak pressure, PEEP, and mean airway pressure, but a lower tidal volume compared to the non-exposed group.</w:t>
      </w:r>
    </w:p>
    <w:p w14:paraId="3A4D6845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9EC6B88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CE2C0AD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0F97CDF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3B87A25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92CA55F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9CD1AE5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2AEDF3C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2717CEB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46CFC65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724EAF4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83C9C2C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3498404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75D1231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DC460C6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92540B6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5C0BFA6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41A4E17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FC1E65F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708F706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11C24142">
      <w:pP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3C71E92">
      <w:pPr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6FEB9DBF">
      <w:pPr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55264DAC">
      <w:pPr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514FE41C">
      <w:pPr>
        <w:jc w:val="center"/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7C37188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Logistic Regression Analysis for the Effect of As-needed vs. Scheduled Salbutamol Regimens on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Risk of M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ortality.</w:t>
      </w: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6"/>
        <w:gridCol w:w="1466"/>
        <w:gridCol w:w="861"/>
        <w:gridCol w:w="1466"/>
        <w:gridCol w:w="861"/>
      </w:tblGrid>
      <w:tr w14:paraId="4459C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</w:tcBorders>
          </w:tcPr>
          <w:p w14:paraId="7096C569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</w:tcPr>
          <w:p w14:paraId="632052F7">
            <w:pPr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28-day mortality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</w:tcPr>
          <w:p w14:paraId="6A1BB774">
            <w:pPr>
              <w:jc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1-year mortality</w:t>
            </w:r>
          </w:p>
        </w:tc>
      </w:tr>
      <w:tr w14:paraId="6AE62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 w14:paraId="427F9954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3429FC70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95%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CI)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9C6351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53F0B755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 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95% 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CI)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54B6263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 w14:paraId="0A4F0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</w:tcPr>
          <w:p w14:paraId="1B82A463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Without exposure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7DE92BD3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754330E4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2DB782C1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 w14:paraId="741FFD8D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636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52A6B1B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s-needed medication</w:t>
            </w:r>
          </w:p>
        </w:tc>
        <w:tc>
          <w:tcPr>
            <w:tcW w:w="0" w:type="auto"/>
          </w:tcPr>
          <w:p w14:paraId="175B949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0.95(0.84-1.06)</w:t>
            </w:r>
          </w:p>
        </w:tc>
        <w:tc>
          <w:tcPr>
            <w:tcW w:w="0" w:type="auto"/>
          </w:tcPr>
          <w:p w14:paraId="2F6158E0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0.349</w:t>
            </w:r>
          </w:p>
        </w:tc>
        <w:tc>
          <w:tcPr>
            <w:tcW w:w="0" w:type="auto"/>
          </w:tcPr>
          <w:p w14:paraId="449B5D4B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0.93(0.85-1.02)</w:t>
            </w:r>
          </w:p>
        </w:tc>
        <w:tc>
          <w:tcPr>
            <w:tcW w:w="0" w:type="auto"/>
          </w:tcPr>
          <w:p w14:paraId="1756F0DF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0.138</w:t>
            </w:r>
          </w:p>
        </w:tc>
      </w:tr>
      <w:tr w14:paraId="588F7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4" w:space="0"/>
            </w:tcBorders>
          </w:tcPr>
          <w:p w14:paraId="688163A7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cheduled medication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46D8F986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0.72(0.66-0.78)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0CE96D30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720E864D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0.81(0.76-0.87)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 w14:paraId="32433D32">
            <w:pP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</w:tbl>
    <w:p w14:paraId="77FD4DD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This table compares the adjusted odds ratios for 28-day and 1-year mortality among patients receiving as-needed or scheduled salbutamol regimens, using non-exposed patients as the reference. Scheduled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salbutamol use was significantly associated with reduced mortality at both time points, whereas as-needed​use showed no significant association. This suggests a potential dose-response relationship, wherein more regular, sustained administration (likely reflecting higher cumulative exposure) confers a greater survival benefit.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3AAD963D-90CC-4735-AF89-2DBAD77C6685}"/>
    <w:docVar w:name="KY_MEDREF_VERSION" w:val="3"/>
  </w:docVars>
  <w:rsids>
    <w:rsidRoot w:val="004B2DC5"/>
    <w:rsid w:val="0018039B"/>
    <w:rsid w:val="001F63FC"/>
    <w:rsid w:val="00237679"/>
    <w:rsid w:val="002D28B0"/>
    <w:rsid w:val="004B2DC5"/>
    <w:rsid w:val="00E6284A"/>
    <w:rsid w:val="00FC3B76"/>
    <w:rsid w:val="029A38EC"/>
    <w:rsid w:val="080261BB"/>
    <w:rsid w:val="10C64465"/>
    <w:rsid w:val="12723F3D"/>
    <w:rsid w:val="154A73F4"/>
    <w:rsid w:val="1C7C0C57"/>
    <w:rsid w:val="1E7B061E"/>
    <w:rsid w:val="2FFB90D3"/>
    <w:rsid w:val="32292DE9"/>
    <w:rsid w:val="35D73F34"/>
    <w:rsid w:val="37421881"/>
    <w:rsid w:val="3B585B17"/>
    <w:rsid w:val="3C2E0626"/>
    <w:rsid w:val="3E454CF0"/>
    <w:rsid w:val="57DF1880"/>
    <w:rsid w:val="59084281"/>
    <w:rsid w:val="5D323FC2"/>
    <w:rsid w:val="60430C6A"/>
    <w:rsid w:val="63827325"/>
    <w:rsid w:val="65B5753E"/>
    <w:rsid w:val="679F4002"/>
    <w:rsid w:val="67FC0191"/>
    <w:rsid w:val="6CEC459B"/>
    <w:rsid w:val="709366CE"/>
    <w:rsid w:val="718F50E7"/>
    <w:rsid w:val="729329B5"/>
    <w:rsid w:val="73C445EE"/>
    <w:rsid w:val="77F24622"/>
    <w:rsid w:val="7973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annotation reference"/>
    <w:basedOn w:val="5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1974</Characters>
  <Lines>16</Lines>
  <Paragraphs>4</Paragraphs>
  <TotalTime>5</TotalTime>
  <ScaleCrop>false</ScaleCrop>
  <LinksUpToDate>false</LinksUpToDate>
  <CharactersWithSpaces>2220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2026-03-01T14:23:00Z</dcterms:created>
  <dc:creator>Administrator</dc:creator>
  <cp:lastModifiedBy>寻梦的跫音</cp:lastModifiedBy>
  <dcterms:modified xsi:type="dcterms:W3CDTF">2026-03-02T19:39:00Z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eyJoZGlkIjoiMWYyYWZhYWJhZWZlMzc2OGZjYzVkN2I5MmNhYTE1NjYiLCJ1c2VySWQiOiI0NTUxMzY3NDUifQ==</vt:lpwstr>
  </property>
  <property fmtid="{D5CDD505-2E9C-101B-9397-08002B2CF9AE}" pid="4" name="ICV">
    <vt:lpwstr>EAA2E49C2725648E1632A469CF3F92D0_43</vt:lpwstr>
  </property>
</Properties>
</file>