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Section 1: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Methods: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1. ROC AUC power (Hanley &amp; McNeil SE; α = 0.05, two-sided) for power analysis for our small sample size as follows;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A) T2D discrimination (n_pos = 28 T2D; n_neg = 78 non-T2D)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miR-210-5p: AUC = 0.811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SE ≈ 0.0528, z ≈ 5.89 → Power ≈ 0.99996 (~100%)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miR-195-5p: AUC = 0.723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SE ≈ 0.0599, z ≈ 3.72 → Power ≈ 0.9609 (~96%)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Given the observed AUCs and group sizes (28 vs 78), the study had high power (&gt;95%) to detect ROC performance above chance for miR-210-5p and miR-195-5p.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B) Severe AMI discrimination</w:t>
      </w:r>
      <w:r w:rsidDel="00000000" w:rsidR="00000000" w:rsidRPr="00000000">
        <w:rPr>
          <w:rFonts w:ascii="Gungsuh" w:cs="Gungsuh" w:eastAsia="Gungsuh" w:hAnsi="Gungsuh"/>
          <w:rtl w:val="0"/>
        </w:rPr>
        <w:t xml:space="preserve"> (LVEF ≤40%; n_pos = 22 severe; n_neg = 84 non-severe)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miR-1-5p: AUC = 0.765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SE ≈ 0.0631, z ≈ 4.20 → Power ≈ 0.987 (~99%)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Combined panel (miR-1-5p + eGFR + NT-proBNP): AUC = 0.823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SE ≈ 0.0573, z ≈ 5.64 → Power ≈ 0.99988 (~100%)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2. Logistic regression / panel power analysis for our small sample size as follows;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Our multivariable model reports OR = 8.04 for the combined panel predicting severe AMI.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 approximate power without knowing the exact panel prevalence: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Sensitivity ≈ 65%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Specificity ≈ 83%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Severe AMI prevalence ≈ 22/106 = 20.7%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From this, expected counts are approximately: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TP ≈ 0.65×22 = 14.3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FN ≈ 7.7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TN ≈ 0.83×84 = 69.7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FP ≈ 14.3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So panel-positive n ≈ 28.6 (~29), panel-negative n ≈ 77.4 (~77), with: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severe rate in panel+ ≈ 14.3/28.6 ≈ 50%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severe rate in panel− ≈ 7.7/77.4 ≈ 9.9%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Which implies our resultsare consistent.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Cardo" w:cs="Cardo" w:eastAsia="Cardo" w:hAnsi="Cardo"/>
          <w:rtl w:val="0"/>
        </w:rPr>
        <w:t xml:space="preserve">Using a two-proportion z/χ² approximation at α = 0.05 (two-sided), the power ≈ 0.989 (~99%) to detect that association. Given the observed effect size (OR ≈ 8) and event rate (~21%), the analysis was well powered to detect the panel–severity association; however, the limited number of severe events may still affect model stability and generalizability.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Section 2:</w:t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Results: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bCs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Treatment Regimens at baseline</w:t>
      </w:r>
    </w:p>
    <w:p w:rsidR="00000000" w:rsidDel="00000000" w:rsidP="00000000" w:rsidRDefault="00000000" w:rsidRPr="00000000" w14:paraId="0000002E">
      <w:pPr>
        <w:ind w:left="72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Supplemental Table 1.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Relevant treatment at baseline and after 26 weeks.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00.0" w:type="dxa"/>
        <w:jc w:val="left"/>
        <w:tblInd w:w="-9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00"/>
        <w:gridCol w:w="1560"/>
        <w:gridCol w:w="1275"/>
        <w:gridCol w:w="930"/>
        <w:gridCol w:w="1110"/>
        <w:gridCol w:w="1365"/>
        <w:gridCol w:w="960"/>
        <w:tblGridChange w:id="0">
          <w:tblGrid>
            <w:gridCol w:w="2100"/>
            <w:gridCol w:w="1560"/>
            <w:gridCol w:w="1275"/>
            <w:gridCol w:w="930"/>
            <w:gridCol w:w="1110"/>
            <w:gridCol w:w="1365"/>
            <w:gridCol w:w="9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DIABETES post-AMI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NON-DIABETES post-AMI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0 week (baseline)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26th week (treatment)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value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0 week (baseline)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26th week (treatment)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value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ACE-I/ARB,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 (89)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 (89)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77 (99)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 (99)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ARNI,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Beta-blocker,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 (96)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 (96)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 (94)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 (95)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MRA,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 (46)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 (46)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 (42)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 (40)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Loop diuretic,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(14)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(14)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 (12)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(8)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Statin,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 (100)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 (100)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 (96)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 (96)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Ezetimibe,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 (18)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(14)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 (21)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 (22)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Calcium channel blocker,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 (18)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 (18)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(8)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Platelet-lowering drugs,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 (100)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 (100)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78 (100)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 (100)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Anticoagulation drugs,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(14)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(14)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(9)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 (8)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Metformin,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 (86)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 (79)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DPP4 inhibitor,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 (18)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 (18)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Sulfonylurea,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 (7)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 (7)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GLP1-RA,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(11)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(11)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Insulin, n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(25)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 (25)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 (0)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AC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Diagnostic utility of baseline troponin T, LVEF, NT-proBNP, and eGFR for diabetes status in patients with AMI</w:t>
      </w:r>
    </w:p>
    <w:p w:rsidR="00000000" w:rsidDel="00000000" w:rsidP="00000000" w:rsidRDefault="00000000" w:rsidRPr="00000000" w14:paraId="000000B0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 did not observe any significant association between T2D status and baseline levels of troponin T, LVEF, NT-proBNP, or eGFR. The area under the ROC curve (AUC) for troponin T was 0.523 (95% CI, 0.39–0.65; p = 0.723) (Figure 1). The AUC for LVEF was 0.553 (95% CI, 0.42–0.68; p = 0.414) (Figure 2). The AUC for NT-proBNP was 0.518 (95% CI, 0.39–0.65; p = 0.783) (Figure 3). The AUC for eGFR was 0.486 (95% CI, 0.36–0.62; p = 0.830) (Figure 4).</w:t>
      </w:r>
    </w:p>
    <w:p w:rsidR="00000000" w:rsidDel="00000000" w:rsidP="00000000" w:rsidRDefault="00000000" w:rsidRPr="00000000" w14:paraId="000000B1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740400" cy="3378200"/>
            <wp:effectExtent b="0" l="0" r="0" t="0"/>
            <wp:docPr descr="Obraz zawierający diagram, linia, Wykres, tekst&#10;&#10;Zawartość wygenerowana przez AI może być niepoprawna." id="4" name="image2.jpg"/>
            <a:graphic>
              <a:graphicData uri="http://schemas.openxmlformats.org/drawingml/2006/picture">
                <pic:pic>
                  <pic:nvPicPr>
                    <pic:cNvPr descr="Obraz zawierający diagram, linia, Wykres, tekst&#10;&#10;Zawartość wygenerowana przez AI może być niepoprawna."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37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Troponin T central baseline ROC curve for diagnostic utility of diabetes</w:t>
      </w:r>
    </w:p>
    <w:p w:rsidR="00000000" w:rsidDel="00000000" w:rsidP="00000000" w:rsidRDefault="00000000" w:rsidRPr="00000000" w14:paraId="000000B3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740400" cy="3378200"/>
            <wp:effectExtent b="0" l="0" r="0" t="0"/>
            <wp:docPr descr="Obraz zawierający linia, diagram, Wykres, tekst&#10;&#10;Zawartość wygenerowana przez AI może być niepoprawna." id="3" name="image3.jpg"/>
            <a:graphic>
              <a:graphicData uri="http://schemas.openxmlformats.org/drawingml/2006/picture">
                <pic:pic>
                  <pic:nvPicPr>
                    <pic:cNvPr descr="Obraz zawierający linia, diagram, Wykres, tekst&#10;&#10;Zawartość wygenerowana przez AI może być niepoprawna."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37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LVEF baseline ROC curve for diagnostic utility of diabetes</w:t>
      </w:r>
    </w:p>
    <w:p w:rsidR="00000000" w:rsidDel="00000000" w:rsidP="00000000" w:rsidRDefault="00000000" w:rsidRPr="00000000" w14:paraId="000000B5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740400" cy="3378200"/>
            <wp:effectExtent b="0" l="0" r="0" t="0"/>
            <wp:docPr descr="Obraz zawierający diagram, linia, Wykres, tekst&#10;&#10;Zawartość wygenerowana przez AI może być niepoprawna." id="2" name="image4.jpg"/>
            <a:graphic>
              <a:graphicData uri="http://schemas.openxmlformats.org/drawingml/2006/picture">
                <pic:pic>
                  <pic:nvPicPr>
                    <pic:cNvPr descr="Obraz zawierający diagram, linia, Wykres, tekst&#10;&#10;Zawartość wygenerowana przez AI może być niepoprawna."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37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B7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NT-proBNP baseline ROC curve for diagnostic utility of diabetes</w:t>
      </w:r>
    </w:p>
    <w:p w:rsidR="00000000" w:rsidDel="00000000" w:rsidP="00000000" w:rsidRDefault="00000000" w:rsidRPr="00000000" w14:paraId="000000B8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740400" cy="3378200"/>
            <wp:effectExtent b="0" l="0" r="0" t="0"/>
            <wp:docPr descr="Obraz zawierający linia, diagram, Wykres, tekst&#10;&#10;Zawartość wygenerowana przez AI może być niepoprawna." id="1" name="image1.jpg"/>
            <a:graphic>
              <a:graphicData uri="http://schemas.openxmlformats.org/drawingml/2006/picture">
                <pic:pic>
                  <pic:nvPicPr>
                    <pic:cNvPr descr="Obraz zawierający linia, diagram, Wykres, tekst&#10;&#10;Zawartość wygenerowana przez AI może być niepoprawna."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37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4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eGFR baseline ROC curve for diagnostic utility of diabetes</w:t>
      </w:r>
    </w:p>
    <w:p w:rsidR="00000000" w:rsidDel="00000000" w:rsidP="00000000" w:rsidRDefault="00000000" w:rsidRPr="00000000" w14:paraId="000000BA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ungsuh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Card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Cardo-regular.ttf"/><Relationship Id="rId4" Type="http://schemas.openxmlformats.org/officeDocument/2006/relationships/font" Target="fonts/Cardo-bold.ttf"/><Relationship Id="rId5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