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775440">
      <w:pPr>
        <w:jc w:val="center"/>
        <w:rPr>
          <w:rFonts w:hint="eastAsia" w:ascii="Times New Roman" w:hAnsi="Times New Roman" w:cs="Times New Roman"/>
          <w:b/>
          <w:bCs/>
          <w:sz w:val="24"/>
          <w:szCs w:val="28"/>
        </w:rPr>
      </w:pPr>
      <w:bookmarkStart w:id="0" w:name="_GoBack"/>
      <w:bookmarkEnd w:id="0"/>
      <w:r>
        <w:rPr>
          <w:rFonts w:hint="eastAsia" w:ascii="Times New Roman" w:hAnsi="Times New Roman" w:cs="Times New Roman"/>
          <w:b/>
          <w:bCs/>
          <w:sz w:val="24"/>
          <w:szCs w:val="28"/>
        </w:rPr>
        <w:t>Supplement material</w:t>
      </w:r>
    </w:p>
    <w:p w14:paraId="15694C13">
      <w:pPr>
        <w:pStyle w:val="11"/>
        <w:keepNext/>
        <w:spacing w:line="240" w:lineRule="auto"/>
        <w:rPr>
          <w:rFonts w:ascii="Times New Roman" w:hAnsi="Times New Roman" w:cs="Times New Roman"/>
        </w:rPr>
      </w:pPr>
      <w:r>
        <w:rPr>
          <w:rFonts w:ascii="Times New Roman" w:hAnsi="Times New Roman" w:cs="Times New Roman"/>
        </w:rPr>
        <w:t>Table S</w:t>
      </w:r>
      <w:r>
        <w:rPr>
          <w:rFonts w:hint="eastAsia" w:ascii="Times New Roman" w:hAnsi="Times New Roman" w:cs="Times New Roman"/>
        </w:rPr>
        <w:t>1</w:t>
      </w:r>
      <w:r>
        <w:rPr>
          <w:rFonts w:ascii="Times New Roman" w:hAnsi="Times New Roman" w:cs="Times New Roman"/>
        </w:rPr>
        <w:t xml:space="preserve"> </w:t>
      </w:r>
      <w:r>
        <w:rPr>
          <w:rFonts w:hint="eastAsia" w:ascii="Times New Roman" w:hAnsi="Times New Roman" w:cs="Times New Roman"/>
        </w:rPr>
        <w:t>Sensitivity analyses examining the association between sex and dyslipidemia in patients with first-episode and drug-naïve anxious depression</w:t>
      </w:r>
    </w:p>
    <w:tbl>
      <w:tblPr>
        <w:tblStyle w:val="1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95"/>
        <w:gridCol w:w="1773"/>
        <w:gridCol w:w="1798"/>
        <w:gridCol w:w="1575"/>
        <w:gridCol w:w="1481"/>
      </w:tblGrid>
      <w:tr w14:paraId="71E82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112" w:type="pct"/>
            <w:tcBorders>
              <w:top w:val="single" w:color="auto" w:sz="4" w:space="0"/>
              <w:bottom w:val="single" w:color="auto" w:sz="4" w:space="0"/>
            </w:tcBorders>
          </w:tcPr>
          <w:p w14:paraId="03983CC3">
            <w:pPr>
              <w:spacing w:after="0" w:line="240" w:lineRule="auto"/>
              <w:jc w:val="center"/>
              <w:rPr>
                <w:rFonts w:ascii="Times New Roman" w:hAnsi="Times New Roman" w:cs="Times New Roman"/>
                <w:b/>
                <w:bCs/>
                <w:sz w:val="20"/>
                <w:szCs w:val="20"/>
              </w:rPr>
            </w:pPr>
            <w:r>
              <w:rPr>
                <w:rFonts w:ascii="Times New Roman" w:hAnsi="Times New Roman" w:cs="Times New Roman"/>
                <w:sz w:val="20"/>
                <w:szCs w:val="20"/>
              </w:rPr>
              <w:t>Analysis set</w:t>
            </w:r>
          </w:p>
        </w:tc>
        <w:tc>
          <w:tcPr>
            <w:tcW w:w="1040" w:type="pct"/>
            <w:tcBorders>
              <w:top w:val="single" w:color="auto" w:sz="4" w:space="0"/>
              <w:bottom w:val="single" w:color="auto" w:sz="4" w:space="0"/>
            </w:tcBorders>
          </w:tcPr>
          <w:p w14:paraId="025FBFBD">
            <w:pPr>
              <w:spacing w:after="0" w:line="240" w:lineRule="auto"/>
              <w:jc w:val="center"/>
              <w:rPr>
                <w:rFonts w:ascii="Times New Roman" w:hAnsi="Times New Roman" w:cs="Times New Roman"/>
                <w:b/>
                <w:bCs/>
                <w:sz w:val="20"/>
                <w:szCs w:val="20"/>
              </w:rPr>
            </w:pPr>
            <w:r>
              <w:rPr>
                <w:rFonts w:ascii="Times New Roman" w:hAnsi="Times New Roman" w:cs="Times New Roman"/>
                <w:sz w:val="20"/>
                <w:szCs w:val="20"/>
              </w:rPr>
              <w:t>Male n/N (%)</w:t>
            </w:r>
          </w:p>
        </w:tc>
        <w:tc>
          <w:tcPr>
            <w:tcW w:w="1055" w:type="pct"/>
            <w:tcBorders>
              <w:top w:val="single" w:color="auto" w:sz="4" w:space="0"/>
              <w:bottom w:val="single" w:color="auto" w:sz="4" w:space="0"/>
            </w:tcBorders>
          </w:tcPr>
          <w:p w14:paraId="2E4B604C">
            <w:pPr>
              <w:spacing w:after="0" w:line="240" w:lineRule="auto"/>
              <w:jc w:val="center"/>
              <w:rPr>
                <w:rFonts w:ascii="Times New Roman" w:hAnsi="Times New Roman" w:cs="Times New Roman"/>
                <w:b/>
                <w:bCs/>
                <w:sz w:val="20"/>
                <w:szCs w:val="20"/>
              </w:rPr>
            </w:pPr>
            <w:r>
              <w:rPr>
                <w:rFonts w:ascii="Times New Roman" w:hAnsi="Times New Roman" w:cs="Times New Roman"/>
                <w:sz w:val="20"/>
                <w:szCs w:val="20"/>
              </w:rPr>
              <w:t>Female n/N (%)</w:t>
            </w:r>
          </w:p>
        </w:tc>
        <w:tc>
          <w:tcPr>
            <w:tcW w:w="924" w:type="pct"/>
            <w:tcBorders>
              <w:top w:val="single" w:color="auto" w:sz="4" w:space="0"/>
              <w:bottom w:val="single" w:color="auto" w:sz="4" w:space="0"/>
            </w:tcBorders>
          </w:tcPr>
          <w:p w14:paraId="1CBA04A7">
            <w:pPr>
              <w:spacing w:after="0" w:line="240" w:lineRule="auto"/>
              <w:jc w:val="center"/>
              <w:rPr>
                <w:rFonts w:ascii="Times New Roman" w:hAnsi="Times New Roman" w:cs="Times New Roman"/>
                <w:b/>
                <w:bCs/>
                <w:sz w:val="20"/>
                <w:szCs w:val="20"/>
              </w:rPr>
            </w:pPr>
            <w:r>
              <w:rPr>
                <w:rFonts w:ascii="Times New Roman" w:hAnsi="Times New Roman" w:cs="Times New Roman"/>
                <w:sz w:val="20"/>
                <w:szCs w:val="20"/>
              </w:rPr>
              <w:t>Chi-square</w:t>
            </w:r>
          </w:p>
        </w:tc>
        <w:tc>
          <w:tcPr>
            <w:tcW w:w="869" w:type="pct"/>
            <w:tcBorders>
              <w:top w:val="single" w:color="auto" w:sz="4" w:space="0"/>
              <w:bottom w:val="single" w:color="auto" w:sz="4" w:space="0"/>
            </w:tcBorders>
          </w:tcPr>
          <w:p w14:paraId="27513843">
            <w:pPr>
              <w:spacing w:after="0" w:line="240" w:lineRule="auto"/>
              <w:jc w:val="center"/>
              <w:rPr>
                <w:rFonts w:ascii="Times New Roman" w:hAnsi="Times New Roman" w:cs="Times New Roman"/>
                <w:b/>
                <w:bCs/>
                <w:sz w:val="20"/>
                <w:szCs w:val="20"/>
              </w:rPr>
            </w:pPr>
            <w:r>
              <w:rPr>
                <w:rFonts w:ascii="Times New Roman" w:hAnsi="Times New Roman" w:cs="Times New Roman"/>
                <w:sz w:val="20"/>
                <w:szCs w:val="20"/>
              </w:rPr>
              <w:t>P value</w:t>
            </w:r>
          </w:p>
        </w:tc>
      </w:tr>
      <w:tr w14:paraId="38E6E2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112" w:type="pct"/>
            <w:tcBorders>
              <w:top w:val="single" w:color="auto" w:sz="4" w:space="0"/>
            </w:tcBorders>
          </w:tcPr>
          <w:p w14:paraId="715FF029">
            <w:pPr>
              <w:spacing w:after="0" w:line="240" w:lineRule="auto"/>
              <w:rPr>
                <w:rFonts w:ascii="Times New Roman" w:hAnsi="Times New Roman" w:cs="Times New Roman"/>
                <w:sz w:val="20"/>
                <w:szCs w:val="20"/>
              </w:rPr>
            </w:pPr>
            <w:r>
              <w:rPr>
                <w:rFonts w:ascii="Times New Roman" w:hAnsi="Times New Roman" w:cs="Times New Roman"/>
                <w:sz w:val="20"/>
                <w:szCs w:val="20"/>
              </w:rPr>
              <w:t>Full sample</w:t>
            </w:r>
          </w:p>
        </w:tc>
        <w:tc>
          <w:tcPr>
            <w:tcW w:w="1040" w:type="pct"/>
            <w:tcBorders>
              <w:top w:val="single" w:color="auto" w:sz="4" w:space="0"/>
            </w:tcBorders>
          </w:tcPr>
          <w:p w14:paraId="088D55B3">
            <w:pPr>
              <w:spacing w:after="0" w:line="240" w:lineRule="auto"/>
              <w:rPr>
                <w:rFonts w:ascii="Times New Roman" w:hAnsi="Times New Roman" w:cs="Times New Roman"/>
                <w:sz w:val="20"/>
                <w:szCs w:val="20"/>
              </w:rPr>
            </w:pPr>
            <w:r>
              <w:rPr>
                <w:rFonts w:ascii="Times New Roman" w:hAnsi="Times New Roman" w:cs="Times New Roman"/>
                <w:sz w:val="20"/>
                <w:szCs w:val="20"/>
              </w:rPr>
              <w:t>398/475 (83.79%)</w:t>
            </w:r>
          </w:p>
        </w:tc>
        <w:tc>
          <w:tcPr>
            <w:tcW w:w="1055" w:type="pct"/>
            <w:tcBorders>
              <w:top w:val="single" w:color="auto" w:sz="4" w:space="0"/>
            </w:tcBorders>
          </w:tcPr>
          <w:p w14:paraId="311D70CC">
            <w:pPr>
              <w:spacing w:after="0" w:line="240" w:lineRule="auto"/>
              <w:rPr>
                <w:rFonts w:ascii="Times New Roman" w:hAnsi="Times New Roman" w:cs="Times New Roman"/>
                <w:sz w:val="20"/>
                <w:szCs w:val="20"/>
              </w:rPr>
            </w:pPr>
            <w:r>
              <w:rPr>
                <w:rFonts w:ascii="Times New Roman" w:hAnsi="Times New Roman" w:cs="Times New Roman"/>
                <w:sz w:val="20"/>
                <w:szCs w:val="20"/>
              </w:rPr>
              <w:t>755/905 (83.43%)</w:t>
            </w:r>
          </w:p>
        </w:tc>
        <w:tc>
          <w:tcPr>
            <w:tcW w:w="924" w:type="pct"/>
            <w:tcBorders>
              <w:top w:val="single" w:color="auto" w:sz="4" w:space="0"/>
            </w:tcBorders>
          </w:tcPr>
          <w:p w14:paraId="517D017F">
            <w:pPr>
              <w:spacing w:after="0" w:line="240" w:lineRule="auto"/>
              <w:rPr>
                <w:rFonts w:ascii="Times New Roman" w:hAnsi="Times New Roman" w:cs="Times New Roman"/>
                <w:sz w:val="20"/>
                <w:szCs w:val="20"/>
              </w:rPr>
            </w:pPr>
            <w:r>
              <w:rPr>
                <w:rFonts w:ascii="Times New Roman" w:hAnsi="Times New Roman" w:cs="Times New Roman"/>
                <w:sz w:val="20"/>
                <w:szCs w:val="20"/>
              </w:rPr>
              <w:t>0.0094</w:t>
            </w:r>
          </w:p>
        </w:tc>
        <w:tc>
          <w:tcPr>
            <w:tcW w:w="869" w:type="pct"/>
            <w:tcBorders>
              <w:top w:val="single" w:color="auto" w:sz="4" w:space="0"/>
            </w:tcBorders>
          </w:tcPr>
          <w:p w14:paraId="43AF589A">
            <w:pPr>
              <w:spacing w:after="0" w:line="240" w:lineRule="auto"/>
              <w:rPr>
                <w:rFonts w:ascii="Times New Roman" w:hAnsi="Times New Roman" w:cs="Times New Roman"/>
                <w:sz w:val="20"/>
                <w:szCs w:val="20"/>
              </w:rPr>
            </w:pPr>
            <w:r>
              <w:rPr>
                <w:rFonts w:ascii="Times New Roman" w:hAnsi="Times New Roman" w:cs="Times New Roman"/>
                <w:sz w:val="20"/>
                <w:szCs w:val="20"/>
              </w:rPr>
              <w:t>0.9228</w:t>
            </w:r>
          </w:p>
        </w:tc>
      </w:tr>
      <w:tr w14:paraId="49B08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112" w:type="pct"/>
          </w:tcPr>
          <w:p w14:paraId="0C8307C6">
            <w:pPr>
              <w:spacing w:after="0" w:line="240" w:lineRule="auto"/>
              <w:rPr>
                <w:rFonts w:ascii="Times New Roman" w:hAnsi="Times New Roman" w:cs="Times New Roman"/>
                <w:sz w:val="20"/>
                <w:szCs w:val="20"/>
              </w:rPr>
            </w:pPr>
            <w:r>
              <w:rPr>
                <w:rFonts w:ascii="Times New Roman" w:hAnsi="Times New Roman" w:cs="Times New Roman"/>
                <w:sz w:val="20"/>
                <w:szCs w:val="20"/>
              </w:rPr>
              <w:t>Age &lt; 50 years</w:t>
            </w:r>
          </w:p>
        </w:tc>
        <w:tc>
          <w:tcPr>
            <w:tcW w:w="1040" w:type="pct"/>
          </w:tcPr>
          <w:p w14:paraId="19CDEBD5">
            <w:pPr>
              <w:spacing w:after="0" w:line="240" w:lineRule="auto"/>
              <w:rPr>
                <w:rFonts w:ascii="Times New Roman" w:hAnsi="Times New Roman" w:cs="Times New Roman"/>
                <w:sz w:val="20"/>
                <w:szCs w:val="20"/>
              </w:rPr>
            </w:pPr>
            <w:r>
              <w:rPr>
                <w:rFonts w:ascii="Times New Roman" w:hAnsi="Times New Roman" w:cs="Times New Roman"/>
                <w:sz w:val="20"/>
                <w:szCs w:val="20"/>
              </w:rPr>
              <w:t>349/421 (82.90%)</w:t>
            </w:r>
          </w:p>
        </w:tc>
        <w:tc>
          <w:tcPr>
            <w:tcW w:w="1055" w:type="pct"/>
          </w:tcPr>
          <w:p w14:paraId="0BDD0700">
            <w:pPr>
              <w:spacing w:after="0" w:line="240" w:lineRule="auto"/>
              <w:rPr>
                <w:rFonts w:ascii="Times New Roman" w:hAnsi="Times New Roman" w:cs="Times New Roman"/>
                <w:sz w:val="20"/>
                <w:szCs w:val="20"/>
              </w:rPr>
            </w:pPr>
            <w:r>
              <w:rPr>
                <w:rFonts w:ascii="Times New Roman" w:hAnsi="Times New Roman" w:cs="Times New Roman"/>
                <w:sz w:val="20"/>
                <w:szCs w:val="20"/>
              </w:rPr>
              <w:t>610/740 (82.43%)</w:t>
            </w:r>
          </w:p>
        </w:tc>
        <w:tc>
          <w:tcPr>
            <w:tcW w:w="924" w:type="pct"/>
          </w:tcPr>
          <w:p w14:paraId="39623C74">
            <w:pPr>
              <w:spacing w:after="0" w:line="240" w:lineRule="auto"/>
              <w:rPr>
                <w:rFonts w:ascii="Times New Roman" w:hAnsi="Times New Roman" w:cs="Times New Roman"/>
                <w:sz w:val="20"/>
                <w:szCs w:val="20"/>
              </w:rPr>
            </w:pPr>
            <w:r>
              <w:rPr>
                <w:rFonts w:ascii="Times New Roman" w:hAnsi="Times New Roman" w:cs="Times New Roman"/>
                <w:sz w:val="20"/>
                <w:szCs w:val="20"/>
              </w:rPr>
              <w:t>0.0145</w:t>
            </w:r>
          </w:p>
        </w:tc>
        <w:tc>
          <w:tcPr>
            <w:tcW w:w="869" w:type="pct"/>
          </w:tcPr>
          <w:p w14:paraId="08B6037D">
            <w:pPr>
              <w:spacing w:after="0" w:line="240" w:lineRule="auto"/>
              <w:rPr>
                <w:rFonts w:ascii="Times New Roman" w:hAnsi="Times New Roman" w:cs="Times New Roman"/>
                <w:sz w:val="20"/>
                <w:szCs w:val="20"/>
              </w:rPr>
            </w:pPr>
            <w:r>
              <w:rPr>
                <w:rFonts w:ascii="Times New Roman" w:hAnsi="Times New Roman" w:cs="Times New Roman"/>
                <w:sz w:val="20"/>
                <w:szCs w:val="20"/>
              </w:rPr>
              <w:t>0.9040</w:t>
            </w:r>
          </w:p>
        </w:tc>
      </w:tr>
      <w:tr w14:paraId="562E8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112" w:type="pct"/>
            <w:tcBorders>
              <w:bottom w:val="single" w:color="auto" w:sz="4" w:space="0"/>
            </w:tcBorders>
          </w:tcPr>
          <w:p w14:paraId="13694E83">
            <w:pPr>
              <w:spacing w:after="0" w:line="240" w:lineRule="auto"/>
              <w:rPr>
                <w:rFonts w:ascii="Times New Roman" w:hAnsi="Times New Roman" w:cs="Times New Roman"/>
                <w:sz w:val="20"/>
                <w:szCs w:val="20"/>
              </w:rPr>
            </w:pPr>
            <w:r>
              <w:rPr>
                <w:rFonts w:ascii="Times New Roman" w:hAnsi="Times New Roman" w:cs="Times New Roman"/>
                <w:sz w:val="20"/>
                <w:szCs w:val="20"/>
              </w:rPr>
              <w:t>Age &lt; 45 years</w:t>
            </w:r>
          </w:p>
        </w:tc>
        <w:tc>
          <w:tcPr>
            <w:tcW w:w="1040" w:type="pct"/>
            <w:tcBorders>
              <w:bottom w:val="single" w:color="auto" w:sz="4" w:space="0"/>
            </w:tcBorders>
          </w:tcPr>
          <w:p w14:paraId="49F5AF56">
            <w:pPr>
              <w:spacing w:after="0" w:line="240" w:lineRule="auto"/>
              <w:rPr>
                <w:rFonts w:ascii="Times New Roman" w:hAnsi="Times New Roman" w:cs="Times New Roman"/>
                <w:sz w:val="20"/>
                <w:szCs w:val="20"/>
              </w:rPr>
            </w:pPr>
            <w:r>
              <w:rPr>
                <w:rFonts w:ascii="Times New Roman" w:hAnsi="Times New Roman" w:cs="Times New Roman"/>
                <w:sz w:val="20"/>
                <w:szCs w:val="20"/>
              </w:rPr>
              <w:t>301/367 (82.02%)</w:t>
            </w:r>
          </w:p>
        </w:tc>
        <w:tc>
          <w:tcPr>
            <w:tcW w:w="1055" w:type="pct"/>
            <w:tcBorders>
              <w:bottom w:val="single" w:color="auto" w:sz="4" w:space="0"/>
            </w:tcBorders>
          </w:tcPr>
          <w:p w14:paraId="71545579">
            <w:pPr>
              <w:spacing w:after="0" w:line="240" w:lineRule="auto"/>
              <w:rPr>
                <w:rFonts w:ascii="Times New Roman" w:hAnsi="Times New Roman" w:cs="Times New Roman"/>
                <w:sz w:val="20"/>
                <w:szCs w:val="20"/>
              </w:rPr>
            </w:pPr>
            <w:r>
              <w:rPr>
                <w:rFonts w:ascii="Times New Roman" w:hAnsi="Times New Roman" w:cs="Times New Roman"/>
                <w:sz w:val="20"/>
                <w:szCs w:val="20"/>
              </w:rPr>
              <w:t>524/632 (82.91%)</w:t>
            </w:r>
          </w:p>
        </w:tc>
        <w:tc>
          <w:tcPr>
            <w:tcW w:w="924" w:type="pct"/>
            <w:tcBorders>
              <w:bottom w:val="single" w:color="auto" w:sz="4" w:space="0"/>
            </w:tcBorders>
          </w:tcPr>
          <w:p w14:paraId="4B5FFDFD">
            <w:pPr>
              <w:spacing w:after="0" w:line="240" w:lineRule="auto"/>
              <w:rPr>
                <w:rFonts w:ascii="Times New Roman" w:hAnsi="Times New Roman" w:cs="Times New Roman"/>
                <w:sz w:val="20"/>
                <w:szCs w:val="20"/>
              </w:rPr>
            </w:pPr>
            <w:r>
              <w:rPr>
                <w:rFonts w:ascii="Times New Roman" w:hAnsi="Times New Roman" w:cs="Times New Roman"/>
                <w:sz w:val="20"/>
                <w:szCs w:val="20"/>
              </w:rPr>
              <w:t>0.0746</w:t>
            </w:r>
          </w:p>
        </w:tc>
        <w:tc>
          <w:tcPr>
            <w:tcW w:w="869" w:type="pct"/>
            <w:tcBorders>
              <w:bottom w:val="single" w:color="auto" w:sz="4" w:space="0"/>
            </w:tcBorders>
          </w:tcPr>
          <w:p w14:paraId="3C9FB6A4">
            <w:pPr>
              <w:keepNext/>
              <w:spacing w:after="0" w:line="240" w:lineRule="auto"/>
              <w:rPr>
                <w:rFonts w:ascii="Times New Roman" w:hAnsi="Times New Roman" w:cs="Times New Roman"/>
                <w:sz w:val="20"/>
                <w:szCs w:val="20"/>
              </w:rPr>
            </w:pPr>
            <w:r>
              <w:rPr>
                <w:rFonts w:ascii="Times New Roman" w:hAnsi="Times New Roman" w:cs="Times New Roman"/>
                <w:sz w:val="20"/>
                <w:szCs w:val="20"/>
              </w:rPr>
              <w:t>0.7848</w:t>
            </w:r>
          </w:p>
        </w:tc>
      </w:tr>
    </w:tbl>
    <w:p w14:paraId="514B8931">
      <w:pPr>
        <w:spacing w:line="240" w:lineRule="auto"/>
        <w:jc w:val="both"/>
        <w:rPr>
          <w:rFonts w:ascii="Times New Roman" w:hAnsi="Times New Roman" w:cs="Times New Roman"/>
        </w:rPr>
      </w:pPr>
      <w:r>
        <w:rPr>
          <w:rFonts w:ascii="Times New Roman" w:hAnsi="Times New Roman" w:eastAsia="黑体" w:cs="Times New Roman"/>
          <w:sz w:val="20"/>
          <w:szCs w:val="20"/>
        </w:rPr>
        <w:t>Note: Sensitivity analyses were conducted to evaluate whether the relatively broad age range (18–60 years) influenced the observed lack of sex differences in dyslipidemia. The full sample included all 1,380 patients with first-episode and drug-naïve anxious depression. Age-restricted analyses were then performed using two cutoffs (&lt;50 years and &lt;45 years). Values are presented as n/N (%), where n indicates the number of patients with dyslipidemia and N indicates the total number of male or female patients in the corresponding analysis set. Group differences were assessed using Pearson’s chi-squared test.</w:t>
      </w:r>
    </w:p>
    <w:p w14:paraId="59DAF61D">
      <w:pPr>
        <w:pStyle w:val="11"/>
        <w:keepNext/>
        <w:rPr>
          <w:rFonts w:ascii="Times New Roman" w:hAnsi="Times New Roman" w:cs="Times New Roman"/>
        </w:rPr>
      </w:pPr>
      <w:r>
        <w:rPr>
          <w:rFonts w:ascii="Times New Roman" w:hAnsi="Times New Roman" w:cs="Times New Roman"/>
        </w:rPr>
        <w:t>Table S</w:t>
      </w:r>
      <w:r>
        <w:rPr>
          <w:rFonts w:hint="eastAsia" w:ascii="Times New Roman" w:hAnsi="Times New Roman" w:cs="Times New Roman"/>
        </w:rPr>
        <w:t>2 Logistic regression analyses of the association between sex and dyslipidemia in the full and age-restricted samples</w:t>
      </w:r>
    </w:p>
    <w:tbl>
      <w:tblPr>
        <w:tblStyle w:val="17"/>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38"/>
        <w:gridCol w:w="1511"/>
        <w:gridCol w:w="1503"/>
        <w:gridCol w:w="1236"/>
        <w:gridCol w:w="969"/>
        <w:gridCol w:w="1249"/>
      </w:tblGrid>
      <w:tr w14:paraId="53982A4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38" w:type="dxa"/>
            <w:tcBorders>
              <w:top w:val="single" w:color="auto" w:sz="4" w:space="0"/>
              <w:bottom w:val="single" w:color="auto" w:sz="4" w:space="0"/>
            </w:tcBorders>
          </w:tcPr>
          <w:p w14:paraId="4020A428">
            <w:pPr>
              <w:spacing w:after="0" w:line="240" w:lineRule="auto"/>
              <w:rPr>
                <w:rFonts w:ascii="Times New Roman" w:hAnsi="Times New Roman" w:cs="Times New Roman"/>
                <w:b/>
                <w:bCs/>
                <w:sz w:val="20"/>
                <w:szCs w:val="20"/>
              </w:rPr>
            </w:pPr>
            <w:r>
              <w:rPr>
                <w:rFonts w:ascii="Times New Roman" w:hAnsi="Times New Roman" w:cs="Times New Roman"/>
                <w:sz w:val="20"/>
                <w:szCs w:val="20"/>
              </w:rPr>
              <w:t>Analysis set</w:t>
            </w:r>
          </w:p>
        </w:tc>
        <w:tc>
          <w:tcPr>
            <w:tcW w:w="1511" w:type="dxa"/>
            <w:tcBorders>
              <w:top w:val="single" w:color="auto" w:sz="4" w:space="0"/>
              <w:bottom w:val="single" w:color="auto" w:sz="4" w:space="0"/>
            </w:tcBorders>
          </w:tcPr>
          <w:p w14:paraId="3F466268">
            <w:pPr>
              <w:spacing w:after="0" w:line="240" w:lineRule="auto"/>
              <w:rPr>
                <w:rFonts w:ascii="Times New Roman" w:hAnsi="Times New Roman" w:cs="Times New Roman"/>
                <w:b/>
                <w:bCs/>
                <w:sz w:val="20"/>
                <w:szCs w:val="20"/>
              </w:rPr>
            </w:pPr>
            <w:r>
              <w:rPr>
                <w:rFonts w:ascii="Times New Roman" w:hAnsi="Times New Roman" w:cs="Times New Roman"/>
                <w:sz w:val="20"/>
                <w:szCs w:val="20"/>
              </w:rPr>
              <w:t>Model</w:t>
            </w:r>
          </w:p>
        </w:tc>
        <w:tc>
          <w:tcPr>
            <w:tcW w:w="1503" w:type="dxa"/>
            <w:tcBorders>
              <w:top w:val="single" w:color="auto" w:sz="4" w:space="0"/>
              <w:bottom w:val="single" w:color="auto" w:sz="4" w:space="0"/>
            </w:tcBorders>
          </w:tcPr>
          <w:p w14:paraId="0A39FB63">
            <w:pPr>
              <w:spacing w:after="0" w:line="240" w:lineRule="auto"/>
              <w:rPr>
                <w:rFonts w:ascii="Times New Roman" w:hAnsi="Times New Roman" w:cs="Times New Roman"/>
                <w:b/>
                <w:bCs/>
                <w:sz w:val="20"/>
                <w:szCs w:val="20"/>
              </w:rPr>
            </w:pPr>
            <w:r>
              <w:rPr>
                <w:rFonts w:ascii="Times New Roman" w:hAnsi="Times New Roman" w:cs="Times New Roman"/>
                <w:sz w:val="20"/>
                <w:szCs w:val="20"/>
              </w:rPr>
              <w:t>OR</w:t>
            </w:r>
          </w:p>
        </w:tc>
        <w:tc>
          <w:tcPr>
            <w:tcW w:w="1236" w:type="dxa"/>
            <w:tcBorders>
              <w:top w:val="single" w:color="auto" w:sz="4" w:space="0"/>
              <w:bottom w:val="single" w:color="auto" w:sz="4" w:space="0"/>
            </w:tcBorders>
          </w:tcPr>
          <w:p w14:paraId="6D6DC301">
            <w:pPr>
              <w:spacing w:after="0" w:line="240" w:lineRule="auto"/>
              <w:rPr>
                <w:rFonts w:ascii="Times New Roman" w:hAnsi="Times New Roman" w:cs="Times New Roman"/>
                <w:b/>
                <w:bCs/>
                <w:sz w:val="20"/>
                <w:szCs w:val="20"/>
              </w:rPr>
            </w:pPr>
            <w:r>
              <w:rPr>
                <w:rFonts w:ascii="Times New Roman" w:hAnsi="Times New Roman" w:cs="Times New Roman"/>
                <w:sz w:val="20"/>
                <w:szCs w:val="20"/>
              </w:rPr>
              <w:t>95% CI lower</w:t>
            </w:r>
          </w:p>
        </w:tc>
        <w:tc>
          <w:tcPr>
            <w:tcW w:w="969" w:type="dxa"/>
            <w:tcBorders>
              <w:top w:val="single" w:color="auto" w:sz="4" w:space="0"/>
              <w:bottom w:val="single" w:color="auto" w:sz="4" w:space="0"/>
            </w:tcBorders>
          </w:tcPr>
          <w:p w14:paraId="26DEE67D">
            <w:pPr>
              <w:spacing w:after="0" w:line="240" w:lineRule="auto"/>
              <w:rPr>
                <w:rFonts w:ascii="Times New Roman" w:hAnsi="Times New Roman" w:cs="Times New Roman"/>
                <w:b/>
                <w:bCs/>
                <w:sz w:val="20"/>
                <w:szCs w:val="20"/>
              </w:rPr>
            </w:pPr>
            <w:r>
              <w:rPr>
                <w:rFonts w:ascii="Times New Roman" w:hAnsi="Times New Roman" w:cs="Times New Roman"/>
                <w:sz w:val="20"/>
                <w:szCs w:val="20"/>
              </w:rPr>
              <w:t>95% CI upper</w:t>
            </w:r>
          </w:p>
        </w:tc>
        <w:tc>
          <w:tcPr>
            <w:tcW w:w="1249" w:type="dxa"/>
            <w:tcBorders>
              <w:top w:val="single" w:color="auto" w:sz="4" w:space="0"/>
              <w:bottom w:val="single" w:color="auto" w:sz="4" w:space="0"/>
            </w:tcBorders>
          </w:tcPr>
          <w:p w14:paraId="503D1D41">
            <w:pPr>
              <w:spacing w:after="0" w:line="240" w:lineRule="auto"/>
              <w:rPr>
                <w:rFonts w:ascii="Times New Roman" w:hAnsi="Times New Roman" w:cs="Times New Roman"/>
                <w:b/>
                <w:bCs/>
                <w:sz w:val="20"/>
                <w:szCs w:val="20"/>
              </w:rPr>
            </w:pPr>
            <w:r>
              <w:rPr>
                <w:rFonts w:ascii="Times New Roman" w:hAnsi="Times New Roman" w:cs="Times New Roman"/>
                <w:sz w:val="20"/>
                <w:szCs w:val="20"/>
              </w:rPr>
              <w:t>P value</w:t>
            </w:r>
          </w:p>
        </w:tc>
      </w:tr>
      <w:tr w14:paraId="5E741FD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838" w:type="dxa"/>
            <w:tcBorders>
              <w:top w:val="single" w:color="auto" w:sz="4" w:space="0"/>
            </w:tcBorders>
          </w:tcPr>
          <w:p w14:paraId="0F9A62E0">
            <w:pPr>
              <w:spacing w:after="0" w:line="240" w:lineRule="auto"/>
              <w:rPr>
                <w:rFonts w:ascii="Times New Roman" w:hAnsi="Times New Roman" w:cs="Times New Roman"/>
                <w:sz w:val="20"/>
                <w:szCs w:val="20"/>
              </w:rPr>
            </w:pPr>
            <w:r>
              <w:rPr>
                <w:rFonts w:ascii="Times New Roman" w:hAnsi="Times New Roman" w:cs="Times New Roman"/>
                <w:sz w:val="20"/>
                <w:szCs w:val="20"/>
              </w:rPr>
              <w:t>Full sample</w:t>
            </w:r>
          </w:p>
        </w:tc>
        <w:tc>
          <w:tcPr>
            <w:tcW w:w="1511" w:type="dxa"/>
            <w:tcBorders>
              <w:top w:val="single" w:color="auto" w:sz="4" w:space="0"/>
            </w:tcBorders>
          </w:tcPr>
          <w:p w14:paraId="30CFDBA1">
            <w:pPr>
              <w:spacing w:after="0" w:line="240" w:lineRule="auto"/>
              <w:rPr>
                <w:rFonts w:ascii="Times New Roman" w:hAnsi="Times New Roman" w:cs="Times New Roman"/>
                <w:sz w:val="20"/>
                <w:szCs w:val="20"/>
              </w:rPr>
            </w:pPr>
            <w:r>
              <w:rPr>
                <w:rFonts w:ascii="Times New Roman" w:hAnsi="Times New Roman" w:cs="Times New Roman"/>
                <w:sz w:val="20"/>
                <w:szCs w:val="20"/>
              </w:rPr>
              <w:t>Unadjusted</w:t>
            </w:r>
          </w:p>
        </w:tc>
        <w:tc>
          <w:tcPr>
            <w:tcW w:w="1503" w:type="dxa"/>
            <w:tcBorders>
              <w:top w:val="single" w:color="auto" w:sz="4" w:space="0"/>
            </w:tcBorders>
          </w:tcPr>
          <w:p w14:paraId="3129886E">
            <w:pPr>
              <w:spacing w:after="0" w:line="240" w:lineRule="auto"/>
              <w:rPr>
                <w:rFonts w:ascii="Times New Roman" w:hAnsi="Times New Roman" w:cs="Times New Roman"/>
                <w:sz w:val="20"/>
                <w:szCs w:val="20"/>
              </w:rPr>
            </w:pPr>
            <w:r>
              <w:rPr>
                <w:rFonts w:ascii="Times New Roman" w:hAnsi="Times New Roman" w:cs="Times New Roman"/>
                <w:sz w:val="20"/>
                <w:szCs w:val="20"/>
              </w:rPr>
              <w:t>0.9738</w:t>
            </w:r>
          </w:p>
        </w:tc>
        <w:tc>
          <w:tcPr>
            <w:tcW w:w="1236" w:type="dxa"/>
            <w:tcBorders>
              <w:top w:val="single" w:color="auto" w:sz="4" w:space="0"/>
            </w:tcBorders>
          </w:tcPr>
          <w:p w14:paraId="2163AEBE">
            <w:pPr>
              <w:spacing w:after="0" w:line="240" w:lineRule="auto"/>
              <w:rPr>
                <w:rFonts w:ascii="Times New Roman" w:hAnsi="Times New Roman" w:cs="Times New Roman"/>
                <w:sz w:val="20"/>
                <w:szCs w:val="20"/>
              </w:rPr>
            </w:pPr>
            <w:r>
              <w:rPr>
                <w:rFonts w:ascii="Times New Roman" w:hAnsi="Times New Roman" w:cs="Times New Roman"/>
                <w:sz w:val="20"/>
                <w:szCs w:val="20"/>
              </w:rPr>
              <w:t>0.7185</w:t>
            </w:r>
          </w:p>
        </w:tc>
        <w:tc>
          <w:tcPr>
            <w:tcW w:w="969" w:type="dxa"/>
            <w:tcBorders>
              <w:top w:val="single" w:color="auto" w:sz="4" w:space="0"/>
            </w:tcBorders>
          </w:tcPr>
          <w:p w14:paraId="08336D25">
            <w:pPr>
              <w:spacing w:after="0" w:line="240" w:lineRule="auto"/>
              <w:rPr>
                <w:rFonts w:ascii="Times New Roman" w:hAnsi="Times New Roman" w:cs="Times New Roman"/>
                <w:sz w:val="20"/>
                <w:szCs w:val="20"/>
              </w:rPr>
            </w:pPr>
            <w:r>
              <w:rPr>
                <w:rFonts w:ascii="Times New Roman" w:hAnsi="Times New Roman" w:cs="Times New Roman"/>
                <w:sz w:val="20"/>
                <w:szCs w:val="20"/>
              </w:rPr>
              <w:t>1.3112</w:t>
            </w:r>
          </w:p>
        </w:tc>
        <w:tc>
          <w:tcPr>
            <w:tcW w:w="1249" w:type="dxa"/>
            <w:tcBorders>
              <w:top w:val="single" w:color="auto" w:sz="4" w:space="0"/>
            </w:tcBorders>
          </w:tcPr>
          <w:p w14:paraId="37EEC7CF">
            <w:pPr>
              <w:spacing w:after="0" w:line="240" w:lineRule="auto"/>
              <w:rPr>
                <w:rFonts w:ascii="Times New Roman" w:hAnsi="Times New Roman" w:cs="Times New Roman"/>
                <w:sz w:val="20"/>
                <w:szCs w:val="20"/>
              </w:rPr>
            </w:pPr>
            <w:r>
              <w:rPr>
                <w:rFonts w:ascii="Times New Roman" w:hAnsi="Times New Roman" w:cs="Times New Roman"/>
                <w:sz w:val="20"/>
                <w:szCs w:val="20"/>
              </w:rPr>
              <w:t>0.8620</w:t>
            </w:r>
          </w:p>
        </w:tc>
      </w:tr>
      <w:tr w14:paraId="311CD8A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838" w:type="dxa"/>
          </w:tcPr>
          <w:p w14:paraId="27F6A4E5">
            <w:pPr>
              <w:spacing w:after="0" w:line="240" w:lineRule="auto"/>
              <w:rPr>
                <w:rFonts w:ascii="Times New Roman" w:hAnsi="Times New Roman" w:cs="Times New Roman"/>
                <w:sz w:val="20"/>
                <w:szCs w:val="20"/>
              </w:rPr>
            </w:pPr>
            <w:r>
              <w:rPr>
                <w:rFonts w:ascii="Times New Roman" w:hAnsi="Times New Roman" w:cs="Times New Roman"/>
                <w:sz w:val="20"/>
                <w:szCs w:val="20"/>
              </w:rPr>
              <w:t>Full sample</w:t>
            </w:r>
          </w:p>
        </w:tc>
        <w:tc>
          <w:tcPr>
            <w:tcW w:w="1511" w:type="dxa"/>
          </w:tcPr>
          <w:p w14:paraId="3C20AF99">
            <w:pPr>
              <w:spacing w:after="0" w:line="240" w:lineRule="auto"/>
              <w:rPr>
                <w:rFonts w:ascii="Times New Roman" w:hAnsi="Times New Roman" w:cs="Times New Roman"/>
                <w:sz w:val="20"/>
                <w:szCs w:val="20"/>
              </w:rPr>
            </w:pPr>
            <w:r>
              <w:rPr>
                <w:rFonts w:ascii="Times New Roman" w:hAnsi="Times New Roman" w:cs="Times New Roman"/>
                <w:sz w:val="20"/>
                <w:szCs w:val="20"/>
              </w:rPr>
              <w:t>Adjusted for Age, HAMD, TSH</w:t>
            </w:r>
          </w:p>
        </w:tc>
        <w:tc>
          <w:tcPr>
            <w:tcW w:w="1503" w:type="dxa"/>
          </w:tcPr>
          <w:p w14:paraId="4CFD4238">
            <w:pPr>
              <w:spacing w:after="0" w:line="240" w:lineRule="auto"/>
              <w:rPr>
                <w:rFonts w:ascii="Times New Roman" w:hAnsi="Times New Roman" w:cs="Times New Roman"/>
                <w:sz w:val="20"/>
                <w:szCs w:val="20"/>
              </w:rPr>
            </w:pPr>
            <w:r>
              <w:rPr>
                <w:rFonts w:ascii="Times New Roman" w:hAnsi="Times New Roman" w:cs="Times New Roman"/>
                <w:sz w:val="20"/>
                <w:szCs w:val="20"/>
              </w:rPr>
              <w:t>0.9130</w:t>
            </w:r>
          </w:p>
        </w:tc>
        <w:tc>
          <w:tcPr>
            <w:tcW w:w="1236" w:type="dxa"/>
          </w:tcPr>
          <w:p w14:paraId="2AE23CAE">
            <w:pPr>
              <w:spacing w:after="0" w:line="240" w:lineRule="auto"/>
              <w:rPr>
                <w:rFonts w:ascii="Times New Roman" w:hAnsi="Times New Roman" w:cs="Times New Roman"/>
                <w:sz w:val="20"/>
                <w:szCs w:val="20"/>
              </w:rPr>
            </w:pPr>
            <w:r>
              <w:rPr>
                <w:rFonts w:ascii="Times New Roman" w:hAnsi="Times New Roman" w:cs="Times New Roman"/>
                <w:sz w:val="20"/>
                <w:szCs w:val="20"/>
              </w:rPr>
              <w:t>0.6606</w:t>
            </w:r>
          </w:p>
        </w:tc>
        <w:tc>
          <w:tcPr>
            <w:tcW w:w="969" w:type="dxa"/>
          </w:tcPr>
          <w:p w14:paraId="443EACFD">
            <w:pPr>
              <w:spacing w:after="0" w:line="240" w:lineRule="auto"/>
              <w:rPr>
                <w:rFonts w:ascii="Times New Roman" w:hAnsi="Times New Roman" w:cs="Times New Roman"/>
                <w:sz w:val="20"/>
                <w:szCs w:val="20"/>
              </w:rPr>
            </w:pPr>
            <w:r>
              <w:rPr>
                <w:rFonts w:ascii="Times New Roman" w:hAnsi="Times New Roman" w:cs="Times New Roman"/>
                <w:sz w:val="20"/>
                <w:szCs w:val="20"/>
              </w:rPr>
              <w:t>1.2539</w:t>
            </w:r>
          </w:p>
        </w:tc>
        <w:tc>
          <w:tcPr>
            <w:tcW w:w="1249" w:type="dxa"/>
          </w:tcPr>
          <w:p w14:paraId="337F2E38">
            <w:pPr>
              <w:spacing w:after="0" w:line="240" w:lineRule="auto"/>
              <w:rPr>
                <w:rFonts w:ascii="Times New Roman" w:hAnsi="Times New Roman" w:cs="Times New Roman"/>
                <w:sz w:val="20"/>
                <w:szCs w:val="20"/>
              </w:rPr>
            </w:pPr>
            <w:r>
              <w:rPr>
                <w:rFonts w:ascii="Times New Roman" w:hAnsi="Times New Roman" w:cs="Times New Roman"/>
                <w:sz w:val="20"/>
                <w:szCs w:val="20"/>
              </w:rPr>
              <w:t>0.5770</w:t>
            </w:r>
          </w:p>
        </w:tc>
      </w:tr>
      <w:tr w14:paraId="53B1CF7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838" w:type="dxa"/>
          </w:tcPr>
          <w:p w14:paraId="3AB19036">
            <w:pPr>
              <w:spacing w:after="0" w:line="240" w:lineRule="auto"/>
              <w:rPr>
                <w:rFonts w:ascii="Times New Roman" w:hAnsi="Times New Roman" w:cs="Times New Roman"/>
                <w:sz w:val="20"/>
                <w:szCs w:val="20"/>
              </w:rPr>
            </w:pPr>
            <w:r>
              <w:rPr>
                <w:rFonts w:ascii="Times New Roman" w:hAnsi="Times New Roman" w:cs="Times New Roman"/>
                <w:sz w:val="20"/>
                <w:szCs w:val="20"/>
              </w:rPr>
              <w:t>Age &lt; 50 years</w:t>
            </w:r>
          </w:p>
        </w:tc>
        <w:tc>
          <w:tcPr>
            <w:tcW w:w="1511" w:type="dxa"/>
          </w:tcPr>
          <w:p w14:paraId="48F62AE7">
            <w:pPr>
              <w:spacing w:after="0" w:line="240" w:lineRule="auto"/>
              <w:rPr>
                <w:rFonts w:ascii="Times New Roman" w:hAnsi="Times New Roman" w:cs="Times New Roman"/>
                <w:sz w:val="20"/>
                <w:szCs w:val="20"/>
              </w:rPr>
            </w:pPr>
            <w:r>
              <w:rPr>
                <w:rFonts w:ascii="Times New Roman" w:hAnsi="Times New Roman" w:cs="Times New Roman"/>
                <w:sz w:val="20"/>
                <w:szCs w:val="20"/>
              </w:rPr>
              <w:t>Unadjusted</w:t>
            </w:r>
          </w:p>
        </w:tc>
        <w:tc>
          <w:tcPr>
            <w:tcW w:w="1503" w:type="dxa"/>
          </w:tcPr>
          <w:p w14:paraId="26D8BE1B">
            <w:pPr>
              <w:spacing w:after="0" w:line="240" w:lineRule="auto"/>
              <w:rPr>
                <w:rFonts w:ascii="Times New Roman" w:hAnsi="Times New Roman" w:cs="Times New Roman"/>
                <w:sz w:val="20"/>
                <w:szCs w:val="20"/>
              </w:rPr>
            </w:pPr>
            <w:r>
              <w:rPr>
                <w:rFonts w:ascii="Times New Roman" w:hAnsi="Times New Roman" w:cs="Times New Roman"/>
                <w:sz w:val="20"/>
                <w:szCs w:val="20"/>
              </w:rPr>
              <w:t>0.9680</w:t>
            </w:r>
          </w:p>
        </w:tc>
        <w:tc>
          <w:tcPr>
            <w:tcW w:w="1236" w:type="dxa"/>
          </w:tcPr>
          <w:p w14:paraId="6401D1A5">
            <w:pPr>
              <w:spacing w:after="0" w:line="240" w:lineRule="auto"/>
              <w:rPr>
                <w:rFonts w:ascii="Times New Roman" w:hAnsi="Times New Roman" w:cs="Times New Roman"/>
                <w:sz w:val="20"/>
                <w:szCs w:val="20"/>
              </w:rPr>
            </w:pPr>
            <w:r>
              <w:rPr>
                <w:rFonts w:ascii="Times New Roman" w:hAnsi="Times New Roman" w:cs="Times New Roman"/>
                <w:sz w:val="20"/>
                <w:szCs w:val="20"/>
              </w:rPr>
              <w:t>0.7029</w:t>
            </w:r>
          </w:p>
        </w:tc>
        <w:tc>
          <w:tcPr>
            <w:tcW w:w="969" w:type="dxa"/>
          </w:tcPr>
          <w:p w14:paraId="34D49DDB">
            <w:pPr>
              <w:spacing w:after="0" w:line="240" w:lineRule="auto"/>
              <w:rPr>
                <w:rFonts w:ascii="Times New Roman" w:hAnsi="Times New Roman" w:cs="Times New Roman"/>
                <w:sz w:val="20"/>
                <w:szCs w:val="20"/>
              </w:rPr>
            </w:pPr>
            <w:r>
              <w:rPr>
                <w:rFonts w:ascii="Times New Roman" w:hAnsi="Times New Roman" w:cs="Times New Roman"/>
                <w:sz w:val="20"/>
                <w:szCs w:val="20"/>
              </w:rPr>
              <w:t>1.3249</w:t>
            </w:r>
          </w:p>
        </w:tc>
        <w:tc>
          <w:tcPr>
            <w:tcW w:w="1249" w:type="dxa"/>
          </w:tcPr>
          <w:p w14:paraId="5BB89826">
            <w:pPr>
              <w:spacing w:after="0" w:line="240" w:lineRule="auto"/>
              <w:rPr>
                <w:rFonts w:ascii="Times New Roman" w:hAnsi="Times New Roman" w:cs="Times New Roman"/>
                <w:sz w:val="20"/>
                <w:szCs w:val="20"/>
              </w:rPr>
            </w:pPr>
            <w:r>
              <w:rPr>
                <w:rFonts w:ascii="Times New Roman" w:hAnsi="Times New Roman" w:cs="Times New Roman"/>
                <w:sz w:val="20"/>
                <w:szCs w:val="20"/>
              </w:rPr>
              <w:t>0.8410</w:t>
            </w:r>
          </w:p>
        </w:tc>
      </w:tr>
      <w:tr w14:paraId="2611DED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838" w:type="dxa"/>
          </w:tcPr>
          <w:p w14:paraId="67718E2D">
            <w:pPr>
              <w:spacing w:after="0" w:line="240" w:lineRule="auto"/>
              <w:rPr>
                <w:rFonts w:ascii="Times New Roman" w:hAnsi="Times New Roman" w:cs="Times New Roman"/>
                <w:sz w:val="20"/>
                <w:szCs w:val="20"/>
              </w:rPr>
            </w:pPr>
            <w:r>
              <w:rPr>
                <w:rFonts w:ascii="Times New Roman" w:hAnsi="Times New Roman" w:cs="Times New Roman"/>
                <w:sz w:val="20"/>
                <w:szCs w:val="20"/>
              </w:rPr>
              <w:t>Age &lt; 50 years</w:t>
            </w:r>
          </w:p>
        </w:tc>
        <w:tc>
          <w:tcPr>
            <w:tcW w:w="1511" w:type="dxa"/>
          </w:tcPr>
          <w:p w14:paraId="0A685527">
            <w:pPr>
              <w:spacing w:after="0" w:line="240" w:lineRule="auto"/>
              <w:rPr>
                <w:rFonts w:ascii="Times New Roman" w:hAnsi="Times New Roman" w:cs="Times New Roman"/>
                <w:sz w:val="20"/>
                <w:szCs w:val="20"/>
              </w:rPr>
            </w:pPr>
            <w:r>
              <w:rPr>
                <w:rFonts w:ascii="Times New Roman" w:hAnsi="Times New Roman" w:cs="Times New Roman"/>
                <w:sz w:val="20"/>
                <w:szCs w:val="20"/>
              </w:rPr>
              <w:t>Adjusted for Age, HAMD, TSH</w:t>
            </w:r>
          </w:p>
        </w:tc>
        <w:tc>
          <w:tcPr>
            <w:tcW w:w="1503" w:type="dxa"/>
          </w:tcPr>
          <w:p w14:paraId="5F9775DC">
            <w:pPr>
              <w:spacing w:after="0" w:line="240" w:lineRule="auto"/>
              <w:rPr>
                <w:rFonts w:ascii="Times New Roman" w:hAnsi="Times New Roman" w:cs="Times New Roman"/>
                <w:sz w:val="20"/>
                <w:szCs w:val="20"/>
              </w:rPr>
            </w:pPr>
            <w:r>
              <w:rPr>
                <w:rFonts w:ascii="Times New Roman" w:hAnsi="Times New Roman" w:cs="Times New Roman"/>
                <w:sz w:val="20"/>
                <w:szCs w:val="20"/>
              </w:rPr>
              <w:t>0.9283</w:t>
            </w:r>
          </w:p>
        </w:tc>
        <w:tc>
          <w:tcPr>
            <w:tcW w:w="1236" w:type="dxa"/>
          </w:tcPr>
          <w:p w14:paraId="509157B5">
            <w:pPr>
              <w:spacing w:after="0" w:line="240" w:lineRule="auto"/>
              <w:rPr>
                <w:rFonts w:ascii="Times New Roman" w:hAnsi="Times New Roman" w:cs="Times New Roman"/>
                <w:sz w:val="20"/>
                <w:szCs w:val="20"/>
              </w:rPr>
            </w:pPr>
            <w:r>
              <w:rPr>
                <w:rFonts w:ascii="Times New Roman" w:hAnsi="Times New Roman" w:cs="Times New Roman"/>
                <w:sz w:val="20"/>
                <w:szCs w:val="20"/>
              </w:rPr>
              <w:t>0.6601</w:t>
            </w:r>
          </w:p>
        </w:tc>
        <w:tc>
          <w:tcPr>
            <w:tcW w:w="969" w:type="dxa"/>
          </w:tcPr>
          <w:p w14:paraId="72DE8BF9">
            <w:pPr>
              <w:spacing w:after="0" w:line="240" w:lineRule="auto"/>
              <w:rPr>
                <w:rFonts w:ascii="Times New Roman" w:hAnsi="Times New Roman" w:cs="Times New Roman"/>
                <w:sz w:val="20"/>
                <w:szCs w:val="20"/>
              </w:rPr>
            </w:pPr>
            <w:r>
              <w:rPr>
                <w:rFonts w:ascii="Times New Roman" w:hAnsi="Times New Roman" w:cs="Times New Roman"/>
                <w:sz w:val="20"/>
                <w:szCs w:val="20"/>
              </w:rPr>
              <w:t>1.2976</w:t>
            </w:r>
          </w:p>
        </w:tc>
        <w:tc>
          <w:tcPr>
            <w:tcW w:w="1249" w:type="dxa"/>
          </w:tcPr>
          <w:p w14:paraId="5EACCBC3">
            <w:pPr>
              <w:spacing w:after="0" w:line="240" w:lineRule="auto"/>
              <w:rPr>
                <w:rFonts w:ascii="Times New Roman" w:hAnsi="Times New Roman" w:cs="Times New Roman"/>
                <w:sz w:val="20"/>
                <w:szCs w:val="20"/>
              </w:rPr>
            </w:pPr>
            <w:r>
              <w:rPr>
                <w:rFonts w:ascii="Times New Roman" w:hAnsi="Times New Roman" w:cs="Times New Roman"/>
                <w:sz w:val="20"/>
                <w:szCs w:val="20"/>
              </w:rPr>
              <w:t>0.6660</w:t>
            </w:r>
          </w:p>
        </w:tc>
      </w:tr>
      <w:tr w14:paraId="48E1F52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838" w:type="dxa"/>
          </w:tcPr>
          <w:p w14:paraId="169FBB20">
            <w:pPr>
              <w:spacing w:after="0" w:line="240" w:lineRule="auto"/>
              <w:rPr>
                <w:rFonts w:ascii="Times New Roman" w:hAnsi="Times New Roman" w:cs="Times New Roman"/>
                <w:sz w:val="20"/>
                <w:szCs w:val="20"/>
              </w:rPr>
            </w:pPr>
            <w:r>
              <w:rPr>
                <w:rFonts w:ascii="Times New Roman" w:hAnsi="Times New Roman" w:cs="Times New Roman"/>
                <w:sz w:val="20"/>
                <w:szCs w:val="20"/>
              </w:rPr>
              <w:t>Age &lt; 45 years</w:t>
            </w:r>
          </w:p>
        </w:tc>
        <w:tc>
          <w:tcPr>
            <w:tcW w:w="1511" w:type="dxa"/>
          </w:tcPr>
          <w:p w14:paraId="08DA7140">
            <w:pPr>
              <w:spacing w:after="0" w:line="240" w:lineRule="auto"/>
              <w:rPr>
                <w:rFonts w:ascii="Times New Roman" w:hAnsi="Times New Roman" w:cs="Times New Roman"/>
                <w:sz w:val="20"/>
                <w:szCs w:val="20"/>
              </w:rPr>
            </w:pPr>
            <w:r>
              <w:rPr>
                <w:rFonts w:ascii="Times New Roman" w:hAnsi="Times New Roman" w:cs="Times New Roman"/>
                <w:sz w:val="20"/>
                <w:szCs w:val="20"/>
              </w:rPr>
              <w:t>Unadjusted</w:t>
            </w:r>
          </w:p>
        </w:tc>
        <w:tc>
          <w:tcPr>
            <w:tcW w:w="1503" w:type="dxa"/>
          </w:tcPr>
          <w:p w14:paraId="3F3767B0">
            <w:pPr>
              <w:spacing w:after="0" w:line="240" w:lineRule="auto"/>
              <w:rPr>
                <w:rFonts w:ascii="Times New Roman" w:hAnsi="Times New Roman" w:cs="Times New Roman"/>
                <w:sz w:val="20"/>
                <w:szCs w:val="20"/>
              </w:rPr>
            </w:pPr>
            <w:r>
              <w:rPr>
                <w:rFonts w:ascii="Times New Roman" w:hAnsi="Times New Roman" w:cs="Times New Roman"/>
                <w:sz w:val="20"/>
                <w:szCs w:val="20"/>
              </w:rPr>
              <w:t>1.0639</w:t>
            </w:r>
          </w:p>
        </w:tc>
        <w:tc>
          <w:tcPr>
            <w:tcW w:w="1236" w:type="dxa"/>
          </w:tcPr>
          <w:p w14:paraId="4B9190B2">
            <w:pPr>
              <w:spacing w:after="0" w:line="240" w:lineRule="auto"/>
              <w:rPr>
                <w:rFonts w:ascii="Times New Roman" w:hAnsi="Times New Roman" w:cs="Times New Roman"/>
                <w:sz w:val="20"/>
                <w:szCs w:val="20"/>
              </w:rPr>
            </w:pPr>
            <w:r>
              <w:rPr>
                <w:rFonts w:ascii="Times New Roman" w:hAnsi="Times New Roman" w:cs="Times New Roman"/>
                <w:sz w:val="20"/>
                <w:szCs w:val="20"/>
              </w:rPr>
              <w:t>0.7566</w:t>
            </w:r>
          </w:p>
        </w:tc>
        <w:tc>
          <w:tcPr>
            <w:tcW w:w="969" w:type="dxa"/>
          </w:tcPr>
          <w:p w14:paraId="2A68DAA0">
            <w:pPr>
              <w:spacing w:after="0" w:line="240" w:lineRule="auto"/>
              <w:rPr>
                <w:rFonts w:ascii="Times New Roman" w:hAnsi="Times New Roman" w:cs="Times New Roman"/>
                <w:sz w:val="20"/>
                <w:szCs w:val="20"/>
              </w:rPr>
            </w:pPr>
            <w:r>
              <w:rPr>
                <w:rFonts w:ascii="Times New Roman" w:hAnsi="Times New Roman" w:cs="Times New Roman"/>
                <w:sz w:val="20"/>
                <w:szCs w:val="20"/>
              </w:rPr>
              <w:t>1.4872</w:t>
            </w:r>
          </w:p>
        </w:tc>
        <w:tc>
          <w:tcPr>
            <w:tcW w:w="1249" w:type="dxa"/>
          </w:tcPr>
          <w:p w14:paraId="1397FD6D">
            <w:pPr>
              <w:spacing w:after="0" w:line="240" w:lineRule="auto"/>
              <w:rPr>
                <w:rFonts w:ascii="Times New Roman" w:hAnsi="Times New Roman" w:cs="Times New Roman"/>
                <w:sz w:val="20"/>
                <w:szCs w:val="20"/>
              </w:rPr>
            </w:pPr>
            <w:r>
              <w:rPr>
                <w:rFonts w:ascii="Times New Roman" w:hAnsi="Times New Roman" w:cs="Times New Roman"/>
                <w:sz w:val="20"/>
                <w:szCs w:val="20"/>
              </w:rPr>
              <w:t>0.7190</w:t>
            </w:r>
          </w:p>
        </w:tc>
      </w:tr>
      <w:tr w14:paraId="282F97D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838" w:type="dxa"/>
          </w:tcPr>
          <w:p w14:paraId="1F866F46">
            <w:pPr>
              <w:spacing w:after="0" w:line="240" w:lineRule="auto"/>
              <w:rPr>
                <w:rFonts w:ascii="Times New Roman" w:hAnsi="Times New Roman" w:cs="Times New Roman"/>
                <w:sz w:val="20"/>
                <w:szCs w:val="20"/>
              </w:rPr>
            </w:pPr>
            <w:r>
              <w:rPr>
                <w:rFonts w:ascii="Times New Roman" w:hAnsi="Times New Roman" w:cs="Times New Roman"/>
                <w:sz w:val="20"/>
                <w:szCs w:val="20"/>
              </w:rPr>
              <w:t>Age &lt; 45 years</w:t>
            </w:r>
          </w:p>
        </w:tc>
        <w:tc>
          <w:tcPr>
            <w:tcW w:w="1511" w:type="dxa"/>
          </w:tcPr>
          <w:p w14:paraId="03679A50">
            <w:pPr>
              <w:spacing w:after="0" w:line="240" w:lineRule="auto"/>
              <w:rPr>
                <w:rFonts w:ascii="Times New Roman" w:hAnsi="Times New Roman" w:cs="Times New Roman"/>
                <w:sz w:val="20"/>
                <w:szCs w:val="20"/>
              </w:rPr>
            </w:pPr>
            <w:r>
              <w:rPr>
                <w:rFonts w:ascii="Times New Roman" w:hAnsi="Times New Roman" w:cs="Times New Roman"/>
                <w:sz w:val="20"/>
                <w:szCs w:val="20"/>
              </w:rPr>
              <w:t>Adjusted for Age, HAMD, TSH</w:t>
            </w:r>
          </w:p>
        </w:tc>
        <w:tc>
          <w:tcPr>
            <w:tcW w:w="1503" w:type="dxa"/>
          </w:tcPr>
          <w:p w14:paraId="3897A649">
            <w:pPr>
              <w:spacing w:after="0" w:line="240" w:lineRule="auto"/>
              <w:rPr>
                <w:rFonts w:ascii="Times New Roman" w:hAnsi="Times New Roman" w:cs="Times New Roman"/>
                <w:sz w:val="20"/>
                <w:szCs w:val="20"/>
              </w:rPr>
            </w:pPr>
            <w:r>
              <w:rPr>
                <w:rFonts w:ascii="Times New Roman" w:hAnsi="Times New Roman" w:cs="Times New Roman"/>
                <w:sz w:val="20"/>
                <w:szCs w:val="20"/>
              </w:rPr>
              <w:t>1.0448</w:t>
            </w:r>
          </w:p>
        </w:tc>
        <w:tc>
          <w:tcPr>
            <w:tcW w:w="1236" w:type="dxa"/>
          </w:tcPr>
          <w:p w14:paraId="2CD31357">
            <w:pPr>
              <w:spacing w:after="0" w:line="240" w:lineRule="auto"/>
              <w:rPr>
                <w:rFonts w:ascii="Times New Roman" w:hAnsi="Times New Roman" w:cs="Times New Roman"/>
                <w:sz w:val="20"/>
                <w:szCs w:val="20"/>
              </w:rPr>
            </w:pPr>
            <w:r>
              <w:rPr>
                <w:rFonts w:ascii="Times New Roman" w:hAnsi="Times New Roman" w:cs="Times New Roman"/>
                <w:sz w:val="20"/>
                <w:szCs w:val="20"/>
              </w:rPr>
              <w:t>0.7258</w:t>
            </w:r>
          </w:p>
        </w:tc>
        <w:tc>
          <w:tcPr>
            <w:tcW w:w="969" w:type="dxa"/>
          </w:tcPr>
          <w:p w14:paraId="3899BBC2">
            <w:pPr>
              <w:spacing w:after="0" w:line="240" w:lineRule="auto"/>
              <w:rPr>
                <w:rFonts w:ascii="Times New Roman" w:hAnsi="Times New Roman" w:cs="Times New Roman"/>
                <w:sz w:val="20"/>
                <w:szCs w:val="20"/>
              </w:rPr>
            </w:pPr>
            <w:r>
              <w:rPr>
                <w:rFonts w:ascii="Times New Roman" w:hAnsi="Times New Roman" w:cs="Times New Roman"/>
                <w:sz w:val="20"/>
                <w:szCs w:val="20"/>
              </w:rPr>
              <w:t>1.4961</w:t>
            </w:r>
          </w:p>
        </w:tc>
        <w:tc>
          <w:tcPr>
            <w:tcW w:w="1249" w:type="dxa"/>
          </w:tcPr>
          <w:p w14:paraId="7CC4E26E">
            <w:pPr>
              <w:keepNext/>
              <w:spacing w:after="0" w:line="240" w:lineRule="auto"/>
              <w:rPr>
                <w:rFonts w:ascii="Times New Roman" w:hAnsi="Times New Roman" w:cs="Times New Roman"/>
                <w:sz w:val="20"/>
                <w:szCs w:val="20"/>
              </w:rPr>
            </w:pPr>
            <w:r>
              <w:rPr>
                <w:rFonts w:ascii="Times New Roman" w:hAnsi="Times New Roman" w:cs="Times New Roman"/>
                <w:sz w:val="20"/>
                <w:szCs w:val="20"/>
              </w:rPr>
              <w:t>0.8120</w:t>
            </w:r>
          </w:p>
        </w:tc>
      </w:tr>
    </w:tbl>
    <w:p w14:paraId="01965C4D">
      <w:pPr>
        <w:pStyle w:val="11"/>
        <w:spacing w:line="240" w:lineRule="auto"/>
        <w:jc w:val="both"/>
        <w:rPr>
          <w:rFonts w:hint="eastAsia"/>
        </w:rPr>
      </w:pPr>
      <w:r>
        <w:rPr>
          <w:rFonts w:ascii="Times New Roman" w:hAnsi="Times New Roman" w:cs="Times New Roman"/>
        </w:rPr>
        <w:t>Note: Odds ratios (ORs) represent the association between female sex and dyslipidemia, with male sex as the reference group. Unadjusted models included sex only. Adjusted models included sex, age, Hamilton Depression Rating Scale (HAMD) score, and thyroid-stimulating hormone (TSH) level as covariates. Sensitivity analyses were performed in the full sample and in age-restricted subsamples excluding participants aged ≥50 years and ≥45 years, respectively. Confidence intervals (CIs) are presented at the 95% level.</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FEB"/>
    <w:rsid w:val="00012D69"/>
    <w:rsid w:val="00012EED"/>
    <w:rsid w:val="000C1969"/>
    <w:rsid w:val="000C2F5E"/>
    <w:rsid w:val="000C56D7"/>
    <w:rsid w:val="000E641C"/>
    <w:rsid w:val="001848E7"/>
    <w:rsid w:val="0030576D"/>
    <w:rsid w:val="00377934"/>
    <w:rsid w:val="00442D1B"/>
    <w:rsid w:val="004519C6"/>
    <w:rsid w:val="005F6FEB"/>
    <w:rsid w:val="0063024B"/>
    <w:rsid w:val="007620A5"/>
    <w:rsid w:val="00770DA7"/>
    <w:rsid w:val="00833FC4"/>
    <w:rsid w:val="00932625"/>
    <w:rsid w:val="009A24C1"/>
    <w:rsid w:val="00B1642F"/>
    <w:rsid w:val="00BC3752"/>
    <w:rsid w:val="00BF435B"/>
    <w:rsid w:val="00C94FD1"/>
    <w:rsid w:val="00E82319"/>
    <w:rsid w:val="564C7F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9"/>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1"/>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2"/>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3"/>
    <w:semiHidden/>
    <w:unhideWhenUsed/>
    <w:qFormat/>
    <w:uiPriority w:val="9"/>
    <w:pPr>
      <w:keepNext/>
      <w:keepLines/>
      <w:spacing w:before="80" w:after="40"/>
      <w:outlineLvl w:val="4"/>
    </w:pPr>
    <w:rPr>
      <w:rFonts w:cstheme="majorBidi"/>
      <w:color w:val="2F5597" w:themeColor="accent1" w:themeShade="BF"/>
      <w:sz w:val="24"/>
    </w:rPr>
  </w:style>
  <w:style w:type="paragraph" w:styleId="7">
    <w:name w:val="heading 6"/>
    <w:basedOn w:val="1"/>
    <w:next w:val="1"/>
    <w:link w:val="24"/>
    <w:semiHidden/>
    <w:unhideWhenUsed/>
    <w:qFormat/>
    <w:uiPriority w:val="9"/>
    <w:pPr>
      <w:keepNext/>
      <w:keepLines/>
      <w:spacing w:before="40" w:after="0"/>
      <w:outlineLvl w:val="5"/>
    </w:pPr>
    <w:rPr>
      <w:rFonts w:cstheme="majorBidi"/>
      <w:b/>
      <w:bCs/>
      <w:color w:val="2F5597" w:themeColor="accent1" w:themeShade="BF"/>
    </w:rPr>
  </w:style>
  <w:style w:type="paragraph" w:styleId="8">
    <w:name w:val="heading 7"/>
    <w:basedOn w:val="1"/>
    <w:next w:val="1"/>
    <w:link w:val="25"/>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7"/>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8">
    <w:name w:val="Default Paragraph Font"/>
    <w:semiHidden/>
    <w:unhideWhenUsed/>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11">
    <w:name w:val="caption"/>
    <w:basedOn w:val="1"/>
    <w:next w:val="1"/>
    <w:unhideWhenUsed/>
    <w:qFormat/>
    <w:uiPriority w:val="35"/>
    <w:rPr>
      <w:rFonts w:eastAsia="黑体" w:asciiTheme="majorHAnsi" w:hAnsiTheme="majorHAnsi" w:cstheme="majorBidi"/>
      <w:sz w:val="20"/>
      <w:szCs w:val="20"/>
    </w:rPr>
  </w:style>
  <w:style w:type="paragraph" w:styleId="12">
    <w:name w:val="footer"/>
    <w:basedOn w:val="1"/>
    <w:link w:val="38"/>
    <w:unhideWhenUsed/>
    <w:uiPriority w:val="99"/>
    <w:pPr>
      <w:tabs>
        <w:tab w:val="center" w:pos="4153"/>
        <w:tab w:val="right" w:pos="8306"/>
      </w:tabs>
      <w:snapToGrid w:val="0"/>
      <w:spacing w:line="240" w:lineRule="auto"/>
    </w:pPr>
    <w:rPr>
      <w:sz w:val="18"/>
      <w:szCs w:val="18"/>
    </w:rPr>
  </w:style>
  <w:style w:type="paragraph" w:styleId="13">
    <w:name w:val="header"/>
    <w:basedOn w:val="1"/>
    <w:link w:val="37"/>
    <w:unhideWhenUsed/>
    <w:uiPriority w:val="99"/>
    <w:pPr>
      <w:tabs>
        <w:tab w:val="center" w:pos="4153"/>
        <w:tab w:val="right" w:pos="8306"/>
      </w:tabs>
      <w:snapToGrid w:val="0"/>
      <w:spacing w:line="240" w:lineRule="auto"/>
      <w:jc w:val="center"/>
    </w:pPr>
    <w:rPr>
      <w:sz w:val="18"/>
      <w:szCs w:val="18"/>
    </w:rPr>
  </w:style>
  <w:style w:type="paragraph" w:styleId="14">
    <w:name w:val="Subtitle"/>
    <w:basedOn w:val="1"/>
    <w:next w:val="1"/>
    <w:link w:val="29"/>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28"/>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table" w:styleId="17">
    <w:name w:val="Table Grid"/>
    <w:basedOn w:val="16"/>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9">
    <w:name w:val="标题 1 字符"/>
    <w:basedOn w:val="18"/>
    <w:link w:val="2"/>
    <w:uiPriority w:val="9"/>
    <w:rPr>
      <w:rFonts w:asciiTheme="majorHAnsi" w:hAnsiTheme="majorHAnsi" w:eastAsiaTheme="majorEastAsia" w:cstheme="majorBidi"/>
      <w:color w:val="2F5597" w:themeColor="accent1" w:themeShade="BF"/>
      <w:sz w:val="48"/>
      <w:szCs w:val="48"/>
    </w:rPr>
  </w:style>
  <w:style w:type="character" w:customStyle="1" w:styleId="20">
    <w:name w:val="标题 2 字符"/>
    <w:basedOn w:val="18"/>
    <w:link w:val="3"/>
    <w:semiHidden/>
    <w:uiPriority w:val="9"/>
    <w:rPr>
      <w:rFonts w:asciiTheme="majorHAnsi" w:hAnsiTheme="majorHAnsi" w:eastAsiaTheme="majorEastAsia" w:cstheme="majorBidi"/>
      <w:color w:val="2F5597" w:themeColor="accent1" w:themeShade="BF"/>
      <w:sz w:val="40"/>
      <w:szCs w:val="40"/>
    </w:rPr>
  </w:style>
  <w:style w:type="character" w:customStyle="1" w:styleId="21">
    <w:name w:val="标题 3 字符"/>
    <w:basedOn w:val="18"/>
    <w:link w:val="4"/>
    <w:semiHidden/>
    <w:uiPriority w:val="9"/>
    <w:rPr>
      <w:rFonts w:asciiTheme="majorHAnsi" w:hAnsiTheme="majorHAnsi" w:eastAsiaTheme="majorEastAsia" w:cstheme="majorBidi"/>
      <w:color w:val="2F5597" w:themeColor="accent1" w:themeShade="BF"/>
      <w:sz w:val="32"/>
      <w:szCs w:val="32"/>
    </w:rPr>
  </w:style>
  <w:style w:type="character" w:customStyle="1" w:styleId="22">
    <w:name w:val="标题 4 字符"/>
    <w:basedOn w:val="18"/>
    <w:link w:val="5"/>
    <w:semiHidden/>
    <w:uiPriority w:val="9"/>
    <w:rPr>
      <w:rFonts w:cstheme="majorBidi"/>
      <w:color w:val="2F5597" w:themeColor="accent1" w:themeShade="BF"/>
      <w:sz w:val="28"/>
      <w:szCs w:val="28"/>
    </w:rPr>
  </w:style>
  <w:style w:type="character" w:customStyle="1" w:styleId="23">
    <w:name w:val="标题 5 字符"/>
    <w:basedOn w:val="18"/>
    <w:link w:val="6"/>
    <w:semiHidden/>
    <w:uiPriority w:val="9"/>
    <w:rPr>
      <w:rFonts w:cstheme="majorBidi"/>
      <w:color w:val="2F5597" w:themeColor="accent1" w:themeShade="BF"/>
      <w:sz w:val="24"/>
    </w:rPr>
  </w:style>
  <w:style w:type="character" w:customStyle="1" w:styleId="24">
    <w:name w:val="标题 6 字符"/>
    <w:basedOn w:val="18"/>
    <w:link w:val="7"/>
    <w:semiHidden/>
    <w:uiPriority w:val="9"/>
    <w:rPr>
      <w:rFonts w:cstheme="majorBidi"/>
      <w:b/>
      <w:bCs/>
      <w:color w:val="2F5597" w:themeColor="accent1" w:themeShade="BF"/>
    </w:rPr>
  </w:style>
  <w:style w:type="character" w:customStyle="1" w:styleId="25">
    <w:name w:val="标题 7 字符"/>
    <w:basedOn w:val="18"/>
    <w:link w:val="8"/>
    <w:semiHidden/>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6">
    <w:name w:val="标题 8 字符"/>
    <w:basedOn w:val="18"/>
    <w:link w:val="9"/>
    <w:semiHidden/>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7">
    <w:name w:val="标题 9 字符"/>
    <w:basedOn w:val="18"/>
    <w:link w:val="10"/>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标题 字符"/>
    <w:basedOn w:val="18"/>
    <w:link w:val="15"/>
    <w:uiPriority w:val="10"/>
    <w:rPr>
      <w:rFonts w:asciiTheme="majorHAnsi" w:hAnsiTheme="majorHAnsi" w:eastAsiaTheme="majorEastAsia" w:cstheme="majorBidi"/>
      <w:spacing w:val="-10"/>
      <w:kern w:val="28"/>
      <w:sz w:val="56"/>
      <w:szCs w:val="56"/>
    </w:rPr>
  </w:style>
  <w:style w:type="character" w:customStyle="1" w:styleId="29">
    <w:name w:val="副标题 字符"/>
    <w:basedOn w:val="18"/>
    <w:link w:val="14"/>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引用 字符"/>
    <w:basedOn w:val="18"/>
    <w:link w:val="30"/>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style>
  <w:style w:type="character" w:customStyle="1" w:styleId="33">
    <w:name w:val="Intense Emphasis"/>
    <w:basedOn w:val="18"/>
    <w:qFormat/>
    <w:uiPriority w:val="21"/>
    <w:rPr>
      <w:i/>
      <w:iCs/>
      <w:color w:val="2F5597" w:themeColor="accent1" w:themeShade="BF"/>
    </w:rPr>
  </w:style>
  <w:style w:type="paragraph" w:styleId="34">
    <w:name w:val="Intense Quote"/>
    <w:basedOn w:val="1"/>
    <w:next w:val="1"/>
    <w:link w:val="35"/>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5">
    <w:name w:val="明显引用 字符"/>
    <w:basedOn w:val="18"/>
    <w:link w:val="34"/>
    <w:uiPriority w:val="30"/>
    <w:rPr>
      <w:i/>
      <w:iCs/>
      <w:color w:val="2F5597" w:themeColor="accent1" w:themeShade="BF"/>
    </w:rPr>
  </w:style>
  <w:style w:type="character" w:customStyle="1" w:styleId="36">
    <w:name w:val="Intense Reference"/>
    <w:basedOn w:val="18"/>
    <w:qFormat/>
    <w:uiPriority w:val="32"/>
    <w:rPr>
      <w:b/>
      <w:bCs/>
      <w:smallCaps/>
      <w:color w:val="2F5597" w:themeColor="accent1" w:themeShade="BF"/>
      <w:spacing w:val="5"/>
    </w:rPr>
  </w:style>
  <w:style w:type="character" w:customStyle="1" w:styleId="37">
    <w:name w:val="页眉 字符"/>
    <w:basedOn w:val="18"/>
    <w:link w:val="13"/>
    <w:uiPriority w:val="99"/>
    <w:rPr>
      <w:sz w:val="18"/>
      <w:szCs w:val="18"/>
    </w:rPr>
  </w:style>
  <w:style w:type="character" w:customStyle="1" w:styleId="38">
    <w:name w:val="页脚 字符"/>
    <w:basedOn w:val="18"/>
    <w:link w:val="12"/>
    <w:uiPriority w:val="99"/>
    <w:rPr>
      <w:sz w:val="18"/>
      <w:szCs w:val="18"/>
    </w:rPr>
  </w:style>
  <w:style w:type="paragraph" w:customStyle="1" w:styleId="39">
    <w:name w:val="Revision"/>
    <w:hidden/>
    <w:semiHidden/>
    <w:uiPriority w:val="99"/>
    <w:pPr>
      <w:spacing w:after="0" w:line="240" w:lineRule="auto"/>
    </w:pPr>
    <w:rPr>
      <w:rFonts w:asciiTheme="minorHAnsi" w:hAnsiTheme="minorHAnsi" w:eastAsiaTheme="minorEastAsia" w:cstheme="minorBidi"/>
      <w:kern w:val="2"/>
      <w:sz w:val="22"/>
      <w:szCs w:val="24"/>
      <w:lang w:val="en-US" w:eastAsia="zh-CN" w:bidi="ar-SA"/>
      <w14:ligatures w14:val="standardContextual"/>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313</Words>
  <Characters>1782</Characters>
  <Lines>14</Lines>
  <Paragraphs>4</Paragraphs>
  <TotalTime>1</TotalTime>
  <ScaleCrop>false</ScaleCrop>
  <LinksUpToDate>false</LinksUpToDate>
  <CharactersWithSpaces>2028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2026-04-11T06:48:00Z</dcterms:created>
  <dc:creator>定慧 王</dc:creator>
  <cp:lastModifiedBy>张开国</cp:lastModifiedBy>
  <dcterms:modified xsi:type="dcterms:W3CDTF">2026-04-23T03:20:25Z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eyJoZGlkIjoiODgwNjE2NGI3NGE1Zjg5ZjVmNWQ0Yzg0NzAwMzExOTgiLCJ1c2VySWQiOiI0NjkzMTM5MzUifQ==</vt:lpwstr>
  </property>
  <property fmtid="{D5CDD505-2E9C-101B-9397-08002B2CF9AE}" pid="3" name="KSOProductBuildVer">
    <vt:lpwstr>2052-12.1.0.25865</vt:lpwstr>
  </property>
  <property fmtid="{D5CDD505-2E9C-101B-9397-08002B2CF9AE}" pid="4" name="ICV">
    <vt:lpwstr>4D15931CEE59420AB1A217138B6F8F69_12</vt:lpwstr>
  </property>
</Properties>
</file>