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3"/>
        <w:tblpPr w:leftFromText="180" w:rightFromText="180" w:vertAnchor="page" w:horzAnchor="page" w:tblpX="1775" w:tblpY="2085"/>
        <w:tblW w:w="695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0"/>
        <w:gridCol w:w="1206"/>
        <w:gridCol w:w="1976"/>
      </w:tblGrid>
      <w:tr w14:paraId="67E643C8"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2A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Variable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9FC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Miss.freq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13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Miss.percentage%</w:t>
            </w:r>
          </w:p>
        </w:tc>
      </w:tr>
      <w:tr w14:paraId="70D92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43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Age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6D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AC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39770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24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Alcohol consumption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EA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4779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33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10.018</w:t>
            </w:r>
          </w:p>
        </w:tc>
      </w:tr>
      <w:tr w14:paraId="4F2F0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1C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ALT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D3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239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CE1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0.501</w:t>
            </w:r>
          </w:p>
        </w:tc>
      </w:tr>
      <w:tr w14:paraId="48D7D7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26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Anti-diabetic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E3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76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0.1006</w:t>
            </w:r>
          </w:p>
        </w:tc>
      </w:tr>
      <w:tr w14:paraId="0B361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18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Anti-hyperlipidemic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85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10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0.1006</w:t>
            </w:r>
          </w:p>
        </w:tc>
      </w:tr>
      <w:tr w14:paraId="75B2A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F1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AST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A1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257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10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0.5387</w:t>
            </w:r>
          </w:p>
        </w:tc>
      </w:tr>
      <w:tr w14:paraId="03E33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98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BMI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F8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822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81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1.7231</w:t>
            </w:r>
          </w:p>
        </w:tc>
      </w:tr>
      <w:tr w14:paraId="7E7EF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01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Cancer or malignancy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223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44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E0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0.0922</w:t>
            </w:r>
          </w:p>
        </w:tc>
      </w:tr>
      <w:tr w14:paraId="622EC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1D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eGFR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F4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155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09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0.3249</w:t>
            </w:r>
          </w:p>
        </w:tc>
      </w:tr>
      <w:tr w14:paraId="5599D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C4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Education level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82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67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32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0.1404</w:t>
            </w:r>
          </w:p>
        </w:tc>
      </w:tr>
      <w:tr w14:paraId="603AE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19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Race/ethnicity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88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2E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70806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2F3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Hemoglobin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6F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85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5A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0.1782</w:t>
            </w:r>
          </w:p>
        </w:tc>
      </w:tr>
      <w:tr w14:paraId="16DB6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7E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Hypertension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E3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953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0.0231</w:t>
            </w:r>
          </w:p>
        </w:tc>
      </w:tr>
      <w:tr w14:paraId="3E820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6E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Hyperuricemia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D8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165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72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0.3459</w:t>
            </w:r>
          </w:p>
        </w:tc>
      </w:tr>
      <w:tr w14:paraId="372BC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FF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Liver condition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56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92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C8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0.1929</w:t>
            </w:r>
          </w:p>
        </w:tc>
      </w:tr>
      <w:tr w14:paraId="5A49F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6D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Marital status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A1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434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F9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0.9098</w:t>
            </w:r>
          </w:p>
        </w:tc>
      </w:tr>
      <w:tr w14:paraId="254B5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076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Physical activity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AD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13300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0C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27.8803</w:t>
            </w:r>
          </w:p>
        </w:tc>
      </w:tr>
      <w:tr w14:paraId="22148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75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Poverty income ratio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41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4176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E6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8.754</w:t>
            </w:r>
          </w:p>
        </w:tc>
      </w:tr>
      <w:tr w14:paraId="53935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D4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Gender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1A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DD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108AD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38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Smoking status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0C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43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AD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0.0901</w:t>
            </w:r>
          </w:p>
        </w:tc>
      </w:tr>
    </w:tbl>
    <w:p w14:paraId="706F9F2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Supplementary Table 1.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pacing w:val="6"/>
          <w:kern w:val="0"/>
          <w:sz w:val="24"/>
          <w:szCs w:val="24"/>
          <w:shd w:val="clear" w:color="auto" w:fill="FFFFFF"/>
          <w14:ligatures w14:val="none"/>
        </w:rPr>
        <w:t>Details of missing data patterns</w:t>
      </w:r>
    </w:p>
    <w:tbl>
      <w:tblPr>
        <w:tblStyle w:val="13"/>
        <w:tblpPr w:leftFromText="180" w:rightFromText="180" w:vertAnchor="page" w:horzAnchor="page" w:tblpX="1775" w:tblpY="2085"/>
        <w:tblW w:w="695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0"/>
        <w:gridCol w:w="1206"/>
        <w:gridCol w:w="1976"/>
      </w:tblGrid>
      <w:tr w14:paraId="6DF14156"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49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Variable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E0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Miss.freq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E5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Miss.percentage%</w:t>
            </w:r>
          </w:p>
        </w:tc>
      </w:tr>
      <w:tr w14:paraId="1F28F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7A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Age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0A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93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0E457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AD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Alcohol consumption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E6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4779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F1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10.018</w:t>
            </w:r>
          </w:p>
        </w:tc>
      </w:tr>
      <w:tr w14:paraId="1F2D8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BB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ALT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42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239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4D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0.501</w:t>
            </w:r>
          </w:p>
        </w:tc>
      </w:tr>
      <w:tr w14:paraId="64837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1D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Anti-diabetic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32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19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0.1006</w:t>
            </w:r>
          </w:p>
        </w:tc>
      </w:tr>
      <w:tr w14:paraId="08A6D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95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Anti-hyperlipidemic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C9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48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1F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0.1006</w:t>
            </w:r>
          </w:p>
        </w:tc>
      </w:tr>
      <w:tr w14:paraId="2E41B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67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AST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9D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257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53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0.5387</w:t>
            </w:r>
          </w:p>
        </w:tc>
      </w:tr>
      <w:tr w14:paraId="6F4C6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33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BMI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71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822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AB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1.7231</w:t>
            </w:r>
          </w:p>
        </w:tc>
      </w:tr>
      <w:tr w14:paraId="0F86B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20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Cancer or malignancy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95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44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2B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0.0922</w:t>
            </w:r>
          </w:p>
        </w:tc>
      </w:tr>
      <w:tr w14:paraId="61238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23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eGFR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36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155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5C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0.3249</w:t>
            </w:r>
          </w:p>
        </w:tc>
      </w:tr>
      <w:tr w14:paraId="66420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832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Education level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88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67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FC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0.1404</w:t>
            </w:r>
          </w:p>
        </w:tc>
      </w:tr>
      <w:tr w14:paraId="6751D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1B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Race/ethnicity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79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F5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36AB2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75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Hemoglobin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AD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85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F3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0.1782</w:t>
            </w:r>
          </w:p>
        </w:tc>
      </w:tr>
      <w:tr w14:paraId="63E7E9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7E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Hypertension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79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11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F1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0.0231</w:t>
            </w:r>
          </w:p>
        </w:tc>
      </w:tr>
      <w:tr w14:paraId="209F2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AE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Hyperuricemia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9C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165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44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0.3459</w:t>
            </w:r>
          </w:p>
        </w:tc>
      </w:tr>
      <w:tr w14:paraId="102DA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87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Liver condition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66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92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A7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0.1929</w:t>
            </w:r>
          </w:p>
        </w:tc>
      </w:tr>
      <w:tr w14:paraId="18256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F0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Marital status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FB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434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8B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0.9098</w:t>
            </w:r>
          </w:p>
        </w:tc>
      </w:tr>
      <w:tr w14:paraId="571B9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02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Physical activity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D6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13300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30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27.8803</w:t>
            </w:r>
          </w:p>
        </w:tc>
      </w:tr>
      <w:tr w14:paraId="0DE5F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3D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Poverty income ratio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95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4176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36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8.754</w:t>
            </w:r>
          </w:p>
        </w:tc>
      </w:tr>
      <w:tr w14:paraId="1C3E6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AF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Gender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72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43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</w:t>
            </w:r>
          </w:p>
        </w:tc>
      </w:tr>
      <w:tr w14:paraId="6A802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D7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Smoking status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98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43</w:t>
            </w:r>
          </w:p>
        </w:tc>
        <w:tc>
          <w:tcPr>
            <w:tcW w:w="1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42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  <w14:ligatures w14:val="none"/>
              </w:rPr>
              <w:t>0.0901</w:t>
            </w:r>
          </w:p>
        </w:tc>
      </w:tr>
    </w:tbl>
    <w:p w14:paraId="64B20E0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322B4CE7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  <w14:ligatures w14:val="standardContextual"/>
        </w:rPr>
      </w:pPr>
    </w:p>
    <w:p w14:paraId="698FF375">
      <w:pPr>
        <w:bidi w:val="0"/>
        <w:rPr>
          <w:rFonts w:hint="default"/>
          <w:lang w:val="en-US" w:eastAsia="zh-CN"/>
        </w:rPr>
      </w:pPr>
    </w:p>
    <w:p w14:paraId="45009868">
      <w:pPr>
        <w:bidi w:val="0"/>
        <w:rPr>
          <w:rFonts w:hint="default"/>
          <w:lang w:val="en-US" w:eastAsia="zh-CN"/>
        </w:rPr>
      </w:pPr>
    </w:p>
    <w:p w14:paraId="7A8EC834">
      <w:pPr>
        <w:bidi w:val="0"/>
        <w:rPr>
          <w:rFonts w:hint="default"/>
          <w:lang w:val="en-US" w:eastAsia="zh-CN"/>
        </w:rPr>
      </w:pPr>
    </w:p>
    <w:p w14:paraId="02F91DDB">
      <w:pPr>
        <w:bidi w:val="0"/>
        <w:rPr>
          <w:rFonts w:hint="default"/>
          <w:lang w:val="en-US" w:eastAsia="zh-CN"/>
        </w:rPr>
      </w:pPr>
    </w:p>
    <w:p w14:paraId="27C628AD">
      <w:pPr>
        <w:bidi w:val="0"/>
        <w:rPr>
          <w:rFonts w:hint="default"/>
          <w:lang w:val="en-US" w:eastAsia="zh-CN"/>
        </w:rPr>
      </w:pPr>
    </w:p>
    <w:p w14:paraId="17FC2C35">
      <w:pPr>
        <w:bidi w:val="0"/>
        <w:rPr>
          <w:rFonts w:hint="default"/>
          <w:lang w:val="en-US" w:eastAsia="zh-CN"/>
        </w:rPr>
      </w:pPr>
    </w:p>
    <w:p w14:paraId="154ECAE1">
      <w:pPr>
        <w:bidi w:val="0"/>
        <w:rPr>
          <w:rFonts w:hint="default"/>
          <w:lang w:val="en-US" w:eastAsia="zh-CN"/>
        </w:rPr>
      </w:pPr>
    </w:p>
    <w:p w14:paraId="0E9BF52E">
      <w:pPr>
        <w:bidi w:val="0"/>
        <w:rPr>
          <w:rFonts w:hint="default"/>
          <w:lang w:val="en-US" w:eastAsia="zh-CN"/>
        </w:rPr>
      </w:pPr>
    </w:p>
    <w:p w14:paraId="5AF8C147">
      <w:pPr>
        <w:bidi w:val="0"/>
        <w:rPr>
          <w:rFonts w:hint="default"/>
          <w:lang w:val="en-US" w:eastAsia="zh-CN"/>
        </w:rPr>
      </w:pPr>
    </w:p>
    <w:p w14:paraId="37608A9F">
      <w:pPr>
        <w:bidi w:val="0"/>
        <w:rPr>
          <w:rFonts w:hint="default"/>
          <w:lang w:val="en-US" w:eastAsia="zh-CN"/>
        </w:rPr>
      </w:pPr>
    </w:p>
    <w:p w14:paraId="5CD2C8C1">
      <w:pPr>
        <w:bidi w:val="0"/>
        <w:rPr>
          <w:rFonts w:hint="default"/>
          <w:lang w:val="en-US" w:eastAsia="zh-CN"/>
        </w:rPr>
      </w:pPr>
    </w:p>
    <w:p w14:paraId="6529A170">
      <w:pPr>
        <w:bidi w:val="0"/>
        <w:rPr>
          <w:rFonts w:hint="default"/>
          <w:lang w:val="en-US" w:eastAsia="zh-CN"/>
        </w:rPr>
      </w:pPr>
    </w:p>
    <w:p w14:paraId="008AB98A">
      <w:pPr>
        <w:bidi w:val="0"/>
        <w:rPr>
          <w:rFonts w:hint="default"/>
          <w:lang w:val="en-US" w:eastAsia="zh-CN"/>
        </w:rPr>
      </w:pPr>
    </w:p>
    <w:p w14:paraId="14FABE9F">
      <w:pPr>
        <w:bidi w:val="0"/>
        <w:rPr>
          <w:rFonts w:hint="default"/>
          <w:lang w:val="en-US" w:eastAsia="zh-CN"/>
        </w:rPr>
      </w:pPr>
    </w:p>
    <w:p w14:paraId="6A5B2751">
      <w:pPr>
        <w:bidi w:val="0"/>
        <w:rPr>
          <w:rFonts w:hint="default"/>
          <w:lang w:val="en-US" w:eastAsia="zh-CN"/>
        </w:rPr>
      </w:pPr>
    </w:p>
    <w:p w14:paraId="370EE9B8">
      <w:pPr>
        <w:bidi w:val="0"/>
        <w:rPr>
          <w:rFonts w:hint="default"/>
          <w:lang w:val="en-US" w:eastAsia="zh-CN"/>
        </w:rPr>
      </w:pPr>
    </w:p>
    <w:p w14:paraId="35B662D5">
      <w:pPr>
        <w:bidi w:val="0"/>
        <w:rPr>
          <w:rFonts w:hint="default"/>
          <w:lang w:val="en-US" w:eastAsia="zh-CN"/>
        </w:rPr>
      </w:pPr>
    </w:p>
    <w:p w14:paraId="2B6DA5BB">
      <w:pPr>
        <w:bidi w:val="0"/>
        <w:rPr>
          <w:rFonts w:hint="default"/>
          <w:lang w:val="en-US" w:eastAsia="zh-CN"/>
        </w:rPr>
      </w:pPr>
    </w:p>
    <w:p w14:paraId="6B14772C">
      <w:pPr>
        <w:bidi w:val="0"/>
        <w:rPr>
          <w:rFonts w:hint="default"/>
          <w:lang w:val="en-US" w:eastAsia="zh-CN"/>
        </w:rPr>
      </w:pPr>
    </w:p>
    <w:p w14:paraId="301FA938">
      <w:pPr>
        <w:bidi w:val="0"/>
        <w:rPr>
          <w:rFonts w:hint="default"/>
          <w:lang w:val="en-US" w:eastAsia="zh-CN"/>
        </w:rPr>
      </w:pPr>
    </w:p>
    <w:p w14:paraId="059563DC">
      <w:pPr>
        <w:bidi w:val="0"/>
        <w:rPr>
          <w:rFonts w:hint="default"/>
          <w:lang w:val="en-US" w:eastAsia="zh-CN"/>
        </w:rPr>
      </w:pPr>
    </w:p>
    <w:p w14:paraId="4793B833">
      <w:pPr>
        <w:bidi w:val="0"/>
        <w:rPr>
          <w:rFonts w:hint="default"/>
          <w:lang w:val="en-US" w:eastAsia="zh-CN"/>
        </w:rPr>
      </w:pPr>
    </w:p>
    <w:p w14:paraId="0E906717">
      <w:pPr>
        <w:bidi w:val="0"/>
        <w:rPr>
          <w:rFonts w:hint="default"/>
          <w:lang w:val="en-US" w:eastAsia="zh-CN"/>
        </w:rPr>
      </w:pPr>
    </w:p>
    <w:p w14:paraId="48DC94ED">
      <w:pPr>
        <w:bidi w:val="0"/>
        <w:rPr>
          <w:rFonts w:hint="default"/>
          <w:lang w:val="en-US" w:eastAsia="zh-CN"/>
        </w:rPr>
      </w:pPr>
    </w:p>
    <w:p w14:paraId="2782AE17">
      <w:pPr>
        <w:bidi w:val="0"/>
        <w:rPr>
          <w:rFonts w:hint="default"/>
          <w:lang w:val="en-US" w:eastAsia="zh-CN"/>
        </w:rPr>
      </w:pPr>
    </w:p>
    <w:p w14:paraId="387DBB94">
      <w:pPr>
        <w:bidi w:val="0"/>
        <w:rPr>
          <w:rFonts w:hint="default"/>
          <w:lang w:val="en-US" w:eastAsia="zh-CN"/>
        </w:rPr>
      </w:pPr>
    </w:p>
    <w:p w14:paraId="5A274765">
      <w:pPr>
        <w:bidi w:val="0"/>
        <w:rPr>
          <w:rFonts w:hint="default"/>
          <w:lang w:val="en-US" w:eastAsia="zh-CN"/>
        </w:rPr>
      </w:pPr>
    </w:p>
    <w:p w14:paraId="7E9615E2">
      <w:pPr>
        <w:bidi w:val="0"/>
        <w:rPr>
          <w:rFonts w:hint="default"/>
          <w:lang w:val="en-US" w:eastAsia="zh-CN"/>
        </w:rPr>
      </w:pPr>
    </w:p>
    <w:p w14:paraId="032C26C5">
      <w:pPr>
        <w:bidi w:val="0"/>
        <w:rPr>
          <w:rFonts w:hint="default"/>
          <w:lang w:val="en-US" w:eastAsia="zh-CN"/>
        </w:rPr>
      </w:pPr>
    </w:p>
    <w:p w14:paraId="3A563C14">
      <w:pPr>
        <w:bidi w:val="0"/>
        <w:rPr>
          <w:rFonts w:hint="default"/>
          <w:lang w:val="en-US" w:eastAsia="zh-CN"/>
        </w:rPr>
      </w:pPr>
    </w:p>
    <w:p w14:paraId="1A6A77E0">
      <w:pPr>
        <w:bidi w:val="0"/>
        <w:rPr>
          <w:rFonts w:hint="default"/>
          <w:lang w:val="en-US" w:eastAsia="zh-CN"/>
        </w:rPr>
      </w:pPr>
    </w:p>
    <w:p w14:paraId="4CC947E1">
      <w:pPr>
        <w:bidi w:val="0"/>
        <w:rPr>
          <w:rFonts w:hint="default"/>
          <w:lang w:val="en-US" w:eastAsia="zh-CN"/>
        </w:rPr>
      </w:pPr>
    </w:p>
    <w:p w14:paraId="278CC857">
      <w:pPr>
        <w:bidi w:val="0"/>
        <w:rPr>
          <w:rFonts w:hint="default"/>
          <w:lang w:val="en-US" w:eastAsia="zh-CN"/>
        </w:rPr>
      </w:pPr>
    </w:p>
    <w:p w14:paraId="6528E145">
      <w:pPr>
        <w:bidi w:val="0"/>
        <w:rPr>
          <w:rFonts w:hint="default"/>
          <w:lang w:val="en-US" w:eastAsia="zh-CN"/>
        </w:rPr>
      </w:pPr>
    </w:p>
    <w:p w14:paraId="307A68E0">
      <w:pPr>
        <w:bidi w:val="0"/>
        <w:rPr>
          <w:rFonts w:hint="default"/>
          <w:lang w:val="en-US" w:eastAsia="zh-CN"/>
        </w:rPr>
      </w:pPr>
    </w:p>
    <w:p w14:paraId="28A0BFCE">
      <w:pPr>
        <w:bidi w:val="0"/>
        <w:rPr>
          <w:rFonts w:hint="default"/>
          <w:lang w:val="en-US" w:eastAsia="zh-CN"/>
        </w:rPr>
      </w:pPr>
    </w:p>
    <w:p w14:paraId="0D274278">
      <w:pPr>
        <w:bidi w:val="0"/>
        <w:rPr>
          <w:rFonts w:hint="default"/>
          <w:lang w:val="en-US" w:eastAsia="zh-CN"/>
        </w:rPr>
      </w:pPr>
    </w:p>
    <w:p w14:paraId="30CD647D">
      <w:pPr>
        <w:bidi w:val="0"/>
        <w:rPr>
          <w:rFonts w:hint="default"/>
          <w:lang w:val="en-US" w:eastAsia="zh-CN"/>
        </w:rPr>
      </w:pPr>
    </w:p>
    <w:p w14:paraId="2E428C53">
      <w:pPr>
        <w:bidi w:val="0"/>
        <w:rPr>
          <w:rFonts w:hint="default"/>
          <w:lang w:val="en-US" w:eastAsia="zh-CN"/>
        </w:rPr>
      </w:pPr>
    </w:p>
    <w:p w14:paraId="56EE59F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2348A2C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Supplementary Table 2. Characteristics of participants stratified by HbA1c/HDL‑C ratio thresholds (inflection points from segmented regression)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DEE0E3" w:sz="0" w:space="0"/>
          <w:bottom w:val="single" w:color="auto" w:sz="4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0"/>
        <w:gridCol w:w="1650"/>
        <w:gridCol w:w="1763"/>
        <w:gridCol w:w="1537"/>
        <w:gridCol w:w="1650"/>
      </w:tblGrid>
      <w:tr w14:paraId="12B0BA0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060B5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Variable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26401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≤3.26</w:t>
            </w:r>
          </w:p>
          <w:p w14:paraId="44FA0791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(n=9788)</w:t>
            </w:r>
          </w:p>
        </w:tc>
        <w:tc>
          <w:tcPr>
            <w:tcW w:w="1763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63AE24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3.26–6.24</w:t>
            </w:r>
          </w:p>
          <w:p w14:paraId="380EA230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(n=31408)</w:t>
            </w:r>
          </w:p>
        </w:tc>
        <w:tc>
          <w:tcPr>
            <w:tcW w:w="1537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A9E275">
            <w:pPr>
              <w:widowControl/>
              <w:jc w:val="center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&gt;6.24</w:t>
            </w:r>
          </w:p>
          <w:p w14:paraId="67B11E82">
            <w:pPr>
              <w:widowControl/>
              <w:jc w:val="center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(n=6508)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A4900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P-value</w:t>
            </w:r>
          </w:p>
        </w:tc>
      </w:tr>
      <w:tr w14:paraId="497BAF81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45524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HbA1c/HDL‑C ratio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51942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2.74 (2.73, 2.75)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31BA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4.48 (4.46, 4.49)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4A6D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7.88 (7.82, 7.94)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7202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68E088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7274D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Age, years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1F53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47.47 (46.93, 48.00)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EA9B1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46.80 (46.43, 47.17)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85F46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50.54 (50.00, 51.09)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19516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07A30FE9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14DDC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Poverty income ratio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48601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3.29 (3.23, 3.36)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A9DF3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2.97 (2.92, 3.03)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1B7CC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2.65 (2.58, 2.71)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15B8A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9208E34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10220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BMI, kg/m²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1649C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25.33 (25.18, 25.48)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59756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29.30 (29.18, 29.42)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F67FB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32.49 (32.23, 32.75)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1D016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2A33DD47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A475C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ALT, U/L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83093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21.86 (21.42, 22.30)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4D684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25.54 (25.29, 25.79)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DCF20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32.80 (31.47, 34.13)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6CD12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47586276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85635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AST, U/L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2E18C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25.37 (24.96, 25.78)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36F9D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24.71 (24.51, 24.90)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637F6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27.55 (26.95, 28.16)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47EAE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77D1664C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59647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Physical activity, min/week·MET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B9AC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3089.59 (2925.05, 3254.12)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83AFB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3534.04 (3392.30, 3675.77)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E2F3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3621.15 (3374.57, 3867.73)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B5429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4556C9E2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5625E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eGFR, mL/min/1.73 m²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61B8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94.59 (93.90, 95.29)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142C1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94.06 (93.53, 94.58)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5001C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90.58 (89.85, 91.32)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3EF7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624DAE81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ADCA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Hemoglobin, g/dL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934AA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13.93 (13.88, 13.97)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2F9C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14.40 (14.36, 14.44)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D5A1C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14.67 (14.60, 14.73)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98DA8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76F8F8E4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F271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Gender,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2DBCC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93D5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BBBAC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59306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653D9C48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0FA9C1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Female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91E4B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73.78 (72.58, 74.95)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3A128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47.11 (46.45, 47.78)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59D92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28.98 (27.76, 30.23)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75445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5EBD328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47138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Male</w:t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7FB55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26.22 (25.05, 27.42)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7B998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52.89 (52.22, 53.55)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06AD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71.02 (69.77, 72.24)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3E02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382B20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26AC0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Race/ethnicity,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F078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A3FB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70395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D1AAF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7F26BAE1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20160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Non‑Hispanic White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8B17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73.57 (71.69, 75.37)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113E0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68.02 (65.86, 70.09)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B6C06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64.08 (61.07, 66.98)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C2FA3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C320EEF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3814D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Non‑Hispanic Black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C100A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11.21 (10.03, 12.51)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7F131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10.50 (9.47, 11.64)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EF24D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9.89 (8.76, 11.16)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C966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25F91C2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6E287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Mexican American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7F108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5.00 (4.37, 5.70)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8DD2F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8.75 (7.68, 9.95)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8C6F0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10.87 (9.13, 12.90)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2479F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A0D0B0A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7E401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Other Hispanic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110AD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4.19 (3.55, 4.95)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3D070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5.82 (4.95, 6.82)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466E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7.25 (6.01, 8.71)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D94F1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39E6E55B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064A6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Other race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1CEAF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6.03 (5.37, 6.77)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CCF38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6.92 (6.31, 7.58)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D8607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7.91 (6.88, 9.08)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87688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B73C0EC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B3B6E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Education level,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6D16A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55887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5E1B1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0B7C4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4EBD1676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A6A23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Less than high school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D85FC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12.05 (11.10, 13.06)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8C756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17.65 (16.74, 18.60)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B8B8C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25.73 (24.09, 27.44)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D918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30CF208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201AF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High school or equivalent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6FB36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20.03 (18.96, 21.15)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2522F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25.03 (24.16, 25.91)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B1916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26.35 (24.64, 28.12)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DFB5B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C7E9225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09424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College or above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40067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67.92 (66.25, 69.54)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DFADB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57.32 (56.00, 58.63)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ADEE3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47.93 (45.82, 50.03)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1CC5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D57A402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DF9D5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Marital status,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BBEB9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BA9D1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920BF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F1D2F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6EF66923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12002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Married/cohabiting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F2092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61.15 (59.60, 62.68)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C40A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64.09 (63.10, 65.06)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7C6E9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67.34 (65.81, 68.84)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9517C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7DD02CC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92763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Widowed/divorced/separated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8DF55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20.16 (19.09, 21.27)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D7B5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18.14 (17.52, 18.77)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9A8EF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19.10 (17.88, 20.39)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803FA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23A6C1AB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FE0E7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Never married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F81EE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18.69 (17.36, 20.09)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4D77A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17.78 (16.89, 18.70)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25203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13.55 (12.40, 14.79)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BD7FE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B4F168B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B52B0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Smoking status,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C3056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0736E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D3EAE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ED62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D07FD5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24901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53A00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57.23 (55.92, 58.52)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6B70D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53.92 (52.89, 54.95)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E542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43.92 (42.23, 45.63)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4DCF5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2C7B495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AED58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Former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B4270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24.70 (23.48, 25.96)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B3D80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24.42 (23.67, 25.20)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7C122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28.36 (26.98, 29.78)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B4B70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F92AC51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24C7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Current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CBD2C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18.07 (17.02, 19.17)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8F9E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21.65 (20.86, 22.47)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BE447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27.71 (26.18, 29.30)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E6A29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D8FD422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7C13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Alcohol consumption,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6F7BC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6E50D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F36F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A0A31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C6BD7CB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A12CD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Never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25E9A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9.32 (8.42, 10.30)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EE8F4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11.87 (10.97, 12.84)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A3F4D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12.61 (11.30, 14.05)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BEFB0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569C4BD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1FB2E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Mild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8892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35.05 (33.58, 36.54)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76BFB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36.70 (35.59, 37.82)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33C0E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33.53 (31.56, 35.55)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54065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4068AEE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999F2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Moderate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BC013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24.10 (22.85, 25.39)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25D10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15.54 (14.94, 16.17)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A0167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10.53 (9.41, 11.76)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D4AD3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5EA6BE7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62D03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Heavy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4714C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22.83 (21.62, 24.08)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894B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20.86 (19.98, 21.77)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585B4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19.91 (18.49, 21.42)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C3546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657129B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4E6BA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Former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81D8F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8.71 (8.04, 9.43)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0F427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15.03 (14.20, 15.90)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F480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23.42 (21.81, 25.11)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543C6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4DA95FC5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96111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Comorbidities,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4946E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453EB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17A5B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21132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FD863C6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FF77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Hypertension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83733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30.38 (29.12, 31.68)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B6D7F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36.98 (36.13, 37.83)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4853F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52.82 (51.05, 54.58)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9C87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104746CE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7354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Cancer or malignancy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63BD1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9.91 (9.22, 10.65)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3BFE6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9.23 (8.79, 9.68)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F69CB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9.86 (8.87, 10.94)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26FA5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0.180</w:t>
            </w:r>
          </w:p>
        </w:tc>
      </w:tr>
      <w:tr w14:paraId="1D201079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F69B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Liver condition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48A30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3.12 (2.69, 3.62)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E44F5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3.33 (3.05, 3.65)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45228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5.74 (4.95, 6.66)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3D53A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4F2F5B99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8988C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Hyperuricemia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A96D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10.79 (10.06, 11.56)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EC881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20.85 (20.17, 21.54)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D925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29.66 (27.90, 31.48)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4F24D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65488259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49703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Chronic kidney disease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12194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12.31 (11.50, 13.16)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774EF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13.38 (12.82, 13.95)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4C7E1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26.59 (25.05, 28.18)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CC7FD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4BD2F65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485ED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Diabetes mellitus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C75A6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8.27 (7.66, 8.91)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61816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18.19 (17.52, 18.87)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3185B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54.13 (52.47, 55.78)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5C821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5AA73C4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4B7B1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Hyperlipidemia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201AE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56.11 (54.79, 57.41)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9B9A9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72.06 (71.19, 72.91)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5CF37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97.90 (97.39, 98.30)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71329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6E4C75F5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7C57B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Cardiovascular diseases,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B5135B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428A2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0B106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6A0AD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E1F9AA5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1D1FE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Any cardiovascular disease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03BC2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5.63 (5.11, 6.20)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FF4B0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8.61 (8.20, 9.04)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8CE8E8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17.27 (15.97, 18.64)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5AC36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0561A534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11A04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Congestive heart failure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B6B9E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1.34 (1.12, 1.60)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25B74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2.19 (2.00, 2.39)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43D291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5.80 (5.11, 6.57)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FB3D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70B2ABF7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BB46D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Coronary heart disease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F7A3F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1.72 (1.45, 2.04)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E7B7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3.46 (3.17, 3.78)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4040D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7.71 (6.87, 8.66)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44EF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33D0D735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D0869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Angina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B76A5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1.20 (0.99, 1.45)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BF1B2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2.48 (2.25, 2.72)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0B6C0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5.26 (4.47, 6.18)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33FA5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0B9F626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A6F1F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Heart attack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B5EA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1.82 (1.54, 2.15)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45073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3.38 (3.12, 3.66)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0E576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7.92 (7.06, 8.88)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D4941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2717F486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504BB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Stroke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8727BA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2.29 (1.97, 2.65)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8B15E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2.72 (2.52, 2.95)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C4775E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5.30 (4.71, 5.96)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F3D69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3091C3CC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C1B4F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Medications, </w:t>
            </w:r>
            <m:oMath>
              <m:r>
                <m:rPr>
                  <m:sty m:val="p"/>
                </m:rPr>
                <w:rPr>
                  <w:rFonts w:ascii="Times New Roman" w:hAnsi="Times New Roman" w:eastAsia="微软雅黑" w:cs="Times New Roman"/>
                  <w:color w:val="000000"/>
                  <w:kern w:val="0"/>
                  <w:sz w:val="20"/>
                  <w:szCs w:val="20"/>
                  <w:lang w:bidi="ar"/>
                </w:rPr>
                <m:t>n</m:t>
              </m:r>
            </m:oMath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(%)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A3C294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71A22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A29BF0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6C312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146B85E0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C342E6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Anti‑hyperlipidemic medication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2711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9.96 (9.23, 10.75)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5F01D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16.14 (15.46, 16.85)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8F813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29.69 (28.06, 31.39)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50F69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14:paraId="0F95ADA9">
        <w:tblPrEx>
          <w:tblBorders>
            <w:top w:val="single" w:color="auto" w:sz="4" w:space="0"/>
            <w:left w:val="single" w:color="DEE0E3" w:sz="0" w:space="0"/>
            <w:bottom w:val="single" w:color="auto" w:sz="4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D852B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Anti‑diabetic medication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921775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1.09 (0.90, 1.32)</w:t>
            </w:r>
          </w:p>
        </w:tc>
        <w:tc>
          <w:tcPr>
            <w:tcW w:w="1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EF5F27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6.11 (5.76, 6.48)</w:t>
            </w:r>
          </w:p>
        </w:tc>
        <w:tc>
          <w:tcPr>
            <w:tcW w:w="153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3D7822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32.08 (30.62, 33.58)</w:t>
            </w:r>
          </w:p>
        </w:tc>
        <w:tc>
          <w:tcPr>
            <w:tcW w:w="16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A278C">
            <w:pPr>
              <w:widowControl/>
              <w:jc w:val="left"/>
              <w:textAlignment w:val="center"/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342FB80D">
      <w:pPr>
        <w:bidi w:val="0"/>
        <w:rPr>
          <w:rFonts w:hint="default"/>
          <w:lang w:val="en-US" w:eastAsia="zh-CN"/>
        </w:rPr>
      </w:pPr>
    </w:p>
    <w:p w14:paraId="1633076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0CC2BE9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1CB6991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69C89A3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2730AD1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0F3E528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14FFD1C6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77A1E65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3E789FD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3B1B94C9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3AA2512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1FE0B892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52007F2D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55218E2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2BAC9A6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0072B02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3ABB972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7E5375B6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40BC4DF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79499C7F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3A285EA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14699F4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4495399D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15CDDE33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0EA0C0BC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2FEAABF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20D64FFC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1E248B54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5DC55F3A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68747FAF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0CFA36BB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Supplementary Table 3.Sensitivity analysis: Associations of HbA1c/HDL ratio with CVD based on complete-case data.</w:t>
      </w:r>
    </w:p>
    <w:tbl>
      <w:tblPr>
        <w:tblStyle w:val="13"/>
        <w:tblW w:w="0" w:type="auto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4"/>
        <w:gridCol w:w="1492"/>
        <w:gridCol w:w="1492"/>
        <w:gridCol w:w="1493"/>
        <w:gridCol w:w="1493"/>
      </w:tblGrid>
      <w:tr w14:paraId="18D88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2100E5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Variable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F9B694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Model 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B800BA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Model 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003DFD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Model 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F55B97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Model 4</w:t>
            </w:r>
          </w:p>
        </w:tc>
      </w:tr>
      <w:tr w14:paraId="23D2F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217BD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Continuous (per unit change)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DCCBF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1.24 (1.20, 1.27)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3E949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1.22 (1.19, 1.26)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E0E3D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1.14 (1.10, 1.17)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5BBB8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1.08 (1.05, 1.12)</w:t>
            </w:r>
          </w:p>
        </w:tc>
      </w:tr>
      <w:tr w14:paraId="20A59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8A93B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HbA1c/HDL quartiles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DDEA2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2EB7D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5F4AB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84ABC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06AB8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355D3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Q1 (lowest)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4440E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BCB3C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F5ABE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34735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Reference</w:t>
            </w:r>
          </w:p>
        </w:tc>
      </w:tr>
      <w:tr w14:paraId="699E1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C4B97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Q2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F646C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1.24 (1.03, 1.50)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BCA56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1.34 (1.08, 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5102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1.16 (0.93, 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45281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1.06 (0.85, 1.33)</w:t>
            </w:r>
          </w:p>
        </w:tc>
      </w:tr>
      <w:tr w14:paraId="1C8C6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3215D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Q3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79401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1.80 (1.50, 2.15)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038C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1.94 (1.59, 2.37)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4F61A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1.51 (1.22, 1.86)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D9EE5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1.28 (1.03, 1.58)</w:t>
            </w:r>
          </w:p>
        </w:tc>
      </w:tr>
      <w:tr w14:paraId="6A7BD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945D5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Q4 (highest)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F9E77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3.01 (2.56, 3.55)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DC8D7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3.09 (2.55, 3.74)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A58EF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2.04 (1.66, 2.51)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DF4F9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1.61 (1.29, 2.00)</w:t>
            </w:r>
          </w:p>
        </w:tc>
      </w:tr>
      <w:tr w14:paraId="0443D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28F2DDA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31CF1D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7445481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AF32F4F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C1355C">
            <w:pPr>
              <w:widowControl/>
              <w:jc w:val="left"/>
              <w:textAlignment w:val="center"/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&lt;0.001</w:t>
            </w:r>
          </w:p>
        </w:tc>
      </w:tr>
    </w:tbl>
    <w:p w14:paraId="42A467C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784FB26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6DA150F5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6F637DA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</w:p>
    <w:p w14:paraId="4F8B861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Supplementary Table 4. Stratified 10-fold cross-validated discriminative performance of age, sex, and the HbA1c/HDL-C ratio and its individual components for prevalent CVD</w:t>
      </w:r>
    </w:p>
    <w:tbl>
      <w:tblPr>
        <w:tblStyle w:val="13"/>
        <w:tblpPr w:leftFromText="180" w:rightFromText="180" w:vertAnchor="text" w:horzAnchor="page" w:tblpXSpec="center" w:tblpY="313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300"/>
        <w:gridCol w:w="1876"/>
        <w:gridCol w:w="1735"/>
        <w:gridCol w:w="1555"/>
      </w:tblGrid>
      <w:tr w14:paraId="04F1B0F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217C672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Model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4FCA3D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AUC (95% CI)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977761C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ΔAUC vs HbA1c alone</w:t>
            </w:r>
          </w:p>
        </w:tc>
        <w:tc>
          <w:tcPr>
            <w:tcW w:w="0" w:type="auto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A33B5B1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ΔAUC vs Age+sex</w:t>
            </w:r>
          </w:p>
        </w:tc>
      </w:tr>
      <w:tr w14:paraId="683E37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7E10E20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Panel A. Single-marker models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3BBD6C6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3887FB0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7D6E0A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6E4BD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7501257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HbA1c alone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B8B7AB5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67.49% (65.88–69.04)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20F6EA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BFE1E25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7A1A7D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2007EAD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HDL</w:t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noBreakHyphen/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 alone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DD9699B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56.11% (53.77–58.04)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9AD6A2A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−11.38%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100A55B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84D62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FB13E0B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HbA1c/HDL</w:t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noBreakHyphen/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 ratio alone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AEFC3C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61.37% (59.34–62.91)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96E5918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−6.12%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5E01FA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56AF82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D0BA326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Panel B. Multivariable models (age and sex adjusted)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376C72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D02D609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FA25E47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69E559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29C9AEE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Age + sex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A5405B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80.12% (78.72–81.81)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4FD1736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F7982E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F7944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ED3752E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Age + sex + HbA1c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C293B58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80.74% (79.37–82.31)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CACB6DD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E1D6F8F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+0.62%</w:t>
            </w:r>
          </w:p>
        </w:tc>
      </w:tr>
      <w:tr w14:paraId="5E70B8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0791B39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Age + sex + HDL</w:t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noBreakHyphen/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EE1976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80.69% (79.30–82.09)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5DBAFD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EEA080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+0.57%</w:t>
            </w:r>
          </w:p>
        </w:tc>
      </w:tr>
      <w:tr w14:paraId="36357E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1D67A59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Age + sex + HbA1c/HDL</w:t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noBreakHyphen/>
            </w: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 ratio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6240FF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81.15% (79.81–82.74)</w:t>
            </w: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F6F063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AC7552">
            <w:pPr>
              <w:widowControl/>
              <w:jc w:val="left"/>
              <w:textAlignment w:val="center"/>
              <w:rPr>
                <w:rFonts w:hint="default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微软雅黑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+1.03%</w:t>
            </w:r>
          </w:p>
        </w:tc>
      </w:tr>
    </w:tbl>
    <w:p w14:paraId="74F2DD63">
      <w:pPr>
        <w:widowControl/>
        <w:jc w:val="left"/>
        <w:textAlignment w:val="center"/>
        <w:rPr>
          <w:rFonts w:hint="eastAsia" w:ascii="Times New Roman" w:hAnsi="Times New Roman" w:eastAsia="微软雅黑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6F72C698">
      <w:pPr>
        <w:bidi w:val="0"/>
        <w:rPr>
          <w:rFonts w:hint="default"/>
          <w:lang w:val="en-US" w:eastAsia="zh-CN"/>
        </w:rPr>
      </w:pPr>
    </w:p>
    <w:p w14:paraId="4D46491D">
      <w:pPr>
        <w:tabs>
          <w:tab w:val="left" w:pos="755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788ED287">
      <w:pPr>
        <w:spacing w:line="480" w:lineRule="auto"/>
        <w:rPr>
          <w:rFonts w:hint="default" w:ascii="Times New Roman" w:hAnsi="Times New Roman" w:eastAsia="等线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等线" w:cs="Times New Roman"/>
          <w:b/>
          <w:bCs/>
          <w:sz w:val="32"/>
          <w:szCs w:val="32"/>
          <w:lang w:val="en-US" w:eastAsia="zh-CN"/>
        </w:rPr>
        <w:t>Additional methods:</w:t>
      </w:r>
    </w:p>
    <w:p w14:paraId="41AD81E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Threshold Effect or Saturation Effect Analysis</w:t>
      </w:r>
    </w:p>
    <w:p w14:paraId="48A7CFAC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To analyze potential threshold or saturation effects, we use the following approach:</w:t>
      </w:r>
    </w:p>
    <w:p w14:paraId="7E746BC8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RCS Fitting: Initially, we fit an RCS curve to examine if the independent variable partitions into distinct intervals.</w:t>
      </w:r>
    </w:p>
    <w:p w14:paraId="4434567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Segmented Regression: We then apply segmented regression (piece-wise regression) by fitting separate line segments to each interval.</w:t>
      </w:r>
    </w:p>
    <w:p w14:paraId="5B4069CD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Log-likelihood Ratio Test: To establish the presence of a threshold, we compare a single-line (non-segmented) model to a segmented regression model using a log-likelihood ratio test. The existence of a threshold is supported if the segmented model has a higher likelihood.</w:t>
      </w:r>
    </w:p>
    <w:p w14:paraId="0B6AA40D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Inflection Point Determination: The model that provides the maximum likelihood determines the inflection point connecting the segments. This is identified through a two-step recursive method:</w:t>
      </w:r>
    </w:p>
    <w:p w14:paraId="74A7C1E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Step 1: We narrow down the inflection point using a 10 percentile range of the independent variable. From 5% to 95%, incrementing by 5%, we test 19 segmented regression models with each percentile point as the pote</w:t>
      </w:r>
      <w:bookmarkStart w:id="0" w:name="_GoBack"/>
      <w:bookmarkEnd w:id="0"/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ntial inflection point. The model with the highest likelihood among these determines the initial inflection range, defining Kmin​ and Kmax​.</w:t>
      </w:r>
    </w:p>
    <w:p w14:paraId="7DB5847A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Step 2: We further refine the inflection point within the Kmin​ andKmax​ range using a recursive method. This involves:</w:t>
      </w:r>
    </w:p>
    <w:p w14:paraId="1B1B78A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Running three models with inflection points at the 25th percentile (Q1), 50th percentile (Q2), and 75th percentile (Q3) within the Kmin​ to Kmax​ range.</w:t>
      </w:r>
    </w:p>
    <w:p w14:paraId="3A28ED6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Identifying which quartile point yields the model with the highest likelihood and updating  Kmin​ and  Kmax​ to a narrower range of ±25% of this quartile point.</w:t>
      </w:r>
    </w:p>
    <w:p w14:paraId="46D2190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2"/>
          <w:szCs w:val="22"/>
          <w:u w:val="none"/>
          <w:lang w:val="en-US" w:eastAsia="zh-CN" w:bidi="ar"/>
          <w14:ligatures w14:val="none"/>
        </w:rPr>
        <w:t>Repeating this process to halve the range until the exact value of the independent variable that serves as the inflection point is identified, maximizing the segmented model's likelihood.</w:t>
      </w:r>
    </w:p>
    <w:p w14:paraId="31BC60E7">
      <w:pPr>
        <w:tabs>
          <w:tab w:val="left" w:pos="7558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38620E"/>
    <w:rsid w:val="00026086"/>
    <w:rsid w:val="0005473B"/>
    <w:rsid w:val="0007575B"/>
    <w:rsid w:val="000774EE"/>
    <w:rsid w:val="000A77F7"/>
    <w:rsid w:val="000C64B5"/>
    <w:rsid w:val="000E51B8"/>
    <w:rsid w:val="000F0E63"/>
    <w:rsid w:val="000F4B0A"/>
    <w:rsid w:val="000F4FE7"/>
    <w:rsid w:val="0010230F"/>
    <w:rsid w:val="00114D2B"/>
    <w:rsid w:val="00125BCD"/>
    <w:rsid w:val="00126D57"/>
    <w:rsid w:val="001271F7"/>
    <w:rsid w:val="001306E2"/>
    <w:rsid w:val="001361DA"/>
    <w:rsid w:val="001374A4"/>
    <w:rsid w:val="00174F9D"/>
    <w:rsid w:val="001A4B60"/>
    <w:rsid w:val="001F7B65"/>
    <w:rsid w:val="00200427"/>
    <w:rsid w:val="00214730"/>
    <w:rsid w:val="00223FDF"/>
    <w:rsid w:val="00227E27"/>
    <w:rsid w:val="00235848"/>
    <w:rsid w:val="00236F91"/>
    <w:rsid w:val="00245B31"/>
    <w:rsid w:val="00245CAF"/>
    <w:rsid w:val="0025348E"/>
    <w:rsid w:val="00276EA0"/>
    <w:rsid w:val="00297F7C"/>
    <w:rsid w:val="002A21D5"/>
    <w:rsid w:val="002C0C37"/>
    <w:rsid w:val="002C21BE"/>
    <w:rsid w:val="002C3B42"/>
    <w:rsid w:val="002C3CEC"/>
    <w:rsid w:val="002D154C"/>
    <w:rsid w:val="002D49BB"/>
    <w:rsid w:val="002F0B3A"/>
    <w:rsid w:val="002F2241"/>
    <w:rsid w:val="002F292E"/>
    <w:rsid w:val="00304224"/>
    <w:rsid w:val="00330A56"/>
    <w:rsid w:val="00361FC1"/>
    <w:rsid w:val="00372698"/>
    <w:rsid w:val="003743BE"/>
    <w:rsid w:val="00384446"/>
    <w:rsid w:val="0038620E"/>
    <w:rsid w:val="00390459"/>
    <w:rsid w:val="003904C8"/>
    <w:rsid w:val="00393AD4"/>
    <w:rsid w:val="0039442B"/>
    <w:rsid w:val="00394661"/>
    <w:rsid w:val="003A2275"/>
    <w:rsid w:val="003A5B4F"/>
    <w:rsid w:val="003B7156"/>
    <w:rsid w:val="003C78BA"/>
    <w:rsid w:val="003D07A8"/>
    <w:rsid w:val="003F3F55"/>
    <w:rsid w:val="004022C8"/>
    <w:rsid w:val="00424A22"/>
    <w:rsid w:val="00425DCF"/>
    <w:rsid w:val="00432503"/>
    <w:rsid w:val="00445D13"/>
    <w:rsid w:val="00446D3D"/>
    <w:rsid w:val="00451476"/>
    <w:rsid w:val="00451CC8"/>
    <w:rsid w:val="00452C4C"/>
    <w:rsid w:val="00452E46"/>
    <w:rsid w:val="0047376F"/>
    <w:rsid w:val="00485AE1"/>
    <w:rsid w:val="004963EF"/>
    <w:rsid w:val="004A1945"/>
    <w:rsid w:val="004A4953"/>
    <w:rsid w:val="004D7BD5"/>
    <w:rsid w:val="004E1DF6"/>
    <w:rsid w:val="005045BD"/>
    <w:rsid w:val="00515BC1"/>
    <w:rsid w:val="0052441F"/>
    <w:rsid w:val="00526D8A"/>
    <w:rsid w:val="00540702"/>
    <w:rsid w:val="00546194"/>
    <w:rsid w:val="00552C09"/>
    <w:rsid w:val="005666D3"/>
    <w:rsid w:val="005714AE"/>
    <w:rsid w:val="005836B2"/>
    <w:rsid w:val="00585CCF"/>
    <w:rsid w:val="005A47DD"/>
    <w:rsid w:val="005C377D"/>
    <w:rsid w:val="005E6123"/>
    <w:rsid w:val="005F4BA4"/>
    <w:rsid w:val="005F561D"/>
    <w:rsid w:val="00605D92"/>
    <w:rsid w:val="00620048"/>
    <w:rsid w:val="00622851"/>
    <w:rsid w:val="006236F7"/>
    <w:rsid w:val="0066092E"/>
    <w:rsid w:val="00661F94"/>
    <w:rsid w:val="006623A9"/>
    <w:rsid w:val="006660E3"/>
    <w:rsid w:val="00682A6F"/>
    <w:rsid w:val="00683E4F"/>
    <w:rsid w:val="006C01A8"/>
    <w:rsid w:val="006D1CAE"/>
    <w:rsid w:val="006D6AF5"/>
    <w:rsid w:val="006F4B02"/>
    <w:rsid w:val="007325AE"/>
    <w:rsid w:val="00747591"/>
    <w:rsid w:val="007645D1"/>
    <w:rsid w:val="00766EFB"/>
    <w:rsid w:val="00770209"/>
    <w:rsid w:val="00770DD2"/>
    <w:rsid w:val="00785706"/>
    <w:rsid w:val="00790E9E"/>
    <w:rsid w:val="007B7ECD"/>
    <w:rsid w:val="007C6271"/>
    <w:rsid w:val="007D6091"/>
    <w:rsid w:val="007D63F9"/>
    <w:rsid w:val="007D7EE4"/>
    <w:rsid w:val="007F09BB"/>
    <w:rsid w:val="008009F4"/>
    <w:rsid w:val="00815E51"/>
    <w:rsid w:val="0084487F"/>
    <w:rsid w:val="00845D50"/>
    <w:rsid w:val="00850DB5"/>
    <w:rsid w:val="00854FFB"/>
    <w:rsid w:val="00870AA9"/>
    <w:rsid w:val="008918CD"/>
    <w:rsid w:val="008A3D5C"/>
    <w:rsid w:val="008B6683"/>
    <w:rsid w:val="008D08AF"/>
    <w:rsid w:val="008E0110"/>
    <w:rsid w:val="008E7F1A"/>
    <w:rsid w:val="008F2E87"/>
    <w:rsid w:val="00906E4D"/>
    <w:rsid w:val="00907242"/>
    <w:rsid w:val="00907E5C"/>
    <w:rsid w:val="0092780B"/>
    <w:rsid w:val="009354E2"/>
    <w:rsid w:val="00941246"/>
    <w:rsid w:val="00944010"/>
    <w:rsid w:val="009468CA"/>
    <w:rsid w:val="0095333A"/>
    <w:rsid w:val="00957D10"/>
    <w:rsid w:val="00977994"/>
    <w:rsid w:val="00985F0B"/>
    <w:rsid w:val="009A0FD7"/>
    <w:rsid w:val="009B16B6"/>
    <w:rsid w:val="009B4317"/>
    <w:rsid w:val="009E6516"/>
    <w:rsid w:val="009F7E6D"/>
    <w:rsid w:val="00A00F13"/>
    <w:rsid w:val="00A031E6"/>
    <w:rsid w:val="00A3309D"/>
    <w:rsid w:val="00A3674C"/>
    <w:rsid w:val="00A563E9"/>
    <w:rsid w:val="00A67E11"/>
    <w:rsid w:val="00A760A4"/>
    <w:rsid w:val="00A942EC"/>
    <w:rsid w:val="00A95ECF"/>
    <w:rsid w:val="00AA69B8"/>
    <w:rsid w:val="00AC5589"/>
    <w:rsid w:val="00AE35C8"/>
    <w:rsid w:val="00AE4A78"/>
    <w:rsid w:val="00AF6231"/>
    <w:rsid w:val="00B023E4"/>
    <w:rsid w:val="00B12433"/>
    <w:rsid w:val="00B14FBA"/>
    <w:rsid w:val="00B16B42"/>
    <w:rsid w:val="00B2279C"/>
    <w:rsid w:val="00B3114A"/>
    <w:rsid w:val="00B513C1"/>
    <w:rsid w:val="00B570C9"/>
    <w:rsid w:val="00B661A6"/>
    <w:rsid w:val="00B83878"/>
    <w:rsid w:val="00B957A5"/>
    <w:rsid w:val="00B96127"/>
    <w:rsid w:val="00BA373E"/>
    <w:rsid w:val="00BA7F32"/>
    <w:rsid w:val="00BC489C"/>
    <w:rsid w:val="00BE6523"/>
    <w:rsid w:val="00C4335F"/>
    <w:rsid w:val="00C508A4"/>
    <w:rsid w:val="00C52BAF"/>
    <w:rsid w:val="00C6726E"/>
    <w:rsid w:val="00C71CF2"/>
    <w:rsid w:val="00C741E8"/>
    <w:rsid w:val="00CB549C"/>
    <w:rsid w:val="00CC2708"/>
    <w:rsid w:val="00CC778B"/>
    <w:rsid w:val="00CE6E0C"/>
    <w:rsid w:val="00D132A7"/>
    <w:rsid w:val="00D21C64"/>
    <w:rsid w:val="00D22639"/>
    <w:rsid w:val="00D2341B"/>
    <w:rsid w:val="00D24F20"/>
    <w:rsid w:val="00D27342"/>
    <w:rsid w:val="00D321B2"/>
    <w:rsid w:val="00D331AB"/>
    <w:rsid w:val="00D44F2E"/>
    <w:rsid w:val="00D710E6"/>
    <w:rsid w:val="00D72FB8"/>
    <w:rsid w:val="00D95673"/>
    <w:rsid w:val="00D9623B"/>
    <w:rsid w:val="00D97916"/>
    <w:rsid w:val="00DA22B8"/>
    <w:rsid w:val="00DA24F9"/>
    <w:rsid w:val="00DA4365"/>
    <w:rsid w:val="00DD7DEB"/>
    <w:rsid w:val="00DE713D"/>
    <w:rsid w:val="00DF6EDF"/>
    <w:rsid w:val="00E02B56"/>
    <w:rsid w:val="00E125F2"/>
    <w:rsid w:val="00E33875"/>
    <w:rsid w:val="00E3657C"/>
    <w:rsid w:val="00E40FED"/>
    <w:rsid w:val="00E4142E"/>
    <w:rsid w:val="00E4201F"/>
    <w:rsid w:val="00E8224D"/>
    <w:rsid w:val="00EB025A"/>
    <w:rsid w:val="00EB456B"/>
    <w:rsid w:val="00EC6B93"/>
    <w:rsid w:val="00EE6BE3"/>
    <w:rsid w:val="00F005BC"/>
    <w:rsid w:val="00F0393B"/>
    <w:rsid w:val="00F04693"/>
    <w:rsid w:val="00F057E2"/>
    <w:rsid w:val="00F448EC"/>
    <w:rsid w:val="00F546B7"/>
    <w:rsid w:val="00F561AB"/>
    <w:rsid w:val="00F57762"/>
    <w:rsid w:val="00F772E6"/>
    <w:rsid w:val="00F81D1A"/>
    <w:rsid w:val="00FB74E0"/>
    <w:rsid w:val="00FB7A60"/>
    <w:rsid w:val="00FD2676"/>
    <w:rsid w:val="00FD3E88"/>
    <w:rsid w:val="00FE161E"/>
    <w:rsid w:val="00FE19DF"/>
    <w:rsid w:val="00FF5682"/>
    <w:rsid w:val="01154EDD"/>
    <w:rsid w:val="06021ED4"/>
    <w:rsid w:val="0E415563"/>
    <w:rsid w:val="0EA7526D"/>
    <w:rsid w:val="10E65103"/>
    <w:rsid w:val="12046FD4"/>
    <w:rsid w:val="1ECC0E79"/>
    <w:rsid w:val="225E0A1A"/>
    <w:rsid w:val="2BB331A5"/>
    <w:rsid w:val="2C23654C"/>
    <w:rsid w:val="314738C7"/>
    <w:rsid w:val="37070849"/>
    <w:rsid w:val="37A61F6F"/>
    <w:rsid w:val="38155682"/>
    <w:rsid w:val="394B3071"/>
    <w:rsid w:val="396F26D5"/>
    <w:rsid w:val="3A1D467B"/>
    <w:rsid w:val="3C087302"/>
    <w:rsid w:val="3C1B4233"/>
    <w:rsid w:val="3F187CFD"/>
    <w:rsid w:val="40B871A3"/>
    <w:rsid w:val="45DE6EE5"/>
    <w:rsid w:val="462F1280"/>
    <w:rsid w:val="467B7346"/>
    <w:rsid w:val="48174664"/>
    <w:rsid w:val="48CE566A"/>
    <w:rsid w:val="48DD58AD"/>
    <w:rsid w:val="4C2D26A8"/>
    <w:rsid w:val="4E616639"/>
    <w:rsid w:val="54686973"/>
    <w:rsid w:val="549A28A4"/>
    <w:rsid w:val="556E5073"/>
    <w:rsid w:val="597C5CCB"/>
    <w:rsid w:val="5BC8419B"/>
    <w:rsid w:val="5CA95D7B"/>
    <w:rsid w:val="5CD03307"/>
    <w:rsid w:val="5F7F6E06"/>
    <w:rsid w:val="605B55DE"/>
    <w:rsid w:val="60870181"/>
    <w:rsid w:val="629628FD"/>
    <w:rsid w:val="65572DD1"/>
    <w:rsid w:val="677D408C"/>
    <w:rsid w:val="6A2353BE"/>
    <w:rsid w:val="6DA95E85"/>
    <w:rsid w:val="6EE32527"/>
    <w:rsid w:val="7056191E"/>
    <w:rsid w:val="73AE406D"/>
    <w:rsid w:val="76F46004"/>
    <w:rsid w:val="797572B9"/>
    <w:rsid w:val="7AA1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2">
    <w:name w:val="Title"/>
    <w:basedOn w:val="2"/>
    <w:next w:val="1"/>
    <w:link w:val="16"/>
    <w:qFormat/>
    <w:uiPriority w:val="0"/>
    <w:pPr>
      <w:widowControl/>
      <w:spacing w:before="0" w:after="240" w:afterLines="100" w:line="520" w:lineRule="exact"/>
      <w:jc w:val="center"/>
    </w:pPr>
    <w:rPr>
      <w:rFonts w:ascii="黑体" w:hAnsi="黑体" w:eastAsia="黑体"/>
      <w:b w:val="0"/>
      <w:shd w:val="clear" w:color="auto" w:fill="FFFFFF"/>
    </w:rPr>
  </w:style>
  <w:style w:type="character" w:styleId="15">
    <w:name w:val="Strong"/>
    <w:basedOn w:val="14"/>
    <w:qFormat/>
    <w:uiPriority w:val="22"/>
    <w:rPr>
      <w:b/>
    </w:rPr>
  </w:style>
  <w:style w:type="character" w:customStyle="1" w:styleId="16">
    <w:name w:val="标题 字符"/>
    <w:basedOn w:val="14"/>
    <w:link w:val="12"/>
    <w:autoRedefine/>
    <w:qFormat/>
    <w:uiPriority w:val="0"/>
    <w:rPr>
      <w:rFonts w:ascii="黑体" w:hAnsi="黑体" w:eastAsia="黑体"/>
      <w:bCs/>
      <w:kern w:val="44"/>
      <w:sz w:val="44"/>
      <w:szCs w:val="44"/>
    </w:rPr>
  </w:style>
  <w:style w:type="character" w:customStyle="1" w:styleId="17">
    <w:name w:val="标题 1 字符"/>
    <w:basedOn w:val="14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9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标题 4 字符"/>
    <w:basedOn w:val="14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1">
    <w:name w:val="标题 5 字符"/>
    <w:basedOn w:val="14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2">
    <w:name w:val="标题 6 字符"/>
    <w:basedOn w:val="14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3">
    <w:name w:val="标题 7 字符"/>
    <w:basedOn w:val="14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4">
    <w:name w:val="标题 8 字符"/>
    <w:basedOn w:val="14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5">
    <w:name w:val="标题 9 字符"/>
    <w:basedOn w:val="14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6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28">
    <w:name w:val="引用 字符"/>
    <w:basedOn w:val="14"/>
    <w:link w:val="27"/>
    <w:qFormat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4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明显引用 字符"/>
    <w:basedOn w:val="14"/>
    <w:link w:val="31"/>
    <w:qFormat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4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1208</Words>
  <Characters>6950</Characters>
  <Lines>3</Lines>
  <Paragraphs>1</Paragraphs>
  <TotalTime>12</TotalTime>
  <ScaleCrop>false</ScaleCrop>
  <LinksUpToDate>false</LinksUpToDate>
  <CharactersWithSpaces>7712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2025-08-24T11:27:00Z</dcterms:created>
  <dc:creator>Ce Zhou</dc:creator>
  <cp:lastModifiedBy>。。。</cp:lastModifiedBy>
  <dcterms:modified xsi:type="dcterms:W3CDTF">2026-03-03T10:50:11Z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eyJoZGlkIjoiN2MxNTZlZDA3NTAxYzlkZDk3ZjA5OWI1Mjc2OGIxYzIiLCJ1c2VySWQiOiI0MjYzNzAxNDUifQ==</vt:lpwstr>
  </property>
  <property fmtid="{D5CDD505-2E9C-101B-9397-08002B2CF9AE}" pid="3" name="KSOProductBuildVer">
    <vt:lpwstr>2052-12.1.0.24657</vt:lpwstr>
  </property>
  <property fmtid="{D5CDD505-2E9C-101B-9397-08002B2CF9AE}" pid="4" name="ICV">
    <vt:lpwstr>4F800D3E0D0F47038C61953801292833_12</vt:lpwstr>
  </property>
</Properties>
</file>