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D294" w14:textId="77777777" w:rsidR="0048736F" w:rsidRPr="0048736F" w:rsidRDefault="0048736F" w:rsidP="0048736F">
      <w:pPr>
        <w:spacing w:line="360" w:lineRule="auto"/>
        <w:rPr>
          <w:rFonts w:ascii="Times New Roman" w:hAnsi="Times New Roman" w:cs="Times New Roman"/>
          <w:b/>
          <w:bCs/>
          <w:sz w:val="28"/>
          <w:szCs w:val="32"/>
        </w:rPr>
      </w:pPr>
      <w:r w:rsidRPr="0048736F">
        <w:rPr>
          <w:rFonts w:ascii="Times New Roman" w:hAnsi="Times New Roman" w:cs="Times New Roman"/>
          <w:b/>
          <w:bCs/>
          <w:sz w:val="28"/>
          <w:szCs w:val="32"/>
        </w:rPr>
        <w:t>Inclusion Criteria</w:t>
      </w:r>
    </w:p>
    <w:p w14:paraId="49B4517F" w14:textId="2D1CF4BA" w:rsidR="0048736F" w:rsidRPr="0048736F" w:rsidRDefault="0048736F" w:rsidP="0048736F">
      <w:pPr>
        <w:spacing w:line="360" w:lineRule="auto"/>
        <w:rPr>
          <w:rFonts w:ascii="Times New Roman" w:hAnsi="Times New Roman" w:cs="Times New Roman"/>
          <w:sz w:val="24"/>
          <w:szCs w:val="28"/>
        </w:rPr>
      </w:pPr>
      <w:r w:rsidRPr="0048736F">
        <w:rPr>
          <w:rFonts w:ascii="Times New Roman" w:hAnsi="Times New Roman" w:cs="Times New Roman"/>
          <w:sz w:val="24"/>
          <w:szCs w:val="28"/>
        </w:rPr>
        <w:t>Study participants must satisfy all of the following conditions for enrollment in the study:</w:t>
      </w:r>
    </w:p>
    <w:p w14:paraId="25A74C5B" w14:textId="154E23E4" w:rsidR="0048736F" w:rsidRPr="0048736F" w:rsidRDefault="0048736F" w:rsidP="0048736F">
      <w:pPr>
        <w:spacing w:line="360" w:lineRule="auto"/>
        <w:rPr>
          <w:rFonts w:ascii="Times New Roman" w:hAnsi="Times New Roman" w:cs="Times New Roman"/>
          <w:sz w:val="24"/>
          <w:szCs w:val="28"/>
        </w:rPr>
      </w:pPr>
      <w:r>
        <w:rPr>
          <w:rFonts w:ascii="Times New Roman" w:hAnsi="Times New Roman" w:cs="Times New Roman" w:hint="eastAsia"/>
          <w:sz w:val="24"/>
          <w:szCs w:val="28"/>
        </w:rPr>
        <w:t xml:space="preserve">a). </w:t>
      </w:r>
      <w:r w:rsidRPr="0048736F">
        <w:rPr>
          <w:rFonts w:ascii="Times New Roman" w:hAnsi="Times New Roman" w:cs="Times New Roman"/>
          <w:sz w:val="24"/>
          <w:szCs w:val="28"/>
        </w:rPr>
        <w:t xml:space="preserve">Age range: </w:t>
      </w:r>
      <w:r w:rsidR="00DB09FD">
        <w:rPr>
          <w:rFonts w:ascii="Times New Roman" w:hAnsi="Times New Roman" w:cs="Times New Roman" w:hint="eastAsia"/>
          <w:sz w:val="24"/>
          <w:szCs w:val="28"/>
        </w:rPr>
        <w:t>c</w:t>
      </w:r>
      <w:r w:rsidRPr="0048736F">
        <w:rPr>
          <w:rFonts w:ascii="Times New Roman" w:hAnsi="Times New Roman" w:cs="Times New Roman"/>
          <w:sz w:val="24"/>
          <w:szCs w:val="28"/>
        </w:rPr>
        <w:t>hildren and adolescents aged &lt; 18 years.</w:t>
      </w:r>
    </w:p>
    <w:p w14:paraId="1E290305" w14:textId="75EAB286" w:rsidR="0048736F" w:rsidRPr="0048736F" w:rsidRDefault="0048736F" w:rsidP="0048736F">
      <w:pPr>
        <w:spacing w:line="360" w:lineRule="auto"/>
        <w:rPr>
          <w:rFonts w:ascii="Times New Roman" w:hAnsi="Times New Roman" w:cs="Times New Roman"/>
          <w:sz w:val="24"/>
          <w:szCs w:val="28"/>
        </w:rPr>
      </w:pPr>
      <w:r>
        <w:rPr>
          <w:rFonts w:ascii="Times New Roman" w:hAnsi="Times New Roman" w:cs="Times New Roman" w:hint="eastAsia"/>
          <w:sz w:val="24"/>
          <w:szCs w:val="28"/>
        </w:rPr>
        <w:t xml:space="preserve">b). </w:t>
      </w:r>
      <w:r w:rsidRPr="0048736F">
        <w:rPr>
          <w:rFonts w:ascii="Times New Roman" w:hAnsi="Times New Roman" w:cs="Times New Roman"/>
          <w:sz w:val="24"/>
          <w:szCs w:val="28"/>
        </w:rPr>
        <w:t xml:space="preserve">Etiological diagnosis: </w:t>
      </w:r>
      <w:r w:rsidR="00DB09FD">
        <w:rPr>
          <w:rFonts w:ascii="Times New Roman" w:hAnsi="Times New Roman" w:cs="Times New Roman" w:hint="eastAsia"/>
          <w:sz w:val="24"/>
          <w:szCs w:val="28"/>
        </w:rPr>
        <w:t>s</w:t>
      </w:r>
      <w:r w:rsidRPr="0048736F">
        <w:rPr>
          <w:rFonts w:ascii="Times New Roman" w:hAnsi="Times New Roman" w:cs="Times New Roman"/>
          <w:sz w:val="24"/>
          <w:szCs w:val="28"/>
        </w:rPr>
        <w:t>tool specimens tested positive for rotavirus, norovirus, or adenovirus via antigen detection assays.</w:t>
      </w:r>
    </w:p>
    <w:p w14:paraId="2665A6FE" w14:textId="604ACCB6" w:rsidR="0048736F" w:rsidRPr="0048736F" w:rsidRDefault="0048736F" w:rsidP="0048736F">
      <w:pPr>
        <w:spacing w:line="360" w:lineRule="auto"/>
        <w:rPr>
          <w:rFonts w:ascii="Times New Roman" w:hAnsi="Times New Roman" w:cs="Times New Roman"/>
          <w:sz w:val="24"/>
          <w:szCs w:val="28"/>
        </w:rPr>
      </w:pPr>
      <w:r>
        <w:rPr>
          <w:rFonts w:ascii="Times New Roman" w:hAnsi="Times New Roman" w:cs="Times New Roman" w:hint="eastAsia"/>
          <w:sz w:val="24"/>
          <w:szCs w:val="28"/>
        </w:rPr>
        <w:t xml:space="preserve">c). </w:t>
      </w:r>
      <w:r w:rsidRPr="0048736F">
        <w:rPr>
          <w:rFonts w:ascii="Times New Roman" w:hAnsi="Times New Roman" w:cs="Times New Roman"/>
          <w:sz w:val="24"/>
          <w:szCs w:val="28"/>
        </w:rPr>
        <w:t>Clinical diagnosis</w:t>
      </w:r>
      <w:r w:rsidR="00DB09FD">
        <w:rPr>
          <w:rFonts w:ascii="Times New Roman" w:hAnsi="Times New Roman" w:cs="Times New Roman" w:hint="eastAsia"/>
          <w:sz w:val="24"/>
          <w:szCs w:val="28"/>
        </w:rPr>
        <w:t>: f</w:t>
      </w:r>
      <w:r w:rsidRPr="0048736F">
        <w:rPr>
          <w:rFonts w:ascii="Times New Roman" w:hAnsi="Times New Roman" w:cs="Times New Roman"/>
          <w:sz w:val="24"/>
          <w:szCs w:val="28"/>
        </w:rPr>
        <w:t>ulfillment of clinical diagnostic criteria for viral acute gastroenteritis, generally defined as ≥ 3 episodes of watery or loose stools within 24 hours, with or without accompanying symptoms including vomiting, fever, and abdominal pain.</w:t>
      </w:r>
    </w:p>
    <w:p w14:paraId="78A73B7D" w14:textId="1F0623BE" w:rsidR="005C2649" w:rsidRDefault="0048736F" w:rsidP="00DA60F4">
      <w:pPr>
        <w:spacing w:after="160" w:line="360" w:lineRule="auto"/>
        <w:rPr>
          <w:rFonts w:ascii="Times New Roman" w:hAnsi="Times New Roman" w:cs="Times New Roman"/>
          <w:sz w:val="24"/>
          <w:szCs w:val="28"/>
        </w:rPr>
      </w:pPr>
      <w:r>
        <w:rPr>
          <w:rFonts w:ascii="Times New Roman" w:hAnsi="Times New Roman" w:cs="Times New Roman" w:hint="eastAsia"/>
          <w:sz w:val="24"/>
          <w:szCs w:val="28"/>
        </w:rPr>
        <w:t xml:space="preserve">d). </w:t>
      </w:r>
      <w:r w:rsidRPr="0048736F">
        <w:rPr>
          <w:rFonts w:ascii="Times New Roman" w:hAnsi="Times New Roman" w:cs="Times New Roman"/>
          <w:sz w:val="24"/>
          <w:szCs w:val="28"/>
        </w:rPr>
        <w:t xml:space="preserve">Medical documentation: </w:t>
      </w:r>
      <w:r w:rsidR="00DB09FD">
        <w:rPr>
          <w:rFonts w:ascii="Times New Roman" w:hAnsi="Times New Roman" w:cs="Times New Roman" w:hint="eastAsia"/>
          <w:sz w:val="24"/>
          <w:szCs w:val="28"/>
        </w:rPr>
        <w:t>a</w:t>
      </w:r>
      <w:r w:rsidRPr="0048736F">
        <w:rPr>
          <w:rFonts w:ascii="Times New Roman" w:hAnsi="Times New Roman" w:cs="Times New Roman"/>
          <w:sz w:val="24"/>
          <w:szCs w:val="28"/>
        </w:rPr>
        <w:t>vailability of complete inpatient or emergency department medical records, with key variables (e.g., demographic data, laboratory test results) fully documented.</w:t>
      </w:r>
    </w:p>
    <w:p w14:paraId="794F7787" w14:textId="1F2B44E4" w:rsidR="0014793B" w:rsidRPr="0014793B" w:rsidRDefault="0014793B" w:rsidP="0014793B">
      <w:pPr>
        <w:spacing w:line="360" w:lineRule="auto"/>
        <w:rPr>
          <w:rFonts w:ascii="Times New Roman" w:hAnsi="Times New Roman" w:cs="Times New Roman" w:hint="eastAsia"/>
          <w:b/>
          <w:bCs/>
          <w:sz w:val="28"/>
          <w:szCs w:val="32"/>
        </w:rPr>
      </w:pPr>
      <w:r w:rsidRPr="0014793B">
        <w:rPr>
          <w:rFonts w:ascii="Times New Roman" w:hAnsi="Times New Roman" w:cs="Times New Roman" w:hint="eastAsia"/>
          <w:b/>
          <w:bCs/>
          <w:sz w:val="28"/>
          <w:szCs w:val="32"/>
        </w:rPr>
        <w:t>Exclusion Criteria</w:t>
      </w:r>
    </w:p>
    <w:p w14:paraId="78A9703F" w14:textId="77777777" w:rsidR="0014793B" w:rsidRPr="0014793B" w:rsidRDefault="0014793B" w:rsidP="0014793B">
      <w:pPr>
        <w:spacing w:line="360" w:lineRule="auto"/>
        <w:rPr>
          <w:rFonts w:ascii="Times New Roman" w:hAnsi="Times New Roman" w:cs="Times New Roman" w:hint="eastAsia"/>
          <w:sz w:val="24"/>
          <w:szCs w:val="28"/>
        </w:rPr>
      </w:pPr>
      <w:r w:rsidRPr="0014793B">
        <w:rPr>
          <w:rFonts w:ascii="Times New Roman" w:hAnsi="Times New Roman" w:cs="Times New Roman" w:hint="eastAsia"/>
          <w:sz w:val="24"/>
          <w:szCs w:val="28"/>
        </w:rPr>
        <w:t xml:space="preserve">Study participants meeting any of the following criteria will be excluded from the study:  </w:t>
      </w:r>
    </w:p>
    <w:p w14:paraId="7FF09DB4" w14:textId="18997B96" w:rsidR="0014793B" w:rsidRPr="0014793B" w:rsidRDefault="00DB09FD" w:rsidP="00DB09FD">
      <w:pPr>
        <w:spacing w:line="360" w:lineRule="auto"/>
        <w:rPr>
          <w:rFonts w:ascii="Times New Roman" w:hAnsi="Times New Roman" w:cs="Times New Roman" w:hint="eastAsia"/>
          <w:sz w:val="24"/>
          <w:szCs w:val="28"/>
        </w:rPr>
      </w:pPr>
      <w:r>
        <w:rPr>
          <w:rFonts w:ascii="Times New Roman" w:hAnsi="Times New Roman" w:cs="Times New Roman" w:hint="eastAsia"/>
          <w:sz w:val="24"/>
          <w:szCs w:val="28"/>
        </w:rPr>
        <w:t>a)</w:t>
      </w:r>
      <w:r w:rsidR="0014793B" w:rsidRPr="0014793B">
        <w:rPr>
          <w:rFonts w:ascii="Times New Roman" w:hAnsi="Times New Roman" w:cs="Times New Roman" w:hint="eastAsia"/>
          <w:sz w:val="24"/>
          <w:szCs w:val="28"/>
        </w:rPr>
        <w:t xml:space="preserve">. Non-viral or alternative etiologies: </w:t>
      </w:r>
      <w:r>
        <w:rPr>
          <w:rFonts w:ascii="Times New Roman" w:hAnsi="Times New Roman" w:cs="Times New Roman" w:hint="eastAsia"/>
          <w:sz w:val="24"/>
          <w:szCs w:val="28"/>
        </w:rPr>
        <w:t>c</w:t>
      </w:r>
      <w:r w:rsidR="0014793B" w:rsidRPr="0014793B">
        <w:rPr>
          <w:rFonts w:ascii="Times New Roman" w:hAnsi="Times New Roman" w:cs="Times New Roman" w:hint="eastAsia"/>
          <w:sz w:val="24"/>
          <w:szCs w:val="28"/>
        </w:rPr>
        <w:t xml:space="preserve">onfirmed bacterial diarrhea (e.g., </w:t>
      </w:r>
      <w:r w:rsidR="0014793B" w:rsidRPr="0014793B">
        <w:rPr>
          <w:rFonts w:ascii="Times New Roman" w:hAnsi="Times New Roman" w:cs="Times New Roman" w:hint="eastAsia"/>
          <w:i/>
          <w:iCs/>
          <w:sz w:val="24"/>
          <w:szCs w:val="28"/>
        </w:rPr>
        <w:t>Salmonella spp., Shigella spp.</w:t>
      </w:r>
      <w:r w:rsidR="0014793B" w:rsidRPr="0014793B">
        <w:rPr>
          <w:rFonts w:ascii="Times New Roman" w:hAnsi="Times New Roman" w:cs="Times New Roman" w:hint="eastAsia"/>
          <w:sz w:val="24"/>
          <w:szCs w:val="28"/>
        </w:rPr>
        <w:t xml:space="preserve">), parasitic diarrhea (e.g., </w:t>
      </w:r>
      <w:r w:rsidR="0014793B" w:rsidRPr="00023707">
        <w:rPr>
          <w:rFonts w:ascii="Times New Roman" w:hAnsi="Times New Roman" w:cs="Times New Roman" w:hint="eastAsia"/>
          <w:i/>
          <w:iCs/>
          <w:sz w:val="24"/>
          <w:szCs w:val="28"/>
        </w:rPr>
        <w:t>Entamoeba histolytica</w:t>
      </w:r>
      <w:r w:rsidR="0014793B" w:rsidRPr="0014793B">
        <w:rPr>
          <w:rFonts w:ascii="Times New Roman" w:hAnsi="Times New Roman" w:cs="Times New Roman" w:hint="eastAsia"/>
          <w:sz w:val="24"/>
          <w:szCs w:val="28"/>
        </w:rPr>
        <w:t xml:space="preserve">), or other non-viral causes of acute diarrhea; </w:t>
      </w:r>
      <w:r>
        <w:rPr>
          <w:rFonts w:ascii="Times New Roman" w:hAnsi="Times New Roman" w:cs="Times New Roman" w:hint="eastAsia"/>
          <w:sz w:val="24"/>
          <w:szCs w:val="28"/>
        </w:rPr>
        <w:t>a</w:t>
      </w:r>
      <w:r w:rsidR="0014793B" w:rsidRPr="0014793B">
        <w:rPr>
          <w:rFonts w:ascii="Times New Roman" w:hAnsi="Times New Roman" w:cs="Times New Roman" w:hint="eastAsia"/>
          <w:sz w:val="24"/>
          <w:szCs w:val="28"/>
        </w:rPr>
        <w:t>symptomatic viral detection without clinical diarrhea;</w:t>
      </w:r>
      <w:r>
        <w:rPr>
          <w:rFonts w:ascii="Times New Roman" w:hAnsi="Times New Roman" w:cs="Times New Roman" w:hint="eastAsia"/>
          <w:sz w:val="24"/>
          <w:szCs w:val="28"/>
        </w:rPr>
        <w:t xml:space="preserve"> p</w:t>
      </w:r>
      <w:r w:rsidR="0014793B" w:rsidRPr="0014793B">
        <w:rPr>
          <w:rFonts w:ascii="Times New Roman" w:hAnsi="Times New Roman" w:cs="Times New Roman" w:hint="eastAsia"/>
          <w:sz w:val="24"/>
          <w:szCs w:val="28"/>
        </w:rPr>
        <w:t>rotracted diarrhea (&gt;14 days</w:t>
      </w:r>
      <w:r w:rsidR="00E87551">
        <w:rPr>
          <w:rFonts w:ascii="Times New Roman" w:hAnsi="Times New Roman" w:cs="Times New Roman"/>
          <w:sz w:val="24"/>
          <w:szCs w:val="28"/>
        </w:rPr>
        <w:t>’</w:t>
      </w:r>
      <w:r w:rsidR="00E87551">
        <w:rPr>
          <w:rFonts w:ascii="Times New Roman" w:hAnsi="Times New Roman" w:cs="Times New Roman" w:hint="eastAsia"/>
          <w:sz w:val="24"/>
          <w:szCs w:val="28"/>
        </w:rPr>
        <w:t xml:space="preserve"> </w:t>
      </w:r>
      <w:r w:rsidR="0014793B" w:rsidRPr="0014793B">
        <w:rPr>
          <w:rFonts w:ascii="Times New Roman" w:hAnsi="Times New Roman" w:cs="Times New Roman" w:hint="eastAsia"/>
          <w:sz w:val="24"/>
          <w:szCs w:val="28"/>
        </w:rPr>
        <w:t>duration) or chronic diarrhea (e.g., inflammatory bowel disease).</w:t>
      </w:r>
    </w:p>
    <w:p w14:paraId="10694ACA" w14:textId="03DBE430" w:rsidR="0014793B" w:rsidRPr="0014793B" w:rsidRDefault="00DB09FD" w:rsidP="0014793B">
      <w:pPr>
        <w:spacing w:line="360" w:lineRule="auto"/>
        <w:rPr>
          <w:rFonts w:ascii="Times New Roman" w:hAnsi="Times New Roman" w:cs="Times New Roman" w:hint="eastAsia"/>
          <w:sz w:val="24"/>
          <w:szCs w:val="28"/>
        </w:rPr>
      </w:pPr>
      <w:r>
        <w:rPr>
          <w:rFonts w:ascii="Times New Roman" w:hAnsi="Times New Roman" w:cs="Times New Roman" w:hint="eastAsia"/>
          <w:sz w:val="24"/>
          <w:szCs w:val="28"/>
        </w:rPr>
        <w:t>b)</w:t>
      </w:r>
      <w:r w:rsidR="0014793B" w:rsidRPr="0014793B">
        <w:rPr>
          <w:rFonts w:ascii="Times New Roman" w:hAnsi="Times New Roman" w:cs="Times New Roman" w:hint="eastAsia"/>
          <w:sz w:val="24"/>
          <w:szCs w:val="28"/>
        </w:rPr>
        <w:t xml:space="preserve">. Infection origin: </w:t>
      </w:r>
      <w:r w:rsidR="00044AD0">
        <w:rPr>
          <w:rFonts w:ascii="Times New Roman" w:hAnsi="Times New Roman" w:cs="Times New Roman" w:hint="eastAsia"/>
          <w:sz w:val="24"/>
          <w:szCs w:val="28"/>
        </w:rPr>
        <w:t>h</w:t>
      </w:r>
      <w:r w:rsidR="0014793B" w:rsidRPr="0014793B">
        <w:rPr>
          <w:rFonts w:ascii="Times New Roman" w:hAnsi="Times New Roman" w:cs="Times New Roman" w:hint="eastAsia"/>
          <w:sz w:val="24"/>
          <w:szCs w:val="28"/>
        </w:rPr>
        <w:t xml:space="preserve">ospital-acquired infection, defined as negative baseline testing at admission followed by symptom onset and positive viral detection </w:t>
      </w:r>
      <w:r w:rsidR="0014793B" w:rsidRPr="0014793B">
        <w:rPr>
          <w:rFonts w:ascii="Times New Roman" w:hAnsi="Times New Roman" w:cs="Times New Roman" w:hint="eastAsia"/>
          <w:sz w:val="24"/>
          <w:szCs w:val="28"/>
        </w:rPr>
        <w:t>≥</w:t>
      </w:r>
      <w:r w:rsidR="0014793B" w:rsidRPr="0014793B">
        <w:rPr>
          <w:rFonts w:ascii="Times New Roman" w:hAnsi="Times New Roman" w:cs="Times New Roman" w:hint="eastAsia"/>
          <w:sz w:val="24"/>
          <w:szCs w:val="28"/>
        </w:rPr>
        <w:t>48 hours after hospitalization</w:t>
      </w:r>
      <w:r w:rsidR="00A11468">
        <w:rPr>
          <w:rFonts w:ascii="Times New Roman" w:hAnsi="Times New Roman" w:cs="Times New Roman" w:hint="eastAsia"/>
          <w:sz w:val="24"/>
          <w:szCs w:val="28"/>
        </w:rPr>
        <w:t xml:space="preserve">; </w:t>
      </w:r>
      <w:r w:rsidR="00CC675D">
        <w:rPr>
          <w:rFonts w:ascii="Times New Roman" w:hAnsi="Times New Roman" w:cs="Times New Roman" w:hint="eastAsia"/>
          <w:sz w:val="24"/>
          <w:szCs w:val="28"/>
        </w:rPr>
        <w:t>s</w:t>
      </w:r>
      <w:r w:rsidR="0014793B" w:rsidRPr="0014793B">
        <w:rPr>
          <w:rFonts w:ascii="Times New Roman" w:hAnsi="Times New Roman" w:cs="Times New Roman" w:hint="eastAsia"/>
          <w:sz w:val="24"/>
          <w:szCs w:val="28"/>
        </w:rPr>
        <w:t>evere or refractory diarrhea definitively attributable to congenital immunodeficiency disorders (e.g., IPEX syndrome, severe combined immunodeficiency).</w:t>
      </w:r>
    </w:p>
    <w:p w14:paraId="30C42620" w14:textId="64CFC920" w:rsidR="0014793B" w:rsidRPr="0014793B" w:rsidRDefault="00A11468" w:rsidP="00A11468">
      <w:pPr>
        <w:spacing w:line="360" w:lineRule="auto"/>
        <w:rPr>
          <w:rFonts w:ascii="Times New Roman" w:hAnsi="Times New Roman" w:cs="Times New Roman" w:hint="eastAsia"/>
          <w:sz w:val="24"/>
          <w:szCs w:val="28"/>
        </w:rPr>
      </w:pPr>
      <w:r>
        <w:rPr>
          <w:rFonts w:ascii="Times New Roman" w:hAnsi="Times New Roman" w:cs="Times New Roman" w:hint="eastAsia"/>
          <w:sz w:val="24"/>
          <w:szCs w:val="28"/>
        </w:rPr>
        <w:t>c)</w:t>
      </w:r>
      <w:r w:rsidR="0014793B" w:rsidRPr="0014793B">
        <w:rPr>
          <w:rFonts w:ascii="Times New Roman" w:hAnsi="Times New Roman" w:cs="Times New Roman" w:hint="eastAsia"/>
          <w:sz w:val="24"/>
          <w:szCs w:val="28"/>
        </w:rPr>
        <w:t xml:space="preserve">. Data completeness: </w:t>
      </w:r>
      <w:r>
        <w:rPr>
          <w:rFonts w:ascii="Times New Roman" w:hAnsi="Times New Roman" w:cs="Times New Roman" w:hint="eastAsia"/>
          <w:sz w:val="24"/>
          <w:szCs w:val="28"/>
        </w:rPr>
        <w:t>m</w:t>
      </w:r>
      <w:r w:rsidR="0014793B" w:rsidRPr="0014793B">
        <w:rPr>
          <w:rFonts w:ascii="Times New Roman" w:hAnsi="Times New Roman" w:cs="Times New Roman" w:hint="eastAsia"/>
          <w:sz w:val="24"/>
          <w:szCs w:val="28"/>
        </w:rPr>
        <w:t>edical records lacking complete documentation of key variables</w:t>
      </w:r>
      <w:r>
        <w:rPr>
          <w:rFonts w:ascii="Times New Roman" w:hAnsi="Times New Roman" w:cs="Times New Roman" w:hint="eastAsia"/>
          <w:sz w:val="24"/>
          <w:szCs w:val="28"/>
        </w:rPr>
        <w:t xml:space="preserve"> (</w:t>
      </w:r>
      <w:r w:rsidR="0014793B" w:rsidRPr="0014793B">
        <w:rPr>
          <w:rFonts w:ascii="Times New Roman" w:hAnsi="Times New Roman" w:cs="Times New Roman" w:hint="eastAsia"/>
          <w:sz w:val="24"/>
          <w:szCs w:val="28"/>
        </w:rPr>
        <w:t>including age, sex, and etiological test results</w:t>
      </w:r>
      <w:r>
        <w:rPr>
          <w:rFonts w:ascii="Times New Roman" w:hAnsi="Times New Roman" w:cs="Times New Roman" w:hint="eastAsia"/>
          <w:sz w:val="24"/>
          <w:szCs w:val="28"/>
        </w:rPr>
        <w:t xml:space="preserve">) </w:t>
      </w:r>
      <w:r w:rsidR="0014793B" w:rsidRPr="0014793B">
        <w:rPr>
          <w:rFonts w:ascii="Times New Roman" w:hAnsi="Times New Roman" w:cs="Times New Roman" w:hint="eastAsia"/>
          <w:sz w:val="24"/>
          <w:szCs w:val="28"/>
        </w:rPr>
        <w:t>rendering them unsuitable for analysis.</w:t>
      </w:r>
    </w:p>
    <w:p w14:paraId="2F734C7D" w14:textId="0E721334" w:rsidR="0014793B" w:rsidRPr="0048736F" w:rsidRDefault="00A11468" w:rsidP="00A11468">
      <w:pPr>
        <w:spacing w:line="360" w:lineRule="auto"/>
        <w:rPr>
          <w:rFonts w:ascii="Times New Roman" w:hAnsi="Times New Roman" w:cs="Times New Roman"/>
          <w:sz w:val="24"/>
          <w:szCs w:val="28"/>
        </w:rPr>
      </w:pPr>
      <w:r>
        <w:rPr>
          <w:rFonts w:ascii="Times New Roman" w:hAnsi="Times New Roman" w:cs="Times New Roman" w:hint="eastAsia"/>
          <w:sz w:val="24"/>
          <w:szCs w:val="28"/>
        </w:rPr>
        <w:lastRenderedPageBreak/>
        <w:t>d)</w:t>
      </w:r>
      <w:r w:rsidR="0014793B" w:rsidRPr="0014793B">
        <w:rPr>
          <w:rFonts w:ascii="Times New Roman" w:hAnsi="Times New Roman" w:cs="Times New Roman" w:hint="eastAsia"/>
          <w:sz w:val="24"/>
          <w:szCs w:val="28"/>
        </w:rPr>
        <w:t xml:space="preserve">. Comorbidities: </w:t>
      </w:r>
      <w:r>
        <w:rPr>
          <w:rFonts w:ascii="Times New Roman" w:hAnsi="Times New Roman" w:cs="Times New Roman" w:hint="eastAsia"/>
          <w:sz w:val="24"/>
          <w:szCs w:val="28"/>
        </w:rPr>
        <w:t>p</w:t>
      </w:r>
      <w:r w:rsidR="0014793B" w:rsidRPr="0014793B">
        <w:rPr>
          <w:rFonts w:ascii="Times New Roman" w:hAnsi="Times New Roman" w:cs="Times New Roman" w:hint="eastAsia"/>
          <w:sz w:val="24"/>
          <w:szCs w:val="28"/>
        </w:rPr>
        <w:t>resence of severe underlying conditions (e.g., active malignancy, solid organ transplantation within the past 12 months) that may confound the clinical presentation, natural history, or diagnostic interpretation of acute viral gastroenteritis.</w:t>
      </w:r>
    </w:p>
    <w:sectPr w:rsidR="0014793B" w:rsidRPr="004873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C7151" w14:textId="77777777" w:rsidR="00E81D84" w:rsidRDefault="00E81D84" w:rsidP="0048736F">
      <w:pPr>
        <w:rPr>
          <w:rFonts w:hint="eastAsia"/>
        </w:rPr>
      </w:pPr>
      <w:r>
        <w:separator/>
      </w:r>
    </w:p>
  </w:endnote>
  <w:endnote w:type="continuationSeparator" w:id="0">
    <w:p w14:paraId="705505BD" w14:textId="77777777" w:rsidR="00E81D84" w:rsidRDefault="00E81D84" w:rsidP="0048736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7A52B" w14:textId="77777777" w:rsidR="00E81D84" w:rsidRDefault="00E81D84" w:rsidP="0048736F">
      <w:pPr>
        <w:rPr>
          <w:rFonts w:hint="eastAsia"/>
        </w:rPr>
      </w:pPr>
      <w:r>
        <w:separator/>
      </w:r>
    </w:p>
  </w:footnote>
  <w:footnote w:type="continuationSeparator" w:id="0">
    <w:p w14:paraId="36BF3AD7" w14:textId="77777777" w:rsidR="00E81D84" w:rsidRDefault="00E81D84" w:rsidP="0048736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33D0D"/>
    <w:multiLevelType w:val="hybridMultilevel"/>
    <w:tmpl w:val="2782ED38"/>
    <w:lvl w:ilvl="0" w:tplc="FBB4ECB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04513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F0A"/>
    <w:rsid w:val="00023707"/>
    <w:rsid w:val="00044AD0"/>
    <w:rsid w:val="0014793B"/>
    <w:rsid w:val="0048736F"/>
    <w:rsid w:val="005A0A47"/>
    <w:rsid w:val="005C2649"/>
    <w:rsid w:val="00751483"/>
    <w:rsid w:val="00A11468"/>
    <w:rsid w:val="00A15F0A"/>
    <w:rsid w:val="00CC675D"/>
    <w:rsid w:val="00DA60F4"/>
    <w:rsid w:val="00DB09FD"/>
    <w:rsid w:val="00DE709D"/>
    <w:rsid w:val="00E81D84"/>
    <w:rsid w:val="00E87551"/>
    <w:rsid w:val="00F02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4DD87"/>
  <w15:chartTrackingRefBased/>
  <w15:docId w15:val="{A50E34AF-0C4E-4B21-A42D-BEE114C3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15F0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15F0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15F0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15F0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15F0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15F0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15F0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15F0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15F0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5F0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15F0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15F0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15F0A"/>
    <w:rPr>
      <w:rFonts w:cstheme="majorBidi"/>
      <w:color w:val="0F4761" w:themeColor="accent1" w:themeShade="BF"/>
      <w:sz w:val="28"/>
      <w:szCs w:val="28"/>
    </w:rPr>
  </w:style>
  <w:style w:type="character" w:customStyle="1" w:styleId="50">
    <w:name w:val="标题 5 字符"/>
    <w:basedOn w:val="a0"/>
    <w:link w:val="5"/>
    <w:uiPriority w:val="9"/>
    <w:semiHidden/>
    <w:rsid w:val="00A15F0A"/>
    <w:rPr>
      <w:rFonts w:cstheme="majorBidi"/>
      <w:color w:val="0F4761" w:themeColor="accent1" w:themeShade="BF"/>
      <w:sz w:val="24"/>
      <w:szCs w:val="24"/>
    </w:rPr>
  </w:style>
  <w:style w:type="character" w:customStyle="1" w:styleId="60">
    <w:name w:val="标题 6 字符"/>
    <w:basedOn w:val="a0"/>
    <w:link w:val="6"/>
    <w:uiPriority w:val="9"/>
    <w:semiHidden/>
    <w:rsid w:val="00A15F0A"/>
    <w:rPr>
      <w:rFonts w:cstheme="majorBidi"/>
      <w:b/>
      <w:bCs/>
      <w:color w:val="0F4761" w:themeColor="accent1" w:themeShade="BF"/>
    </w:rPr>
  </w:style>
  <w:style w:type="character" w:customStyle="1" w:styleId="70">
    <w:name w:val="标题 7 字符"/>
    <w:basedOn w:val="a0"/>
    <w:link w:val="7"/>
    <w:uiPriority w:val="9"/>
    <w:semiHidden/>
    <w:rsid w:val="00A15F0A"/>
    <w:rPr>
      <w:rFonts w:cstheme="majorBidi"/>
      <w:b/>
      <w:bCs/>
      <w:color w:val="595959" w:themeColor="text1" w:themeTint="A6"/>
    </w:rPr>
  </w:style>
  <w:style w:type="character" w:customStyle="1" w:styleId="80">
    <w:name w:val="标题 8 字符"/>
    <w:basedOn w:val="a0"/>
    <w:link w:val="8"/>
    <w:uiPriority w:val="9"/>
    <w:semiHidden/>
    <w:rsid w:val="00A15F0A"/>
    <w:rPr>
      <w:rFonts w:cstheme="majorBidi"/>
      <w:color w:val="595959" w:themeColor="text1" w:themeTint="A6"/>
    </w:rPr>
  </w:style>
  <w:style w:type="character" w:customStyle="1" w:styleId="90">
    <w:name w:val="标题 9 字符"/>
    <w:basedOn w:val="a0"/>
    <w:link w:val="9"/>
    <w:uiPriority w:val="9"/>
    <w:semiHidden/>
    <w:rsid w:val="00A15F0A"/>
    <w:rPr>
      <w:rFonts w:eastAsiaTheme="majorEastAsia" w:cstheme="majorBidi"/>
      <w:color w:val="595959" w:themeColor="text1" w:themeTint="A6"/>
    </w:rPr>
  </w:style>
  <w:style w:type="paragraph" w:styleId="a3">
    <w:name w:val="Title"/>
    <w:basedOn w:val="a"/>
    <w:next w:val="a"/>
    <w:link w:val="a4"/>
    <w:uiPriority w:val="10"/>
    <w:qFormat/>
    <w:rsid w:val="00A15F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15F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F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15F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5F0A"/>
    <w:pPr>
      <w:spacing w:before="160" w:after="160"/>
      <w:jc w:val="center"/>
    </w:pPr>
    <w:rPr>
      <w:i/>
      <w:iCs/>
      <w:color w:val="404040" w:themeColor="text1" w:themeTint="BF"/>
    </w:rPr>
  </w:style>
  <w:style w:type="character" w:customStyle="1" w:styleId="a8">
    <w:name w:val="引用 字符"/>
    <w:basedOn w:val="a0"/>
    <w:link w:val="a7"/>
    <w:uiPriority w:val="29"/>
    <w:rsid w:val="00A15F0A"/>
    <w:rPr>
      <w:i/>
      <w:iCs/>
      <w:color w:val="404040" w:themeColor="text1" w:themeTint="BF"/>
    </w:rPr>
  </w:style>
  <w:style w:type="paragraph" w:styleId="a9">
    <w:name w:val="List Paragraph"/>
    <w:basedOn w:val="a"/>
    <w:uiPriority w:val="34"/>
    <w:qFormat/>
    <w:rsid w:val="00A15F0A"/>
    <w:pPr>
      <w:ind w:left="720"/>
      <w:contextualSpacing/>
    </w:pPr>
  </w:style>
  <w:style w:type="character" w:styleId="aa">
    <w:name w:val="Intense Emphasis"/>
    <w:basedOn w:val="a0"/>
    <w:uiPriority w:val="21"/>
    <w:qFormat/>
    <w:rsid w:val="00A15F0A"/>
    <w:rPr>
      <w:i/>
      <w:iCs/>
      <w:color w:val="0F4761" w:themeColor="accent1" w:themeShade="BF"/>
    </w:rPr>
  </w:style>
  <w:style w:type="paragraph" w:styleId="ab">
    <w:name w:val="Intense Quote"/>
    <w:basedOn w:val="a"/>
    <w:next w:val="a"/>
    <w:link w:val="ac"/>
    <w:uiPriority w:val="30"/>
    <w:qFormat/>
    <w:rsid w:val="00A15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15F0A"/>
    <w:rPr>
      <w:i/>
      <w:iCs/>
      <w:color w:val="0F4761" w:themeColor="accent1" w:themeShade="BF"/>
    </w:rPr>
  </w:style>
  <w:style w:type="character" w:styleId="ad">
    <w:name w:val="Intense Reference"/>
    <w:basedOn w:val="a0"/>
    <w:uiPriority w:val="32"/>
    <w:qFormat/>
    <w:rsid w:val="00A15F0A"/>
    <w:rPr>
      <w:b/>
      <w:bCs/>
      <w:smallCaps/>
      <w:color w:val="0F4761" w:themeColor="accent1" w:themeShade="BF"/>
      <w:spacing w:val="5"/>
    </w:rPr>
  </w:style>
  <w:style w:type="paragraph" w:styleId="ae">
    <w:name w:val="header"/>
    <w:basedOn w:val="a"/>
    <w:link w:val="af"/>
    <w:uiPriority w:val="99"/>
    <w:unhideWhenUsed/>
    <w:rsid w:val="0048736F"/>
    <w:pPr>
      <w:tabs>
        <w:tab w:val="center" w:pos="4153"/>
        <w:tab w:val="right" w:pos="8306"/>
      </w:tabs>
      <w:snapToGrid w:val="0"/>
      <w:jc w:val="center"/>
    </w:pPr>
    <w:rPr>
      <w:sz w:val="18"/>
      <w:szCs w:val="18"/>
    </w:rPr>
  </w:style>
  <w:style w:type="character" w:customStyle="1" w:styleId="af">
    <w:name w:val="页眉 字符"/>
    <w:basedOn w:val="a0"/>
    <w:link w:val="ae"/>
    <w:uiPriority w:val="99"/>
    <w:rsid w:val="0048736F"/>
    <w:rPr>
      <w:sz w:val="18"/>
      <w:szCs w:val="18"/>
    </w:rPr>
  </w:style>
  <w:style w:type="paragraph" w:styleId="af0">
    <w:name w:val="footer"/>
    <w:basedOn w:val="a"/>
    <w:link w:val="af1"/>
    <w:uiPriority w:val="99"/>
    <w:unhideWhenUsed/>
    <w:rsid w:val="0048736F"/>
    <w:pPr>
      <w:tabs>
        <w:tab w:val="center" w:pos="4153"/>
        <w:tab w:val="right" w:pos="8306"/>
      </w:tabs>
      <w:snapToGrid w:val="0"/>
      <w:jc w:val="left"/>
    </w:pPr>
    <w:rPr>
      <w:sz w:val="18"/>
      <w:szCs w:val="18"/>
    </w:rPr>
  </w:style>
  <w:style w:type="character" w:customStyle="1" w:styleId="af1">
    <w:name w:val="页脚 字符"/>
    <w:basedOn w:val="a0"/>
    <w:link w:val="af0"/>
    <w:uiPriority w:val="99"/>
    <w:rsid w:val="0048736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mingyang</dc:creator>
  <cp:keywords/>
  <dc:description/>
  <cp:lastModifiedBy>tang mingyang</cp:lastModifiedBy>
  <cp:revision>29</cp:revision>
  <dcterms:created xsi:type="dcterms:W3CDTF">2026-03-24T12:27:00Z</dcterms:created>
  <dcterms:modified xsi:type="dcterms:W3CDTF">2026-03-24T12:39:00Z</dcterms:modified>
</cp:coreProperties>
</file>