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3B6E5">
      <w:pPr>
        <w:rPr>
          <w:rFonts w:hint="eastAsia"/>
          <w:b/>
          <w:bCs/>
        </w:rPr>
      </w:pPr>
      <w:r>
        <w:rPr>
          <w:rFonts w:hint="eastAsia"/>
          <w:b/>
          <w:bCs/>
        </w:rPr>
        <w:t>Points for clinical practice</w:t>
      </w:r>
    </w:p>
    <w:p w14:paraId="436C487E">
      <w:pPr>
        <w:jc w:val="both"/>
      </w:pPr>
      <w:r>
        <w:t>This meta-analysis, which included 14 RCTs regarding benralizumab for severe eosinophilic asthma, with 13</w:t>
      </w:r>
      <w:r>
        <w:rPr>
          <w:rFonts w:ascii="Times New Roman" w:hAnsi="Times New Roman" w:cs="Times New Roman"/>
        </w:rPr>
        <w:t> </w:t>
      </w:r>
      <w:r>
        <w:t>166 participants in total, demonstrated that benralizumab significantly reduced exacerbations and hospitalisations, improved lung function, asthma con</w:t>
      </w:r>
      <w:r>
        <w:rPr>
          <w:rFonts w:hint="eastAsia"/>
        </w:rPr>
        <w:t>trol and quality of life, with a favourable safety profile.</w:t>
      </w:r>
    </w:p>
    <w:p w14:paraId="37F3A652">
      <w:pPr>
        <w:pStyle w:val="28"/>
        <w:numPr>
          <w:ilvl w:val="0"/>
          <w:numId w:val="1"/>
        </w:numPr>
        <w:jc w:val="both"/>
      </w:pPr>
      <w:r>
        <w:t>Benralizumab reduced the overall risk of asthma exacerbations by 39% and the risk of asthma-related hospitalisations by 46%.</w:t>
      </w:r>
    </w:p>
    <w:p w14:paraId="75BD8CF9">
      <w:pPr>
        <w:pStyle w:val="28"/>
        <w:numPr>
          <w:ilvl w:val="0"/>
          <w:numId w:val="1"/>
        </w:numPr>
        <w:jc w:val="both"/>
      </w:pPr>
      <w:r>
        <w:t>Patients with a baseline blood eosinophil count ≥300</w:t>
      </w:r>
      <w:r>
        <w:rPr>
          <w:rFonts w:ascii="Times New Roman" w:hAnsi="Times New Roman" w:cs="Times New Roman"/>
        </w:rPr>
        <w:t> </w:t>
      </w:r>
      <w:r>
        <w:t>cells/</w:t>
      </w:r>
      <w:r>
        <w:rPr>
          <w:rFonts w:hint="eastAsia" w:ascii="等线" w:hAnsi="等线" w:eastAsia="等线" w:cs="等线"/>
        </w:rPr>
        <w:t>μ</w:t>
      </w:r>
      <w:r>
        <w:t>L derived substantially greater benefit in terms of exacerbation reduction, lung function (FEV</w:t>
      </w:r>
      <w:r>
        <w:rPr>
          <w:rFonts w:ascii="Cambria Math" w:hAnsi="Cambria Math" w:cs="Cambria Math"/>
        </w:rPr>
        <w:t>₁</w:t>
      </w:r>
      <w:r>
        <w:t>) improvement, and symptom control compared to those with counts &lt;300</w:t>
      </w:r>
      <w:r>
        <w:rPr>
          <w:rFonts w:ascii="Times New Roman" w:hAnsi="Times New Roman" w:cs="Times New Roman"/>
        </w:rPr>
        <w:t> </w:t>
      </w:r>
      <w:r>
        <w:t>cells/</w:t>
      </w:r>
      <w:r>
        <w:rPr>
          <w:rFonts w:hint="eastAsia" w:ascii="等线" w:hAnsi="等线" w:eastAsia="等线" w:cs="等线"/>
        </w:rPr>
        <w:t>μ</w:t>
      </w:r>
      <w:r>
        <w:t>L.</w:t>
      </w:r>
    </w:p>
    <w:p w14:paraId="00C51B40">
      <w:pPr>
        <w:pStyle w:val="28"/>
        <w:numPr>
          <w:ilvl w:val="0"/>
          <w:numId w:val="1"/>
        </w:numPr>
        <w:jc w:val="both"/>
      </w:pPr>
      <w:r>
        <w:t>Dosing every 8</w:t>
      </w:r>
      <w:r>
        <w:rPr>
          <w:rFonts w:ascii="Times New Roman" w:hAnsi="Times New Roman" w:cs="Times New Roman"/>
        </w:rPr>
        <w:t> </w:t>
      </w:r>
      <w:r>
        <w:t>weeks (after initial loading) showed efficacy comparable to every</w:t>
      </w:r>
      <w:r>
        <w:rPr>
          <w:rFonts w:ascii="Cambria Math" w:hAnsi="Cambria Math" w:cs="Cambria Math"/>
        </w:rPr>
        <w:t>‑</w:t>
      </w:r>
      <w:r>
        <w:t>4</w:t>
      </w:r>
      <w:r>
        <w:rPr>
          <w:rFonts w:ascii="Cambria Math" w:hAnsi="Cambria Math" w:cs="Cambria Math"/>
        </w:rPr>
        <w:t>‑</w:t>
      </w:r>
      <w:r>
        <w:t>week dosing, supporting its use as a convenient and effective maintenance regimen.</w:t>
      </w:r>
    </w:p>
    <w:p w14:paraId="6E9DC1EC">
      <w:pPr>
        <w:pStyle w:val="28"/>
        <w:numPr>
          <w:ilvl w:val="0"/>
          <w:numId w:val="1"/>
        </w:numPr>
        <w:jc w:val="both"/>
      </w:pPr>
      <w:r>
        <w:t>Benralizumab did not increase the risk of overall adverse events, pneumonia, or all</w:t>
      </w:r>
      <w:r>
        <w:rPr>
          <w:rFonts w:ascii="Cambria Math" w:hAnsi="Cambria Math" w:cs="Cambria Math"/>
        </w:rPr>
        <w:t>‑</w:t>
      </w:r>
      <w:r>
        <w:t>cause mortality, and was associated with a significant reduction in serious adverse events.</w:t>
      </w:r>
    </w:p>
    <w:p w14:paraId="0643FEC8"/>
    <w:p w14:paraId="199FE952">
      <w:pPr>
        <w:rPr>
          <w:b/>
          <w:bCs/>
        </w:rPr>
      </w:pPr>
      <w:r>
        <w:rPr>
          <w:b/>
          <w:bCs/>
        </w:rPr>
        <w:t>Questions for future research</w:t>
      </w:r>
    </w:p>
    <w:p w14:paraId="2C88652C">
      <w:pPr>
        <w:jc w:val="both"/>
      </w:pPr>
      <w:r>
        <w:t>This study provides updated, high</w:t>
      </w:r>
      <w:r>
        <w:rPr>
          <w:rFonts w:ascii="Cambria Math" w:hAnsi="Cambria Math" w:cs="Cambria Math"/>
        </w:rPr>
        <w:t>‑</w:t>
      </w:r>
      <w:r>
        <w:t>level evidence on the efficacy and safety of benralizumab in severe eosinophilic asthma and highlights the importance of blood eosinophils as a predictive biomarker for treatment response. The currently available evidence supports the use of benralizumab, especially in patients with elevated eosinophil counts, and favours the every</w:t>
      </w:r>
      <w:r>
        <w:rPr>
          <w:rFonts w:ascii="Cambria Math" w:hAnsi="Cambria Math" w:cs="Cambria Math"/>
        </w:rPr>
        <w:t>‑</w:t>
      </w:r>
      <w:r>
        <w:t>8</w:t>
      </w:r>
      <w:r>
        <w:rPr>
          <w:rFonts w:ascii="Cambria Math" w:hAnsi="Cambria Math" w:cs="Cambria Math"/>
        </w:rPr>
        <w:t>‑</w:t>
      </w:r>
      <w:r>
        <w:t>week dosing schedule for its balance of efficacy and convenience. However, several questions remain for future investigation:</w:t>
      </w:r>
    </w:p>
    <w:p w14:paraId="549A3924">
      <w:pPr>
        <w:pStyle w:val="28"/>
        <w:numPr>
          <w:ilvl w:val="0"/>
          <w:numId w:val="2"/>
        </w:numPr>
        <w:jc w:val="both"/>
      </w:pPr>
      <w:r>
        <w:t>Given the variability in follow</w:t>
      </w:r>
      <w:r>
        <w:rPr>
          <w:rFonts w:ascii="Cambria Math" w:hAnsi="Cambria Math" w:cs="Cambria Math"/>
        </w:rPr>
        <w:t>‑</w:t>
      </w:r>
      <w:r>
        <w:t>up duration and patient characteristics across trials, longer</w:t>
      </w:r>
      <w:r>
        <w:rPr>
          <w:rFonts w:ascii="Cambria Math" w:hAnsi="Cambria Math" w:cs="Cambria Math"/>
        </w:rPr>
        <w:t>‑</w:t>
      </w:r>
      <w:r>
        <w:t>term and real</w:t>
      </w:r>
      <w:r>
        <w:rPr>
          <w:rFonts w:ascii="Cambria Math" w:hAnsi="Cambria Math" w:cs="Cambria Math"/>
        </w:rPr>
        <w:t>‑</w:t>
      </w:r>
      <w:r>
        <w:t>world studies are needed to confirm the sustained benefits and long</w:t>
      </w:r>
      <w:r>
        <w:rPr>
          <w:rFonts w:ascii="Cambria Math" w:hAnsi="Cambria Math" w:cs="Cambria Math"/>
        </w:rPr>
        <w:t>‑</w:t>
      </w:r>
      <w:r>
        <w:t>term safety of benralizumab, particularly regarding rare adverse events.</w:t>
      </w:r>
    </w:p>
    <w:p w14:paraId="1C10D242">
      <w:pPr>
        <w:pStyle w:val="28"/>
        <w:numPr>
          <w:ilvl w:val="0"/>
          <w:numId w:val="2"/>
        </w:numPr>
        <w:jc w:val="both"/>
      </w:pPr>
      <w:r>
        <w:t>Further research is warranted to compare the efficacy of benralizumab with other biologics targeting different pathways (e.g., anti</w:t>
      </w:r>
      <w:r>
        <w:rPr>
          <w:rFonts w:ascii="Cambria Math" w:hAnsi="Cambria Math" w:cs="Cambria Math"/>
        </w:rPr>
        <w:t>‑</w:t>
      </w:r>
      <w:r>
        <w:t>IL</w:t>
      </w:r>
      <w:r>
        <w:rPr>
          <w:rFonts w:ascii="Cambria Math" w:hAnsi="Cambria Math" w:cs="Cambria Math"/>
        </w:rPr>
        <w:t>‑</w:t>
      </w:r>
      <w:r>
        <w:t>4/IL</w:t>
      </w:r>
      <w:r>
        <w:rPr>
          <w:rFonts w:ascii="Cambria Math" w:hAnsi="Cambria Math" w:cs="Cambria Math"/>
        </w:rPr>
        <w:t>‑</w:t>
      </w:r>
      <w:r>
        <w:t>13, anti</w:t>
      </w:r>
      <w:r>
        <w:rPr>
          <w:rFonts w:ascii="Cambria Math" w:hAnsi="Cambria Math" w:cs="Cambria Math"/>
        </w:rPr>
        <w:t>‑</w:t>
      </w:r>
      <w:r>
        <w:t>TSLP) within the type</w:t>
      </w:r>
      <w:r>
        <w:rPr>
          <w:rFonts w:ascii="Times New Roman" w:hAnsi="Times New Roman" w:cs="Times New Roman"/>
        </w:rPr>
        <w:t> </w:t>
      </w:r>
      <w:r>
        <w:t>2</w:t>
      </w:r>
      <w:r>
        <w:rPr>
          <w:rFonts w:ascii="Cambria Math" w:hAnsi="Cambria Math" w:cs="Cambria Math"/>
        </w:rPr>
        <w:t>‑</w:t>
      </w:r>
      <w:r>
        <w:t>high phenotype, and to identify the optimal biologic for specific patient subgroups.</w:t>
      </w:r>
    </w:p>
    <w:p w14:paraId="1479F664">
      <w:pPr>
        <w:pStyle w:val="28"/>
        <w:numPr>
          <w:ilvl w:val="0"/>
          <w:numId w:val="2"/>
        </w:numPr>
        <w:jc w:val="both"/>
        <w:rPr>
          <w:rFonts w:hint="eastAsia"/>
        </w:rPr>
      </w:pPr>
      <w:r>
        <w:t>There remains an unmet need for effective therapies for patients with severe asthma without elevated eosinophils (T2</w:t>
      </w:r>
      <w:r>
        <w:rPr>
          <w:rFonts w:ascii="Cambria Math" w:hAnsi="Cambria Math" w:cs="Cambria Math"/>
        </w:rPr>
        <w:t>‑</w:t>
      </w:r>
      <w:r>
        <w:t>low inflammation), emphasizing the importance of developing novel agents or strategies for this population.</w:t>
      </w:r>
    </w:p>
    <w:p w14:paraId="10D0878D">
      <w:pPr>
        <w:pStyle w:val="28"/>
        <w:widowControl w:val="0"/>
        <w:numPr>
          <w:ilvl w:val="0"/>
          <w:numId w:val="0"/>
        </w:numPr>
        <w:spacing w:after="160" w:line="278" w:lineRule="auto"/>
        <w:contextualSpacing/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2C90"/>
    <w:multiLevelType w:val="multilevel"/>
    <w:tmpl w:val="05872C90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6C375800"/>
    <w:multiLevelType w:val="multilevel"/>
    <w:tmpl w:val="6C375800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B8"/>
    <w:rsid w:val="00025399"/>
    <w:rsid w:val="00113768"/>
    <w:rsid w:val="007330B8"/>
    <w:rsid w:val="009C4D7D"/>
    <w:rsid w:val="00AF45FB"/>
    <w:rsid w:val="00D313CB"/>
    <w:rsid w:val="182932F0"/>
    <w:rsid w:val="1CDB6B83"/>
    <w:rsid w:val="1E8E5DEF"/>
    <w:rsid w:val="20436F19"/>
    <w:rsid w:val="27FD5D47"/>
    <w:rsid w:val="347E631A"/>
    <w:rsid w:val="427F7E2D"/>
    <w:rsid w:val="44E421C9"/>
    <w:rsid w:val="4F0F42E7"/>
    <w:rsid w:val="618741B1"/>
    <w:rsid w:val="77CE4490"/>
    <w:rsid w:val="79C6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413</Words>
  <Characters>2708</Characters>
  <Lines>16</Lines>
  <Paragraphs>4</Paragraphs>
  <TotalTime>35</TotalTime>
  <ScaleCrop>false</ScaleCrop>
  <LinksUpToDate>false</LinksUpToDate>
  <CharactersWithSpaces>3104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2026-01-25T13:11:00Z</dcterms:created>
  <dc:creator>禹兵 李</dc:creator>
  <cp:lastModifiedBy>长江</cp:lastModifiedBy>
  <dcterms:modified xsi:type="dcterms:W3CDTF">2026-01-26T08:35:05Z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eyJoZGlkIjoiYjgyOGQyODI3NTAyMDJjYmRjZmFkZWE1NDI5Y2Q4NDIiLCJ1c2VySWQiOiIyOTU4NzM5NTUifQ==</vt:lpwstr>
  </property>
  <property fmtid="{D5CDD505-2E9C-101B-9397-08002B2CF9AE}" pid="3" name="KSOProductBuildVer">
    <vt:lpwstr>2052-12.1.0.24657</vt:lpwstr>
  </property>
  <property fmtid="{D5CDD505-2E9C-101B-9397-08002B2CF9AE}" pid="4" name="ICV">
    <vt:lpwstr>C375604C18C049739773C9A182A3A385_12</vt:lpwstr>
  </property>
</Properties>
</file>