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61627">
      <w:pPr>
        <w:jc w:val="center"/>
        <w:rPr>
          <w:b/>
          <w:bCs/>
        </w:rPr>
      </w:pPr>
      <w:r>
        <w:rPr>
          <w:rFonts w:hint="eastAsia"/>
          <w:b/>
          <w:bCs/>
          <w:sz w:val="32"/>
          <w:szCs w:val="36"/>
        </w:rPr>
        <w:t>Protocol</w:t>
      </w:r>
      <w:r>
        <w:rPr>
          <w:rFonts w:ascii="Times New Roman" w:hAnsi="Times New Roman" w:cs="Times New Roman"/>
          <w:b/>
          <w:bCs/>
        </w:rPr>
        <w:t>‌</w:t>
      </w:r>
    </w:p>
    <w:p w14:paraId="323C8DB1">
      <w:pPr>
        <w:jc w:val="both"/>
        <w:rPr>
          <w:b/>
          <w:bCs/>
        </w:rPr>
      </w:pPr>
      <w:r>
        <w:rPr>
          <w:b/>
          <w:bCs/>
        </w:rPr>
        <w:t>Protocol title</w:t>
      </w:r>
      <w:r>
        <w:rPr>
          <w:rFonts w:ascii="Times New Roman" w:hAnsi="Times New Roman" w:cs="Times New Roman"/>
          <w:b/>
          <w:bCs/>
        </w:rPr>
        <w:t>‌</w:t>
      </w:r>
    </w:p>
    <w:p w14:paraId="26F0C686">
      <w:pPr>
        <w:jc w:val="both"/>
        <w:rPr>
          <w:rFonts w:hint="eastAsia"/>
          <w:b/>
          <w:bCs/>
        </w:rPr>
      </w:pPr>
      <w:r>
        <w:rPr>
          <w:rFonts w:hint="eastAsia"/>
          <w:b/>
          <w:bCs/>
        </w:rPr>
        <w:t>Clinical profile of benralizumab in severe eosinophilic asthma: a subgroup-driven meta-analysis</w:t>
      </w:r>
    </w:p>
    <w:p w14:paraId="04C92036">
      <w:pPr>
        <w:jc w:val="both"/>
        <w:rPr>
          <w:rFonts w:hint="eastAsia"/>
          <w:b/>
          <w:bCs/>
        </w:rPr>
      </w:pPr>
    </w:p>
    <w:p w14:paraId="7DFCBEC5">
      <w:pPr>
        <w:jc w:val="both"/>
        <w:rPr>
          <w:b/>
          <w:bCs/>
        </w:rPr>
      </w:pPr>
      <w:r>
        <w:rPr>
          <w:b/>
          <w:bCs/>
        </w:rPr>
        <w:t>Original language</w:t>
      </w:r>
      <w:r>
        <w:rPr>
          <w:rFonts w:ascii="Times New Roman" w:hAnsi="Times New Roman" w:cs="Times New Roman"/>
          <w:b/>
          <w:bCs/>
        </w:rPr>
        <w:t>‌</w:t>
      </w:r>
    </w:p>
    <w:p w14:paraId="0D34ABC9">
      <w:pPr>
        <w:jc w:val="both"/>
        <w:rPr>
          <w:rFonts w:hint="eastAsia"/>
          <w:b/>
          <w:bCs/>
        </w:rPr>
      </w:pPr>
      <w:r>
        <w:rPr>
          <w:rFonts w:hint="eastAsia"/>
          <w:b/>
          <w:bCs/>
        </w:rPr>
        <w:t>English</w:t>
      </w:r>
    </w:p>
    <w:p w14:paraId="494C5045">
      <w:pPr>
        <w:jc w:val="both"/>
        <w:rPr>
          <w:rFonts w:hint="eastAsia"/>
          <w:b/>
          <w:bCs/>
        </w:rPr>
      </w:pPr>
    </w:p>
    <w:p w14:paraId="38AEF192">
      <w:pPr>
        <w:jc w:val="both"/>
        <w:rPr>
          <w:b/>
          <w:bCs/>
        </w:rPr>
      </w:pPr>
      <w:r>
        <w:rPr>
          <w:b/>
          <w:bCs/>
        </w:rPr>
        <w:t>Registration number</w:t>
      </w:r>
      <w:r>
        <w:rPr>
          <w:rFonts w:ascii="Times New Roman" w:hAnsi="Times New Roman" w:cs="Times New Roman"/>
          <w:b/>
          <w:bCs/>
        </w:rPr>
        <w:t>‌</w:t>
      </w:r>
    </w:p>
    <w:p w14:paraId="1682567B">
      <w:pPr>
        <w:jc w:val="both"/>
        <w:rPr>
          <w:rFonts w:hint="eastAsia"/>
          <w:b/>
          <w:bCs/>
        </w:rPr>
      </w:pPr>
      <w:r>
        <w:rPr>
          <w:rFonts w:hint="eastAsia"/>
          <w:b/>
          <w:bCs/>
        </w:rPr>
        <w:t>Generated for Drafting on 0</w:t>
      </w:r>
      <w:r>
        <w:rPr>
          <w:rFonts w:hint="eastAsia"/>
          <w:b/>
          <w:bCs/>
          <w:lang w:val="en-US" w:eastAsia="zh-CN"/>
        </w:rPr>
        <w:t>6</w:t>
      </w:r>
      <w:r>
        <w:rPr>
          <w:rFonts w:hint="eastAsia"/>
          <w:b/>
          <w:bCs/>
        </w:rPr>
        <w:t xml:space="preserve"> January 2026</w:t>
      </w:r>
    </w:p>
    <w:p w14:paraId="69785F6D">
      <w:pPr>
        <w:jc w:val="both"/>
        <w:rPr>
          <w:rFonts w:hint="eastAsia"/>
          <w:b/>
          <w:bCs/>
        </w:rPr>
      </w:pPr>
    </w:p>
    <w:p w14:paraId="213C7B49">
      <w:pPr>
        <w:jc w:val="both"/>
        <w:rPr>
          <w:b/>
          <w:bCs/>
        </w:rPr>
      </w:pPr>
      <w:r>
        <w:rPr>
          <w:b/>
          <w:bCs/>
        </w:rPr>
        <w:t>Anticipated or actual start date</w:t>
      </w:r>
      <w:r>
        <w:rPr>
          <w:rFonts w:ascii="Times New Roman" w:hAnsi="Times New Roman" w:cs="Times New Roman"/>
          <w:b/>
          <w:bCs/>
        </w:rPr>
        <w:t>‌</w:t>
      </w:r>
    </w:p>
    <w:p w14:paraId="7C630E7B">
      <w:pPr>
        <w:jc w:val="both"/>
        <w:rPr>
          <w:rFonts w:hint="eastAsia"/>
          <w:b/>
          <w:bCs/>
        </w:rPr>
      </w:pPr>
      <w:r>
        <w:rPr>
          <w:rFonts w:hint="eastAsia"/>
          <w:b/>
          <w:bCs/>
        </w:rPr>
        <w:t>202</w:t>
      </w:r>
      <w:r>
        <w:rPr>
          <w:rFonts w:hint="eastAsia"/>
          <w:b/>
          <w:bCs/>
          <w:lang w:val="en-US" w:eastAsia="zh-CN"/>
        </w:rPr>
        <w:t>5</w:t>
      </w:r>
      <w:r>
        <w:rPr>
          <w:rFonts w:hint="eastAsia"/>
          <w:b/>
          <w:bCs/>
        </w:rPr>
        <w:t>-</w:t>
      </w:r>
      <w:r>
        <w:rPr>
          <w:rFonts w:hint="eastAsia"/>
          <w:b/>
          <w:bCs/>
          <w:lang w:val="en-US" w:eastAsia="zh-CN"/>
        </w:rPr>
        <w:t>10</w:t>
      </w:r>
      <w:r>
        <w:rPr>
          <w:rFonts w:hint="eastAsia"/>
          <w:b/>
          <w:bCs/>
        </w:rPr>
        <w:t>-</w:t>
      </w:r>
      <w:r>
        <w:rPr>
          <w:rFonts w:hint="eastAsia"/>
          <w:b/>
          <w:bCs/>
          <w:lang w:val="en-US" w:eastAsia="zh-CN"/>
        </w:rPr>
        <w:t>12</w:t>
      </w:r>
      <w:r>
        <w:rPr>
          <w:rFonts w:hint="eastAsia"/>
          <w:b/>
          <w:bCs/>
        </w:rPr>
        <w:t xml:space="preserve"> (Protocol drafting commenced)</w:t>
      </w:r>
    </w:p>
    <w:p w14:paraId="487305B0">
      <w:pPr>
        <w:jc w:val="both"/>
        <w:rPr>
          <w:rFonts w:hint="eastAsia"/>
          <w:b/>
          <w:bCs/>
        </w:rPr>
      </w:pPr>
    </w:p>
    <w:p w14:paraId="7F2F8DCD">
      <w:pPr>
        <w:jc w:val="both"/>
        <w:rPr>
          <w:b/>
          <w:bCs/>
        </w:rPr>
      </w:pPr>
      <w:r>
        <w:rPr>
          <w:b/>
          <w:bCs/>
        </w:rPr>
        <w:t>Anticipated completion date</w:t>
      </w:r>
      <w:r>
        <w:rPr>
          <w:rFonts w:ascii="Times New Roman" w:hAnsi="Times New Roman" w:cs="Times New Roman"/>
          <w:b/>
          <w:bCs/>
        </w:rPr>
        <w:t>‌</w:t>
      </w:r>
    </w:p>
    <w:p w14:paraId="5E5FDAE5">
      <w:pPr>
        <w:jc w:val="both"/>
        <w:rPr>
          <w:rFonts w:hint="eastAsia"/>
          <w:b/>
          <w:bCs/>
        </w:rPr>
      </w:pPr>
      <w:r>
        <w:rPr>
          <w:rFonts w:hint="eastAsia"/>
          <w:b/>
          <w:bCs/>
        </w:rPr>
        <w:t>To be determined pending commencement of systematic review stages</w:t>
      </w:r>
    </w:p>
    <w:p w14:paraId="1E5D72E9">
      <w:pPr>
        <w:jc w:val="both"/>
        <w:rPr>
          <w:rFonts w:hint="eastAsia"/>
          <w:b/>
          <w:bCs/>
        </w:rPr>
      </w:pPr>
    </w:p>
    <w:p w14:paraId="020E27D2">
      <w:pPr>
        <w:jc w:val="both"/>
        <w:rPr>
          <w:b/>
          <w:bCs/>
        </w:rPr>
      </w:pPr>
      <w:r>
        <w:rPr>
          <w:b/>
          <w:bCs/>
        </w:rPr>
        <w:t>Stage of review at time of this submission</w:t>
      </w:r>
      <w:r>
        <w:rPr>
          <w:rFonts w:ascii="Times New Roman" w:hAnsi="Times New Roman" w:cs="Times New Roman"/>
          <w:b/>
          <w:bCs/>
        </w:rPr>
        <w:t>‌</w:t>
      </w:r>
    </w:p>
    <w:p w14:paraId="741A483A">
      <w:pPr>
        <w:jc w:val="both"/>
        <w:rPr>
          <w:rFonts w:hint="eastAsia"/>
          <w:b/>
          <w:bCs/>
        </w:rPr>
      </w:pPr>
      <w:r>
        <w:rPr>
          <w:rFonts w:hint="eastAsia"/>
          <w:b/>
          <w:bCs/>
        </w:rPr>
        <w:t>This is a protocol for a new systematic review. The review has not yet commenced.</w:t>
      </w:r>
    </w:p>
    <w:p w14:paraId="2F51C7F8">
      <w:pPr>
        <w:jc w:val="both"/>
        <w:rPr>
          <w:rFonts w:hint="eastAsia"/>
          <w:b/>
          <w:bCs/>
        </w:rPr>
      </w:pPr>
    </w:p>
    <w:p w14:paraId="6F71390D">
      <w:pPr>
        <w:jc w:val="both"/>
        <w:rPr>
          <w:b/>
          <w:bCs/>
        </w:rPr>
      </w:pPr>
      <w:r>
        <w:rPr>
          <w:b/>
          <w:bCs/>
        </w:rPr>
        <w:t>Named contact</w:t>
      </w:r>
      <w:r>
        <w:rPr>
          <w:rFonts w:ascii="Times New Roman" w:hAnsi="Times New Roman" w:cs="Times New Roman"/>
          <w:b/>
          <w:bCs/>
        </w:rPr>
        <w:t>‌</w:t>
      </w:r>
    </w:p>
    <w:p w14:paraId="65A69E42">
      <w:pPr>
        <w:jc w:val="both"/>
        <w:rPr>
          <w:rFonts w:hint="eastAsia"/>
          <w:b/>
          <w:bCs/>
        </w:rPr>
      </w:pPr>
      <w:r>
        <w:rPr>
          <w:rFonts w:hint="eastAsia"/>
          <w:b/>
          <w:bCs/>
        </w:rPr>
        <w:t>Not specified in the provided material. For submission, a principal investigator's name and affiliation would be required.</w:t>
      </w:r>
    </w:p>
    <w:p w14:paraId="4412319A">
      <w:pPr>
        <w:jc w:val="both"/>
        <w:rPr>
          <w:rFonts w:hint="eastAsia"/>
          <w:b/>
          <w:bCs/>
        </w:rPr>
      </w:pPr>
    </w:p>
    <w:p w14:paraId="0905C2CE">
      <w:pPr>
        <w:jc w:val="both"/>
        <w:rPr>
          <w:b/>
          <w:bCs/>
        </w:rPr>
      </w:pPr>
      <w:r>
        <w:rPr>
          <w:b/>
          <w:bCs/>
        </w:rPr>
        <w:t>Organisational affiliation of the review</w:t>
      </w:r>
      <w:r>
        <w:rPr>
          <w:rFonts w:ascii="Times New Roman" w:hAnsi="Times New Roman" w:cs="Times New Roman"/>
          <w:b/>
          <w:bCs/>
        </w:rPr>
        <w:t>‌</w:t>
      </w:r>
    </w:p>
    <w:p w14:paraId="3D0F14DB">
      <w:pPr>
        <w:jc w:val="both"/>
        <w:rPr>
          <w:rFonts w:hint="eastAsia"/>
          <w:b/>
          <w:bCs/>
        </w:rPr>
      </w:pPr>
      <w:r>
        <w:rPr>
          <w:rFonts w:hint="eastAsia"/>
          <w:b/>
          <w:bCs/>
        </w:rPr>
        <w:t>To be completed by the review team.</w:t>
      </w:r>
    </w:p>
    <w:p w14:paraId="069FDBFF">
      <w:pPr>
        <w:jc w:val="both"/>
        <w:rPr>
          <w:rFonts w:hint="eastAsia"/>
          <w:b/>
          <w:bCs/>
        </w:rPr>
      </w:pPr>
    </w:p>
    <w:p w14:paraId="3DC76F39">
      <w:pPr>
        <w:jc w:val="both"/>
        <w:rPr>
          <w:b/>
          <w:bCs/>
        </w:rPr>
      </w:pPr>
      <w:r>
        <w:rPr>
          <w:b/>
          <w:bCs/>
        </w:rPr>
        <w:t>Review team members (in order of authorship per provided documents)</w:t>
      </w:r>
      <w:r>
        <w:rPr>
          <w:rFonts w:ascii="Times New Roman" w:hAnsi="Times New Roman" w:cs="Times New Roman"/>
          <w:b/>
          <w:bCs/>
        </w:rPr>
        <w:t>‌</w:t>
      </w:r>
    </w:p>
    <w:p w14:paraId="2702B048">
      <w:pPr>
        <w:jc w:val="both"/>
        <w:rPr>
          <w:rFonts w:hint="eastAsia"/>
          <w:b/>
          <w:bCs/>
        </w:rPr>
      </w:pPr>
    </w:p>
    <w:p w14:paraId="2D317414">
      <w:pPr>
        <w:numPr>
          <w:ilvl w:val="0"/>
          <w:numId w:val="1"/>
        </w:numPr>
        <w:ind w:left="420" w:leftChars="0" w:hanging="420" w:firstLineChars="0"/>
        <w:jc w:val="both"/>
        <w:rPr>
          <w:rFonts w:hint="eastAsia"/>
          <w:b/>
          <w:bCs/>
        </w:rPr>
      </w:pPr>
      <w:r>
        <w:rPr>
          <w:rFonts w:hint="eastAsia"/>
          <w:b/>
          <w:bCs/>
        </w:rPr>
        <w:t>Yubing Li</w:t>
      </w:r>
    </w:p>
    <w:p w14:paraId="5D3EE666">
      <w:pPr>
        <w:numPr>
          <w:ilvl w:val="0"/>
          <w:numId w:val="1"/>
        </w:numPr>
        <w:ind w:left="420" w:leftChars="0" w:hanging="420" w:firstLineChars="0"/>
        <w:jc w:val="both"/>
        <w:rPr>
          <w:rFonts w:hint="eastAsia"/>
          <w:b/>
          <w:bCs/>
        </w:rPr>
      </w:pPr>
      <w:r>
        <w:rPr>
          <w:rFonts w:hint="eastAsia"/>
          <w:b/>
          <w:bCs/>
        </w:rPr>
        <w:t>Hongxia Yang</w:t>
      </w:r>
    </w:p>
    <w:p w14:paraId="5119CDAA">
      <w:pPr>
        <w:numPr>
          <w:ilvl w:val="0"/>
          <w:numId w:val="1"/>
        </w:numPr>
        <w:ind w:left="420" w:leftChars="0" w:hanging="420" w:firstLineChars="0"/>
        <w:jc w:val="both"/>
        <w:rPr>
          <w:rFonts w:hint="eastAsia"/>
          <w:b/>
          <w:bCs/>
        </w:rPr>
      </w:pPr>
      <w:r>
        <w:rPr>
          <w:rFonts w:hint="eastAsia"/>
          <w:b/>
          <w:bCs/>
        </w:rPr>
        <w:t>Jun Li (Adjudicator)</w:t>
      </w:r>
    </w:p>
    <w:p w14:paraId="65F3E133">
      <w:pPr>
        <w:numPr>
          <w:ilvl w:val="0"/>
          <w:numId w:val="1"/>
        </w:numPr>
        <w:ind w:left="420" w:leftChars="0" w:hanging="420" w:firstLineChars="0"/>
        <w:jc w:val="both"/>
        <w:rPr>
          <w:rFonts w:hint="eastAsia"/>
          <w:b/>
          <w:bCs/>
        </w:rPr>
      </w:pPr>
      <w:r>
        <w:rPr>
          <w:rFonts w:hint="eastAsia"/>
          <w:b/>
          <w:bCs/>
        </w:rPr>
        <w:t>Yong Zhang (Data validation)</w:t>
      </w:r>
    </w:p>
    <w:p w14:paraId="4A689B52">
      <w:pPr>
        <w:jc w:val="both"/>
        <w:rPr>
          <w:rFonts w:hint="eastAsia"/>
          <w:b/>
          <w:bCs/>
        </w:rPr>
      </w:pPr>
    </w:p>
    <w:p w14:paraId="581357B0">
      <w:pPr>
        <w:jc w:val="both"/>
        <w:rPr>
          <w:b/>
          <w:bCs/>
        </w:rPr>
      </w:pPr>
      <w:r>
        <w:rPr>
          <w:b/>
          <w:bCs/>
        </w:rPr>
        <w:t>Funding sources/sponsors</w:t>
      </w:r>
      <w:r>
        <w:rPr>
          <w:rFonts w:ascii="Times New Roman" w:hAnsi="Times New Roman" w:cs="Times New Roman"/>
          <w:b/>
          <w:bCs/>
        </w:rPr>
        <w:t>‌</w:t>
      </w:r>
    </w:p>
    <w:p w14:paraId="7917E5EF">
      <w:pPr>
        <w:jc w:val="both"/>
        <w:rPr>
          <w:rFonts w:hint="eastAsia"/>
          <w:b/>
          <w:bCs/>
        </w:rPr>
      </w:pPr>
      <w:r>
        <w:rPr>
          <w:rFonts w:hint="eastAsia"/>
          <w:b/>
          <w:bCs/>
        </w:rPr>
        <w:t>Not specified in the provided material.</w:t>
      </w:r>
    </w:p>
    <w:p w14:paraId="24DCEA5A">
      <w:pPr>
        <w:jc w:val="both"/>
        <w:rPr>
          <w:rFonts w:hint="eastAsia"/>
          <w:b/>
          <w:bCs/>
        </w:rPr>
      </w:pPr>
    </w:p>
    <w:p w14:paraId="4A174128">
      <w:pPr>
        <w:jc w:val="both"/>
        <w:rPr>
          <w:b/>
          <w:bCs/>
        </w:rPr>
      </w:pPr>
      <w:r>
        <w:rPr>
          <w:b/>
          <w:bCs/>
        </w:rPr>
        <w:t>Conflicts of interest</w:t>
      </w:r>
      <w:r>
        <w:rPr>
          <w:rFonts w:ascii="Times New Roman" w:hAnsi="Times New Roman" w:cs="Times New Roman"/>
          <w:b/>
          <w:bCs/>
        </w:rPr>
        <w:t>‌</w:t>
      </w:r>
    </w:p>
    <w:p w14:paraId="792B79CA">
      <w:pPr>
        <w:jc w:val="both"/>
        <w:rPr>
          <w:rFonts w:hint="eastAsia"/>
          <w:b/>
          <w:bCs/>
        </w:rPr>
      </w:pPr>
      <w:r>
        <w:rPr>
          <w:rFonts w:hint="eastAsia"/>
          <w:b/>
          <w:bCs/>
        </w:rPr>
        <w:t>Not specified in the provided material. Review authors are expected to declare any conflicts prior to submission.</w:t>
      </w:r>
    </w:p>
    <w:p w14:paraId="13EC278E">
      <w:pPr>
        <w:jc w:val="both"/>
        <w:rPr>
          <w:rFonts w:hint="eastAsia"/>
          <w:b/>
          <w:bCs/>
        </w:rPr>
      </w:pPr>
    </w:p>
    <w:p w14:paraId="65B63F16">
      <w:pPr>
        <w:jc w:val="both"/>
        <w:rPr>
          <w:b/>
          <w:bCs/>
        </w:rPr>
      </w:pPr>
      <w:r>
        <w:rPr>
          <w:b/>
          <w:bCs/>
        </w:rPr>
        <w:t>Review question</w:t>
      </w:r>
      <w:r>
        <w:rPr>
          <w:rFonts w:ascii="Times New Roman" w:hAnsi="Times New Roman" w:cs="Times New Roman"/>
          <w:b/>
          <w:bCs/>
        </w:rPr>
        <w:t>‌</w:t>
      </w:r>
    </w:p>
    <w:p w14:paraId="41C066EB">
      <w:pPr>
        <w:jc w:val="both"/>
        <w:rPr>
          <w:rFonts w:hint="eastAsia"/>
          <w:b/>
          <w:bCs/>
        </w:rPr>
      </w:pPr>
      <w:r>
        <w:rPr>
          <w:rFonts w:hint="eastAsia"/>
          <w:b/>
          <w:bCs/>
        </w:rPr>
        <w:t>In adolescents and adults (&gt;12 years) with moderate-to-severe, severe, or uncontrolled asthma, what are the comparative efficacy and safety profiles of benralizumab (30 mg administered subcutaneously every 4 weeks [Q4W] or every 8 weeks [Q8W]) versus placebo or standard care? Particular attention will be paid to differential effects based on ‌baseline blood eosinophil count‌ (&lt;300 cells/μL vs. ≥300 cells/μL) and ‌dosing regimen‌ (Q4W vs. Q8W).</w:t>
      </w:r>
    </w:p>
    <w:p w14:paraId="0D391DA4">
      <w:pPr>
        <w:jc w:val="both"/>
        <w:rPr>
          <w:b/>
          <w:bCs/>
        </w:rPr>
      </w:pPr>
      <w:r>
        <w:rPr>
          <w:b/>
          <w:bCs/>
        </w:rPr>
        <w:t>Searches</w:t>
      </w:r>
      <w:r>
        <w:rPr>
          <w:rFonts w:ascii="Times New Roman" w:hAnsi="Times New Roman" w:cs="Times New Roman"/>
          <w:b/>
          <w:bCs/>
        </w:rPr>
        <w:t>‌</w:t>
      </w:r>
    </w:p>
    <w:p w14:paraId="6332CF01">
      <w:pPr>
        <w:jc w:val="both"/>
        <w:rPr>
          <w:b/>
          <w:bCs/>
        </w:rPr>
      </w:pPr>
      <w:r>
        <w:rPr>
          <w:b/>
          <w:bCs/>
        </w:rPr>
        <w:t xml:space="preserve">A systematic literature search will be conducted across the following electronic databases from inception until </w:t>
      </w:r>
      <w:r>
        <w:rPr>
          <w:rFonts w:hint="eastAsia"/>
          <w:b/>
          <w:bCs/>
          <w:lang w:val="en-US" w:eastAsia="zh-CN"/>
        </w:rPr>
        <w:t>5</w:t>
      </w:r>
      <w:r>
        <w:rPr>
          <w:rFonts w:hint="eastAsia" w:ascii="Times New Roman" w:hAnsi="Times New Roman" w:cs="Times New Roman"/>
          <w:b/>
          <w:bCs/>
        </w:rPr>
        <w:t xml:space="preserve"> November 202</w:t>
      </w:r>
      <w:r>
        <w:rPr>
          <w:rFonts w:hint="eastAsia" w:ascii="Times New Roman" w:hAnsi="Times New Roman" w:cs="Times New Roman"/>
          <w:b/>
          <w:bCs/>
          <w:lang w:val="en-US" w:eastAsia="zh-CN"/>
        </w:rPr>
        <w:t>5</w:t>
      </w:r>
      <w:bookmarkStart w:id="0" w:name="_GoBack"/>
      <w:bookmarkEnd w:id="0"/>
      <w:r>
        <w:rPr>
          <w:rFonts w:ascii="Times New Roman" w:hAnsi="Times New Roman" w:cs="Times New Roman"/>
          <w:b/>
          <w:bCs/>
        </w:rPr>
        <w:t>‌</w:t>
      </w:r>
      <w:r>
        <w:rPr>
          <w:b/>
          <w:bCs/>
        </w:rPr>
        <w:t>:</w:t>
      </w:r>
    </w:p>
    <w:p w14:paraId="34EC7366">
      <w:pPr>
        <w:numPr>
          <w:ilvl w:val="0"/>
          <w:numId w:val="2"/>
        </w:numPr>
        <w:ind w:left="420" w:leftChars="0" w:hanging="420" w:firstLineChars="0"/>
        <w:jc w:val="both"/>
        <w:rPr>
          <w:rFonts w:hint="eastAsia"/>
          <w:b/>
          <w:bCs/>
        </w:rPr>
      </w:pPr>
      <w:r>
        <w:rPr>
          <w:rFonts w:hint="eastAsia"/>
          <w:b/>
          <w:bCs/>
        </w:rPr>
        <w:t>MEDLINE ( PubMed)</w:t>
      </w:r>
    </w:p>
    <w:p w14:paraId="6E13D908">
      <w:pPr>
        <w:numPr>
          <w:ilvl w:val="0"/>
          <w:numId w:val="2"/>
        </w:numPr>
        <w:ind w:left="420" w:leftChars="0" w:hanging="420" w:firstLineChars="0"/>
        <w:jc w:val="both"/>
        <w:rPr>
          <w:rFonts w:hint="eastAsia"/>
          <w:b/>
          <w:bCs/>
        </w:rPr>
      </w:pPr>
      <w:r>
        <w:rPr>
          <w:rFonts w:hint="eastAsia"/>
          <w:b/>
          <w:bCs/>
        </w:rPr>
        <w:t xml:space="preserve">Embase </w:t>
      </w:r>
    </w:p>
    <w:p w14:paraId="0A7A04F7">
      <w:pPr>
        <w:numPr>
          <w:ilvl w:val="0"/>
          <w:numId w:val="2"/>
        </w:numPr>
        <w:ind w:left="420" w:leftChars="0" w:hanging="420" w:firstLineChars="0"/>
        <w:jc w:val="both"/>
        <w:rPr>
          <w:rFonts w:hint="eastAsia"/>
          <w:b/>
          <w:bCs/>
        </w:rPr>
      </w:pPr>
      <w:r>
        <w:rPr>
          <w:rFonts w:hint="eastAsia"/>
          <w:b/>
          <w:bCs/>
        </w:rPr>
        <w:t>Cochrane Central Register of Controlled Trials (CENTRAL) in The Cochrane Library.</w:t>
      </w:r>
    </w:p>
    <w:p w14:paraId="061D315B">
      <w:pPr>
        <w:jc w:val="both"/>
        <w:rPr>
          <w:b/>
          <w:bCs/>
        </w:rPr>
      </w:pPr>
      <w:r>
        <w:rPr>
          <w:b/>
          <w:bCs/>
        </w:rPr>
        <w:t xml:space="preserve">Search terms will be a combination of controlled vocabulary (e.g., MeSH terms in PubMed) and free-text keywords relating to </w:t>
      </w:r>
      <w:r>
        <w:rPr>
          <w:rFonts w:ascii="Times New Roman" w:hAnsi="Times New Roman" w:cs="Times New Roman"/>
          <w:b/>
          <w:bCs/>
        </w:rPr>
        <w:t>‌</w:t>
      </w:r>
      <w:r>
        <w:rPr>
          <w:b/>
          <w:bCs/>
        </w:rPr>
        <w:t>"asthma"</w:t>
      </w:r>
      <w:r>
        <w:rPr>
          <w:rFonts w:ascii="Times New Roman" w:hAnsi="Times New Roman" w:cs="Times New Roman"/>
          <w:b/>
          <w:bCs/>
        </w:rPr>
        <w:t>‌</w:t>
      </w:r>
      <w:r>
        <w:rPr>
          <w:b/>
          <w:bCs/>
        </w:rPr>
        <w:t xml:space="preserve">, </w:t>
      </w:r>
      <w:r>
        <w:rPr>
          <w:rFonts w:ascii="Times New Roman" w:hAnsi="Times New Roman" w:cs="Times New Roman"/>
          <w:b/>
          <w:bCs/>
        </w:rPr>
        <w:t>‌</w:t>
      </w:r>
      <w:r>
        <w:rPr>
          <w:b/>
          <w:bCs/>
        </w:rPr>
        <w:t>"severe asthma"</w:t>
      </w:r>
      <w:r>
        <w:rPr>
          <w:rFonts w:ascii="Times New Roman" w:hAnsi="Times New Roman" w:cs="Times New Roman"/>
          <w:b/>
          <w:bCs/>
        </w:rPr>
        <w:t>‌</w:t>
      </w:r>
      <w:r>
        <w:rPr>
          <w:b/>
          <w:bCs/>
        </w:rPr>
        <w:t xml:space="preserve">, </w:t>
      </w:r>
      <w:r>
        <w:rPr>
          <w:rFonts w:ascii="Times New Roman" w:hAnsi="Times New Roman" w:cs="Times New Roman"/>
          <w:b/>
          <w:bCs/>
        </w:rPr>
        <w:t>‌</w:t>
      </w:r>
      <w:r>
        <w:rPr>
          <w:b/>
          <w:bCs/>
        </w:rPr>
        <w:t>"eosinophilic asthma"</w:t>
      </w:r>
      <w:r>
        <w:rPr>
          <w:rFonts w:ascii="Times New Roman" w:hAnsi="Times New Roman" w:cs="Times New Roman"/>
          <w:b/>
          <w:bCs/>
        </w:rPr>
        <w:t>‌</w:t>
      </w:r>
      <w:r>
        <w:rPr>
          <w:b/>
          <w:bCs/>
        </w:rPr>
        <w:t xml:space="preserve">, </w:t>
      </w:r>
      <w:r>
        <w:rPr>
          <w:rFonts w:ascii="Times New Roman" w:hAnsi="Times New Roman" w:cs="Times New Roman"/>
          <w:b/>
          <w:bCs/>
        </w:rPr>
        <w:t>‌</w:t>
      </w:r>
      <w:r>
        <w:rPr>
          <w:b/>
          <w:bCs/>
        </w:rPr>
        <w:t>"benralizumab"</w:t>
      </w:r>
      <w:r>
        <w:rPr>
          <w:rFonts w:ascii="Times New Roman" w:hAnsi="Times New Roman" w:cs="Times New Roman"/>
          <w:b/>
          <w:bCs/>
        </w:rPr>
        <w:t>‌</w:t>
      </w:r>
      <w:r>
        <w:rPr>
          <w:b/>
          <w:bCs/>
        </w:rPr>
        <w:t xml:space="preserve">, </w:t>
      </w:r>
      <w:r>
        <w:rPr>
          <w:rFonts w:ascii="Times New Roman" w:hAnsi="Times New Roman" w:cs="Times New Roman"/>
          <w:b/>
          <w:bCs/>
        </w:rPr>
        <w:t>‌</w:t>
      </w:r>
      <w:r>
        <w:rPr>
          <w:b/>
          <w:bCs/>
        </w:rPr>
        <w:t>"anti-IL-5 receptor"</w:t>
      </w:r>
      <w:r>
        <w:rPr>
          <w:rFonts w:ascii="Times New Roman" w:hAnsi="Times New Roman" w:cs="Times New Roman"/>
          <w:b/>
          <w:bCs/>
        </w:rPr>
        <w:t>‌</w:t>
      </w:r>
      <w:r>
        <w:rPr>
          <w:b/>
          <w:bCs/>
        </w:rPr>
        <w:t xml:space="preserve">, and </w:t>
      </w:r>
      <w:r>
        <w:rPr>
          <w:rFonts w:ascii="Times New Roman" w:hAnsi="Times New Roman" w:cs="Times New Roman"/>
          <w:b/>
          <w:bCs/>
        </w:rPr>
        <w:t>‌</w:t>
      </w:r>
      <w:r>
        <w:rPr>
          <w:b/>
          <w:bCs/>
        </w:rPr>
        <w:t>"randomized controlled trial"</w:t>
      </w:r>
      <w:r>
        <w:rPr>
          <w:rFonts w:ascii="Times New Roman" w:hAnsi="Times New Roman" w:cs="Times New Roman"/>
          <w:b/>
          <w:bCs/>
        </w:rPr>
        <w:t>‌</w:t>
      </w:r>
      <w:r>
        <w:rPr>
          <w:b/>
          <w:bCs/>
        </w:rPr>
        <w:t xml:space="preserve">. The search strategy will be designed for high sensitivity. The electronic search will be supplemented by </w:t>
      </w:r>
      <w:r>
        <w:rPr>
          <w:rFonts w:ascii="Times New Roman" w:hAnsi="Times New Roman" w:cs="Times New Roman"/>
          <w:b/>
          <w:bCs/>
        </w:rPr>
        <w:t>‌</w:t>
      </w:r>
      <w:r>
        <w:rPr>
          <w:b/>
          <w:bCs/>
        </w:rPr>
        <w:t>hand-searching reference lists</w:t>
      </w:r>
      <w:r>
        <w:rPr>
          <w:rFonts w:ascii="Times New Roman" w:hAnsi="Times New Roman" w:cs="Times New Roman"/>
          <w:b/>
          <w:bCs/>
        </w:rPr>
        <w:t>‌</w:t>
      </w:r>
      <w:r>
        <w:rPr>
          <w:b/>
          <w:bCs/>
        </w:rPr>
        <w:t xml:space="preserve"> of all included studies and relevant systematic reviews.</w:t>
      </w:r>
    </w:p>
    <w:p w14:paraId="28FB1753">
      <w:pPr>
        <w:jc w:val="both"/>
        <w:rPr>
          <w:rFonts w:hint="eastAsia"/>
          <w:b/>
          <w:bCs/>
        </w:rPr>
      </w:pPr>
    </w:p>
    <w:p w14:paraId="43BA8586">
      <w:pPr>
        <w:jc w:val="both"/>
        <w:rPr>
          <w:b/>
          <w:bCs/>
        </w:rPr>
      </w:pPr>
      <w:r>
        <w:rPr>
          <w:b/>
          <w:bCs/>
        </w:rPr>
        <w:t>URL to search strategy</w:t>
      </w:r>
      <w:r>
        <w:rPr>
          <w:rFonts w:ascii="Times New Roman" w:hAnsi="Times New Roman" w:cs="Times New Roman"/>
          <w:b/>
          <w:bCs/>
        </w:rPr>
        <w:t>‌</w:t>
      </w:r>
    </w:p>
    <w:p w14:paraId="65A12C43">
      <w:pPr>
        <w:jc w:val="both"/>
        <w:rPr>
          <w:rFonts w:hint="eastAsia"/>
          <w:b/>
          <w:bCs/>
        </w:rPr>
      </w:pPr>
      <w:r>
        <w:rPr>
          <w:rFonts w:hint="eastAsia"/>
          <w:b/>
          <w:bCs/>
        </w:rPr>
        <w:t>A final, validated search strategy for each database will be uploaded upon registration.</w:t>
      </w:r>
    </w:p>
    <w:p w14:paraId="732BE439">
      <w:pPr>
        <w:jc w:val="both"/>
        <w:rPr>
          <w:rFonts w:hint="eastAsia"/>
          <w:b/>
          <w:bCs/>
        </w:rPr>
      </w:pPr>
    </w:p>
    <w:p w14:paraId="75DF4F65">
      <w:pPr>
        <w:jc w:val="both"/>
        <w:rPr>
          <w:b/>
          <w:bCs/>
        </w:rPr>
      </w:pPr>
      <w:r>
        <w:rPr>
          <w:b/>
          <w:bCs/>
        </w:rPr>
        <w:t>Condition or domain being studied</w:t>
      </w:r>
      <w:r>
        <w:rPr>
          <w:rFonts w:ascii="Times New Roman" w:hAnsi="Times New Roman" w:cs="Times New Roman"/>
          <w:b/>
          <w:bCs/>
        </w:rPr>
        <w:t>‌</w:t>
      </w:r>
    </w:p>
    <w:p w14:paraId="12F5DD17">
      <w:pPr>
        <w:jc w:val="both"/>
        <w:rPr>
          <w:rFonts w:hint="eastAsia" w:eastAsiaTheme="minorEastAsia"/>
          <w:b/>
          <w:bCs/>
          <w:lang w:val="en-US" w:eastAsia="zh-CN"/>
        </w:rPr>
      </w:pPr>
      <w:r>
        <w:rPr>
          <w:rFonts w:hint="eastAsia"/>
          <w:b/>
          <w:bCs/>
        </w:rPr>
        <w:t>Moderate-to-severe, severe, or uncontrolled/inadequately controlled asthma, particularly with an eosinophilic phenotype.</w:t>
      </w:r>
      <w:r>
        <w:rPr>
          <w:rFonts w:hint="eastAsia"/>
          <w:b/>
          <w:bCs/>
          <w:lang w:val="en-US" w:eastAsia="zh-CN"/>
        </w:rPr>
        <w:t xml:space="preserve"> </w:t>
      </w:r>
      <w:r>
        <w:rPr>
          <w:rFonts w:hint="eastAsia"/>
          <w:b/>
          <w:bCs/>
        </w:rPr>
        <w:t>Benralizumab</w:t>
      </w:r>
      <w:r>
        <w:rPr>
          <w:rFonts w:hint="eastAsia"/>
          <w:b/>
          <w:bCs/>
          <w:lang w:val="en-US" w:eastAsia="zh-CN"/>
        </w:rPr>
        <w:t>.</w:t>
      </w:r>
    </w:p>
    <w:p w14:paraId="7D2F7785">
      <w:pPr>
        <w:jc w:val="both"/>
        <w:rPr>
          <w:rFonts w:hint="eastAsia"/>
          <w:b/>
          <w:bCs/>
        </w:rPr>
      </w:pPr>
    </w:p>
    <w:p w14:paraId="2109240D">
      <w:pPr>
        <w:jc w:val="both"/>
        <w:rPr>
          <w:b/>
          <w:bCs/>
        </w:rPr>
      </w:pPr>
      <w:r>
        <w:rPr>
          <w:b/>
          <w:bCs/>
        </w:rPr>
        <w:t>Participants/population</w:t>
      </w:r>
      <w:r>
        <w:rPr>
          <w:rFonts w:ascii="Times New Roman" w:hAnsi="Times New Roman" w:cs="Times New Roman"/>
          <w:b/>
          <w:bCs/>
        </w:rPr>
        <w:t>‌</w:t>
      </w:r>
    </w:p>
    <w:p w14:paraId="76B8CE93">
      <w:pPr>
        <w:jc w:val="both"/>
        <w:rPr>
          <w:rFonts w:hint="eastAsia"/>
          <w:b/>
          <w:bCs/>
        </w:rPr>
      </w:pPr>
      <w:r>
        <w:rPr>
          <w:rFonts w:hint="eastAsia"/>
          <w:b/>
          <w:bCs/>
        </w:rPr>
        <w:t>Adolescents and adults (&gt;12 years old) with a diagnosis of moderate-to-severe, severe, or uncontrolled asthma. Studies exclusively involving pediatric populations will be excluded, but mixed-population studies including participants &gt;12 years will be eligible.</w:t>
      </w:r>
    </w:p>
    <w:p w14:paraId="2AD9E506">
      <w:pPr>
        <w:jc w:val="both"/>
        <w:rPr>
          <w:rFonts w:hint="eastAsia"/>
          <w:b/>
          <w:bCs/>
        </w:rPr>
      </w:pPr>
    </w:p>
    <w:p w14:paraId="0433E855">
      <w:pPr>
        <w:jc w:val="both"/>
        <w:rPr>
          <w:b/>
          <w:bCs/>
        </w:rPr>
      </w:pPr>
      <w:r>
        <w:rPr>
          <w:b/>
          <w:bCs/>
        </w:rPr>
        <w:t>Intervention(s)</w:t>
      </w:r>
      <w:r>
        <w:rPr>
          <w:rFonts w:ascii="Times New Roman" w:hAnsi="Times New Roman" w:cs="Times New Roman"/>
          <w:b/>
          <w:bCs/>
        </w:rPr>
        <w:t>‌</w:t>
      </w:r>
    </w:p>
    <w:p w14:paraId="5664AD7D">
      <w:pPr>
        <w:jc w:val="both"/>
        <w:rPr>
          <w:b/>
          <w:bCs/>
        </w:rPr>
      </w:pPr>
      <w:r>
        <w:rPr>
          <w:b/>
          <w:bCs/>
        </w:rPr>
        <w:t xml:space="preserve">Benralizumab as an add-on therapy, administered subcutaneously at a dose of </w:t>
      </w:r>
      <w:r>
        <w:rPr>
          <w:rFonts w:ascii="Times New Roman" w:hAnsi="Times New Roman" w:cs="Times New Roman"/>
          <w:b/>
          <w:bCs/>
        </w:rPr>
        <w:t>‌</w:t>
      </w:r>
      <w:r>
        <w:rPr>
          <w:b/>
          <w:bCs/>
        </w:rPr>
        <w:t>30 mg</w:t>
      </w:r>
      <w:r>
        <w:rPr>
          <w:rFonts w:ascii="Times New Roman" w:hAnsi="Times New Roman" w:cs="Times New Roman"/>
          <w:b/>
          <w:bCs/>
        </w:rPr>
        <w:t>‌</w:t>
      </w:r>
      <w:r>
        <w:rPr>
          <w:b/>
          <w:bCs/>
        </w:rPr>
        <w:t xml:space="preserve"> according to defined regimens: </w:t>
      </w:r>
      <w:r>
        <w:rPr>
          <w:rFonts w:ascii="Times New Roman" w:hAnsi="Times New Roman" w:cs="Times New Roman"/>
          <w:b/>
          <w:bCs/>
        </w:rPr>
        <w:t>‌</w:t>
      </w:r>
      <w:r>
        <w:rPr>
          <w:b/>
          <w:bCs/>
        </w:rPr>
        <w:t>every 4 weeks (Q4W)</w:t>
      </w:r>
      <w:r>
        <w:rPr>
          <w:rFonts w:ascii="Times New Roman" w:hAnsi="Times New Roman" w:cs="Times New Roman"/>
          <w:b/>
          <w:bCs/>
        </w:rPr>
        <w:t>‌</w:t>
      </w:r>
      <w:r>
        <w:rPr>
          <w:b/>
          <w:bCs/>
        </w:rPr>
        <w:t xml:space="preserve"> or </w:t>
      </w:r>
      <w:r>
        <w:rPr>
          <w:rFonts w:ascii="Times New Roman" w:hAnsi="Times New Roman" w:cs="Times New Roman"/>
          <w:b/>
          <w:bCs/>
        </w:rPr>
        <w:t>‌</w:t>
      </w:r>
      <w:r>
        <w:rPr>
          <w:b/>
          <w:bCs/>
        </w:rPr>
        <w:t>every 8 weeks (Q8W)</w:t>
      </w:r>
      <w:r>
        <w:rPr>
          <w:rFonts w:ascii="Times New Roman" w:hAnsi="Times New Roman" w:cs="Times New Roman"/>
          <w:b/>
          <w:bCs/>
        </w:rPr>
        <w:t>‌</w:t>
      </w:r>
      <w:r>
        <w:rPr>
          <w:b/>
          <w:bCs/>
        </w:rPr>
        <w:t>.</w:t>
      </w:r>
    </w:p>
    <w:p w14:paraId="6F607F7B">
      <w:pPr>
        <w:jc w:val="both"/>
        <w:rPr>
          <w:rFonts w:hint="eastAsia"/>
          <w:b/>
          <w:bCs/>
        </w:rPr>
      </w:pPr>
    </w:p>
    <w:p w14:paraId="6407812D">
      <w:pPr>
        <w:jc w:val="both"/>
        <w:rPr>
          <w:b/>
          <w:bCs/>
        </w:rPr>
      </w:pPr>
      <w:r>
        <w:rPr>
          <w:b/>
          <w:bCs/>
        </w:rPr>
        <w:t>Comparator(s)/control</w:t>
      </w:r>
      <w:r>
        <w:rPr>
          <w:rFonts w:ascii="Times New Roman" w:hAnsi="Times New Roman" w:cs="Times New Roman"/>
          <w:b/>
          <w:bCs/>
        </w:rPr>
        <w:t>‌</w:t>
      </w:r>
    </w:p>
    <w:p w14:paraId="0EF37FFB">
      <w:pPr>
        <w:jc w:val="both"/>
        <w:rPr>
          <w:rFonts w:hint="eastAsia"/>
          <w:b/>
          <w:bCs/>
        </w:rPr>
      </w:pPr>
      <w:r>
        <w:rPr>
          <w:rFonts w:hint="eastAsia"/>
          <w:b/>
          <w:bCs/>
        </w:rPr>
        <w:t>Placebo or standard therapy for asthma.</w:t>
      </w:r>
    </w:p>
    <w:p w14:paraId="2E81717D">
      <w:pPr>
        <w:jc w:val="both"/>
        <w:rPr>
          <w:rFonts w:hint="eastAsia"/>
          <w:b/>
          <w:bCs/>
        </w:rPr>
      </w:pPr>
    </w:p>
    <w:p w14:paraId="36EB8FD1">
      <w:pPr>
        <w:jc w:val="both"/>
        <w:rPr>
          <w:b/>
          <w:bCs/>
        </w:rPr>
      </w:pPr>
      <w:r>
        <w:rPr>
          <w:b/>
          <w:bCs/>
        </w:rPr>
        <w:t>Types of study to be included</w:t>
      </w:r>
      <w:r>
        <w:rPr>
          <w:rFonts w:ascii="Times New Roman" w:hAnsi="Times New Roman" w:cs="Times New Roman"/>
          <w:b/>
          <w:bCs/>
        </w:rPr>
        <w:t>‌</w:t>
      </w:r>
    </w:p>
    <w:p w14:paraId="05F922BD">
      <w:pPr>
        <w:jc w:val="both"/>
        <w:rPr>
          <w:b/>
          <w:bCs/>
        </w:rPr>
      </w:pPr>
      <w:r>
        <w:rPr>
          <w:b/>
          <w:bCs/>
        </w:rPr>
        <w:t xml:space="preserve">Only </w:t>
      </w:r>
      <w:r>
        <w:rPr>
          <w:rFonts w:ascii="Times New Roman" w:hAnsi="Times New Roman" w:cs="Times New Roman"/>
          <w:b/>
          <w:bCs/>
        </w:rPr>
        <w:t>‌</w:t>
      </w:r>
      <w:r>
        <w:rPr>
          <w:b/>
          <w:bCs/>
        </w:rPr>
        <w:t>Randomized Controlled Trials (RCTs)</w:t>
      </w:r>
      <w:r>
        <w:rPr>
          <w:rFonts w:ascii="Times New Roman" w:hAnsi="Times New Roman" w:cs="Times New Roman"/>
          <w:b/>
          <w:bCs/>
        </w:rPr>
        <w:t>‌</w:t>
      </w:r>
      <w:r>
        <w:rPr>
          <w:b/>
          <w:bCs/>
        </w:rPr>
        <w:t xml:space="preserve"> will be included.</w:t>
      </w:r>
    </w:p>
    <w:p w14:paraId="41B67005">
      <w:pPr>
        <w:jc w:val="both"/>
        <w:rPr>
          <w:rFonts w:hint="eastAsia"/>
          <w:b/>
          <w:bCs/>
        </w:rPr>
      </w:pPr>
      <w:r>
        <w:rPr>
          <w:rFonts w:hint="eastAsia"/>
          <w:b/>
          <w:bCs/>
        </w:rPr>
        <w:t>Exclusion Criteria:</w:t>
      </w:r>
    </w:p>
    <w:p w14:paraId="0EF454F9">
      <w:pPr>
        <w:jc w:val="both"/>
        <w:rPr>
          <w:rFonts w:hint="eastAsia"/>
          <w:b/>
          <w:bCs/>
        </w:rPr>
      </w:pPr>
    </w:p>
    <w:p w14:paraId="4E6C902D">
      <w:pPr>
        <w:numPr>
          <w:ilvl w:val="0"/>
          <w:numId w:val="2"/>
        </w:numPr>
        <w:ind w:left="420" w:leftChars="0" w:hanging="420" w:firstLineChars="0"/>
        <w:jc w:val="both"/>
        <w:rPr>
          <w:rFonts w:hint="eastAsia"/>
          <w:b/>
          <w:bCs/>
        </w:rPr>
      </w:pPr>
      <w:r>
        <w:rPr>
          <w:rFonts w:hint="eastAsia"/>
          <w:b/>
          <w:bCs/>
        </w:rPr>
        <w:t>Non-randomized studies, observational studies (e.g., cohort, case-control), review articles, case reports, and editorials.</w:t>
      </w:r>
    </w:p>
    <w:p w14:paraId="35E3DF45">
      <w:pPr>
        <w:numPr>
          <w:ilvl w:val="0"/>
          <w:numId w:val="2"/>
        </w:numPr>
        <w:ind w:left="420" w:leftChars="0" w:hanging="420" w:firstLineChars="0"/>
        <w:jc w:val="both"/>
        <w:rPr>
          <w:rFonts w:hint="eastAsia"/>
          <w:b/>
          <w:bCs/>
        </w:rPr>
      </w:pPr>
      <w:r>
        <w:rPr>
          <w:rFonts w:hint="eastAsia"/>
          <w:b/>
          <w:bCs/>
        </w:rPr>
        <w:t>Conference abstracts lacking full data.</w:t>
      </w:r>
    </w:p>
    <w:p w14:paraId="01F93A81">
      <w:pPr>
        <w:numPr>
          <w:ilvl w:val="0"/>
          <w:numId w:val="2"/>
        </w:numPr>
        <w:ind w:left="420" w:leftChars="0" w:hanging="420" w:firstLineChars="0"/>
        <w:jc w:val="both"/>
        <w:rPr>
          <w:rFonts w:hint="eastAsia"/>
          <w:b/>
          <w:bCs/>
        </w:rPr>
      </w:pPr>
      <w:r>
        <w:rPr>
          <w:rFonts w:hint="eastAsia"/>
          <w:b/>
          <w:bCs/>
        </w:rPr>
        <w:t>Studies evaluating interventions other than the pre-defined benralizumab regimen.</w:t>
      </w:r>
    </w:p>
    <w:p w14:paraId="51461192">
      <w:pPr>
        <w:numPr>
          <w:ilvl w:val="0"/>
          <w:numId w:val="2"/>
        </w:numPr>
        <w:ind w:left="420" w:leftChars="0" w:hanging="420" w:firstLineChars="0"/>
        <w:jc w:val="both"/>
        <w:rPr>
          <w:rFonts w:hint="eastAsia"/>
          <w:b/>
          <w:bCs/>
        </w:rPr>
      </w:pPr>
      <w:r>
        <w:rPr>
          <w:rFonts w:hint="eastAsia"/>
          <w:b/>
          <w:bCs/>
        </w:rPr>
        <w:t>Studies that do not report at least one of the pre-specified efficacy or safety outcomes of interest.</w:t>
      </w:r>
    </w:p>
    <w:p w14:paraId="081CFC6A">
      <w:pPr>
        <w:numPr>
          <w:ilvl w:val="0"/>
          <w:numId w:val="2"/>
        </w:numPr>
        <w:ind w:left="420" w:leftChars="0" w:hanging="420" w:firstLineChars="0"/>
        <w:jc w:val="both"/>
        <w:rPr>
          <w:rFonts w:hint="eastAsia"/>
          <w:b/>
          <w:bCs/>
        </w:rPr>
      </w:pPr>
      <w:r>
        <w:rPr>
          <w:rFonts w:hint="eastAsia"/>
          <w:b/>
          <w:bCs/>
        </w:rPr>
        <w:t>Studies with major methodological flaws indicating a high risk of bias.</w:t>
      </w:r>
    </w:p>
    <w:p w14:paraId="1068905F">
      <w:pPr>
        <w:jc w:val="both"/>
        <w:rPr>
          <w:rFonts w:hint="eastAsia"/>
          <w:b/>
          <w:bCs/>
        </w:rPr>
      </w:pPr>
    </w:p>
    <w:p w14:paraId="7C6687DF">
      <w:pPr>
        <w:jc w:val="both"/>
        <w:rPr>
          <w:rFonts w:hint="eastAsia"/>
          <w:b/>
          <w:bCs/>
        </w:rPr>
      </w:pPr>
      <w:r>
        <w:rPr>
          <w:b/>
          <w:bCs/>
        </w:rPr>
        <w:t>Primary outcome(s)</w:t>
      </w:r>
      <w:r>
        <w:rPr>
          <w:rFonts w:ascii="Times New Roman" w:hAnsi="Times New Roman" w:cs="Times New Roman"/>
          <w:b/>
          <w:bCs/>
        </w:rPr>
        <w:t>‌</w:t>
      </w:r>
    </w:p>
    <w:p w14:paraId="04775EFD">
      <w:pPr>
        <w:numPr>
          <w:ilvl w:val="0"/>
          <w:numId w:val="2"/>
        </w:numPr>
        <w:ind w:left="420" w:leftChars="0" w:hanging="420" w:firstLineChars="0"/>
        <w:jc w:val="both"/>
        <w:rPr>
          <w:b/>
          <w:bCs/>
        </w:rPr>
      </w:pPr>
      <w:r>
        <w:rPr>
          <w:b/>
          <w:bCs/>
        </w:rPr>
        <w:t>Asthma exacerbation rate</w:t>
      </w:r>
      <w:r>
        <w:rPr>
          <w:rFonts w:ascii="Times New Roman" w:hAnsi="Times New Roman" w:cs="Times New Roman"/>
          <w:b/>
          <w:bCs/>
        </w:rPr>
        <w:t>‌</w:t>
      </w:r>
      <w:r>
        <w:rPr>
          <w:b/>
          <w:bCs/>
        </w:rPr>
        <w:t xml:space="preserve"> (risk ratio)</w:t>
      </w:r>
    </w:p>
    <w:p w14:paraId="7283D5D1">
      <w:pPr>
        <w:numPr>
          <w:ilvl w:val="0"/>
          <w:numId w:val="2"/>
        </w:numPr>
        <w:ind w:left="420" w:leftChars="0" w:hanging="420" w:firstLineChars="0"/>
        <w:jc w:val="both"/>
        <w:rPr>
          <w:b/>
          <w:bCs/>
        </w:rPr>
      </w:pPr>
      <w:r>
        <w:rPr>
          <w:b/>
          <w:bCs/>
        </w:rPr>
        <w:t>Asthma exacerbation-related hospitalization rate</w:t>
      </w:r>
      <w:r>
        <w:rPr>
          <w:rFonts w:ascii="Times New Roman" w:hAnsi="Times New Roman" w:cs="Times New Roman"/>
          <w:b/>
          <w:bCs/>
        </w:rPr>
        <w:t>‌</w:t>
      </w:r>
      <w:r>
        <w:rPr>
          <w:b/>
          <w:bCs/>
        </w:rPr>
        <w:t xml:space="preserve"> (risk ratio)</w:t>
      </w:r>
    </w:p>
    <w:p w14:paraId="46AE9ED3">
      <w:pPr>
        <w:numPr>
          <w:ilvl w:val="0"/>
          <w:numId w:val="2"/>
        </w:numPr>
        <w:ind w:left="420" w:leftChars="0" w:hanging="420" w:firstLineChars="0"/>
        <w:jc w:val="both"/>
        <w:rPr>
          <w:b/>
          <w:bCs/>
        </w:rPr>
      </w:pPr>
      <w:r>
        <w:rPr>
          <w:b/>
          <w:bCs/>
        </w:rPr>
        <w:t>Change in lung function:</w:t>
      </w:r>
      <w:r>
        <w:rPr>
          <w:rFonts w:ascii="Times New Roman" w:hAnsi="Times New Roman" w:cs="Times New Roman"/>
          <w:b/>
          <w:bCs/>
        </w:rPr>
        <w:t>‌</w:t>
      </w:r>
      <w:r>
        <w:rPr>
          <w:b/>
          <w:bCs/>
        </w:rPr>
        <w:t xml:space="preserve"> Forced Expiratory Volume in 1 second (FEV</w:t>
      </w:r>
      <w:r>
        <w:rPr>
          <w:rFonts w:ascii="Cambria Math" w:hAnsi="Cambria Math" w:cs="Cambria Math"/>
          <w:b/>
          <w:bCs/>
        </w:rPr>
        <w:t>₁</w:t>
      </w:r>
      <w:r>
        <w:rPr>
          <w:b/>
          <w:bCs/>
        </w:rPr>
        <w:t>) (mean difference)</w:t>
      </w:r>
    </w:p>
    <w:p w14:paraId="340FCDB5">
      <w:pPr>
        <w:numPr>
          <w:ilvl w:val="0"/>
          <w:numId w:val="2"/>
        </w:numPr>
        <w:ind w:left="420" w:leftChars="0" w:hanging="420" w:firstLineChars="0"/>
        <w:jc w:val="both"/>
        <w:rPr>
          <w:b/>
          <w:bCs/>
        </w:rPr>
      </w:pPr>
      <w:r>
        <w:rPr>
          <w:b/>
          <w:bCs/>
        </w:rPr>
        <w:t>Asthma Control:</w:t>
      </w:r>
      <w:r>
        <w:rPr>
          <w:rFonts w:ascii="Times New Roman" w:hAnsi="Times New Roman" w:cs="Times New Roman"/>
          <w:b/>
          <w:bCs/>
        </w:rPr>
        <w:t>‌</w:t>
      </w:r>
      <w:r>
        <w:rPr>
          <w:b/>
          <w:bCs/>
        </w:rPr>
        <w:t xml:space="preserve"> Change in Asthma Control Questionnaire-6 (ACQ-6) score (mean difference)</w:t>
      </w:r>
    </w:p>
    <w:p w14:paraId="435EE0D7">
      <w:pPr>
        <w:jc w:val="both"/>
        <w:rPr>
          <w:b/>
          <w:bCs/>
        </w:rPr>
      </w:pPr>
    </w:p>
    <w:p w14:paraId="65F29C4B">
      <w:pPr>
        <w:jc w:val="both"/>
        <w:rPr>
          <w:rFonts w:hint="eastAsia"/>
          <w:b/>
          <w:bCs/>
        </w:rPr>
      </w:pPr>
      <w:r>
        <w:rPr>
          <w:b/>
          <w:bCs/>
        </w:rPr>
        <w:t>Secondary outcome(s)</w:t>
      </w:r>
      <w:r>
        <w:rPr>
          <w:rFonts w:ascii="Times New Roman" w:hAnsi="Times New Roman" w:cs="Times New Roman"/>
          <w:b/>
          <w:bCs/>
        </w:rPr>
        <w:t>‌</w:t>
      </w:r>
    </w:p>
    <w:p w14:paraId="2762D6A5">
      <w:pPr>
        <w:numPr>
          <w:ilvl w:val="0"/>
          <w:numId w:val="2"/>
        </w:numPr>
        <w:ind w:left="420" w:leftChars="0" w:hanging="420" w:firstLineChars="0"/>
        <w:jc w:val="both"/>
        <w:rPr>
          <w:b/>
          <w:bCs/>
        </w:rPr>
      </w:pPr>
      <w:r>
        <w:rPr>
          <w:b/>
          <w:bCs/>
        </w:rPr>
        <w:t>Patient-reported outcomes:</w:t>
      </w:r>
      <w:r>
        <w:rPr>
          <w:rFonts w:ascii="Times New Roman" w:hAnsi="Times New Roman" w:cs="Times New Roman"/>
          <w:b/>
          <w:bCs/>
        </w:rPr>
        <w:t>‌</w:t>
      </w:r>
      <w:r>
        <w:rPr>
          <w:b/>
          <w:bCs/>
        </w:rPr>
        <w:t xml:space="preserve"> Change in Asthma Symptom Score (ASS), Asthma Quality of Life Questionnaire (AQLQ) score, St. George's Respiratory Questionnaire (SGRQ) score (mean differences).</w:t>
      </w:r>
    </w:p>
    <w:p w14:paraId="5A44EEF4">
      <w:pPr>
        <w:numPr>
          <w:ilvl w:val="0"/>
          <w:numId w:val="2"/>
        </w:numPr>
        <w:ind w:left="420" w:leftChars="0" w:hanging="420" w:firstLineChars="0"/>
        <w:jc w:val="both"/>
        <w:rPr>
          <w:rFonts w:hint="eastAsia"/>
          <w:b/>
          <w:bCs/>
        </w:rPr>
      </w:pPr>
      <w:r>
        <w:rPr>
          <w:b/>
          <w:bCs/>
        </w:rPr>
        <w:t>Safety outcomes (risk ratios):</w:t>
      </w:r>
      <w:r>
        <w:rPr>
          <w:rFonts w:ascii="Times New Roman" w:hAnsi="Times New Roman" w:cs="Times New Roman"/>
          <w:b/>
          <w:bCs/>
        </w:rPr>
        <w:t>‌</w:t>
      </w:r>
      <w:r>
        <w:rPr>
          <w:rFonts w:hint="eastAsia"/>
          <w:b/>
          <w:bCs/>
        </w:rPr>
        <w:t>Total Adverse Events (AE)</w:t>
      </w:r>
      <w:r>
        <w:rPr>
          <w:rFonts w:hint="eastAsia"/>
          <w:b/>
          <w:bCs/>
          <w:lang w:eastAsia="zh-CN"/>
        </w:rPr>
        <w:t>，</w:t>
      </w:r>
      <w:r>
        <w:rPr>
          <w:rFonts w:hint="eastAsia"/>
          <w:b/>
          <w:bCs/>
        </w:rPr>
        <w:t>Serious Adverse Events (SAE)</w:t>
      </w:r>
      <w:r>
        <w:rPr>
          <w:rFonts w:hint="eastAsia"/>
          <w:b/>
          <w:bCs/>
          <w:lang w:eastAsia="zh-CN"/>
        </w:rPr>
        <w:t>，</w:t>
      </w:r>
      <w:r>
        <w:rPr>
          <w:rFonts w:hint="eastAsia"/>
          <w:b/>
          <w:bCs/>
        </w:rPr>
        <w:t>Pneumonia events</w:t>
      </w:r>
      <w:r>
        <w:rPr>
          <w:rFonts w:hint="eastAsia"/>
          <w:b/>
          <w:bCs/>
          <w:lang w:eastAsia="zh-CN"/>
        </w:rPr>
        <w:t>，</w:t>
      </w:r>
      <w:r>
        <w:rPr>
          <w:rFonts w:hint="eastAsia"/>
          <w:b/>
          <w:bCs/>
        </w:rPr>
        <w:t>All-cause Mortality</w:t>
      </w:r>
    </w:p>
    <w:p w14:paraId="46B82CC3">
      <w:pPr>
        <w:jc w:val="both"/>
        <w:rPr>
          <w:rFonts w:hint="eastAsia"/>
          <w:b/>
          <w:bCs/>
        </w:rPr>
      </w:pPr>
    </w:p>
    <w:p w14:paraId="27394524">
      <w:pPr>
        <w:jc w:val="both"/>
        <w:rPr>
          <w:rFonts w:hint="eastAsia"/>
          <w:b/>
          <w:bCs/>
        </w:rPr>
      </w:pPr>
      <w:r>
        <w:rPr>
          <w:b/>
          <w:bCs/>
        </w:rPr>
        <w:t>Data extraction (selection and coding)</w:t>
      </w:r>
      <w:r>
        <w:rPr>
          <w:rFonts w:ascii="Times New Roman" w:hAnsi="Times New Roman" w:cs="Times New Roman"/>
          <w:b/>
          <w:bCs/>
        </w:rPr>
        <w:t>‌</w:t>
      </w:r>
    </w:p>
    <w:p w14:paraId="5B1E4E7E">
      <w:pPr>
        <w:numPr>
          <w:ilvl w:val="0"/>
          <w:numId w:val="3"/>
        </w:numPr>
        <w:jc w:val="both"/>
        <w:rPr>
          <w:b/>
          <w:bCs/>
        </w:rPr>
      </w:pPr>
      <w:r>
        <w:rPr>
          <w:b/>
          <w:bCs/>
        </w:rPr>
        <w:t>Study Selection:</w:t>
      </w:r>
      <w:r>
        <w:rPr>
          <w:rFonts w:ascii="Times New Roman" w:hAnsi="Times New Roman" w:cs="Times New Roman"/>
          <w:b/>
          <w:bCs/>
        </w:rPr>
        <w:t>‌</w:t>
      </w:r>
      <w:r>
        <w:rPr>
          <w:b/>
          <w:bCs/>
        </w:rPr>
        <w:t xml:space="preserve"> Two independent reviewers (Y.L. and H.Y.) will screen titles/abstracts and subsequently full-text articles against the eligibility criteria. Disagreements will be resolved by consensus or adjudication by a third senior reviewer (J.L.).</w:t>
      </w:r>
    </w:p>
    <w:p w14:paraId="34B61E80">
      <w:pPr>
        <w:numPr>
          <w:ilvl w:val="0"/>
          <w:numId w:val="3"/>
        </w:numPr>
        <w:ind w:left="0" w:leftChars="0" w:firstLine="0" w:firstLineChars="0"/>
        <w:jc w:val="both"/>
        <w:rPr>
          <w:b/>
          <w:bCs/>
        </w:rPr>
      </w:pPr>
      <w:r>
        <w:rPr>
          <w:b/>
          <w:bCs/>
        </w:rPr>
        <w:t>Data Extraction:</w:t>
      </w:r>
      <w:r>
        <w:rPr>
          <w:rFonts w:ascii="Times New Roman" w:hAnsi="Times New Roman" w:cs="Times New Roman"/>
          <w:b/>
          <w:bCs/>
        </w:rPr>
        <w:t>‌</w:t>
      </w:r>
      <w:r>
        <w:rPr>
          <w:b/>
          <w:bCs/>
        </w:rPr>
        <w:t xml:space="preserve"> A pre-piloted, standardized data extraction form will be used by two independent reviewers (Y.L. and H.Y.) to extract data from included studies.</w:t>
      </w:r>
    </w:p>
    <w:p w14:paraId="49BCEF76">
      <w:pPr>
        <w:numPr>
          <w:ilvl w:val="0"/>
          <w:numId w:val="4"/>
        </w:numPr>
        <w:ind w:left="420" w:leftChars="0" w:hanging="420" w:firstLineChars="0"/>
        <w:jc w:val="both"/>
        <w:rPr>
          <w:b/>
          <w:bCs/>
        </w:rPr>
      </w:pPr>
      <w:r>
        <w:rPr>
          <w:b/>
          <w:bCs/>
        </w:rPr>
        <w:t>Extracted information will include:</w:t>
      </w:r>
      <w:r>
        <w:rPr>
          <w:rFonts w:ascii="Times New Roman" w:hAnsi="Times New Roman" w:cs="Times New Roman"/>
          <w:b/>
          <w:bCs/>
        </w:rPr>
        <w:t>‌</w:t>
      </w:r>
      <w:r>
        <w:rPr>
          <w:b/>
          <w:bCs/>
        </w:rPr>
        <w:t xml:space="preserve"> Study characteristics (author, year, design, sample size, duration), participant demographics, intervention details (benralizumab regimen, comparator), and outcomes data.</w:t>
      </w:r>
    </w:p>
    <w:p w14:paraId="703B6F56">
      <w:pPr>
        <w:numPr>
          <w:ilvl w:val="0"/>
          <w:numId w:val="4"/>
        </w:numPr>
        <w:ind w:left="420" w:leftChars="0" w:hanging="420" w:firstLineChars="0"/>
        <w:jc w:val="both"/>
        <w:rPr>
          <w:b/>
          <w:bCs/>
        </w:rPr>
      </w:pPr>
      <w:r>
        <w:rPr>
          <w:b/>
          <w:bCs/>
        </w:rPr>
        <w:t>Outcome data:</w:t>
      </w:r>
      <w:r>
        <w:rPr>
          <w:rFonts w:ascii="Times New Roman" w:hAnsi="Times New Roman" w:cs="Times New Roman"/>
          <w:b/>
          <w:bCs/>
        </w:rPr>
        <w:t>‌</w:t>
      </w:r>
      <w:r>
        <w:rPr>
          <w:b/>
          <w:bCs/>
        </w:rPr>
        <w:t xml:space="preserve"> For continuous outcomes (e.g., FEV</w:t>
      </w:r>
      <w:r>
        <w:rPr>
          <w:rFonts w:ascii="Cambria Math" w:hAnsi="Cambria Math" w:cs="Cambria Math"/>
          <w:b/>
          <w:bCs/>
        </w:rPr>
        <w:t>₁</w:t>
      </w:r>
      <w:r>
        <w:rPr>
          <w:b/>
          <w:bCs/>
        </w:rPr>
        <w:t>, ACQ-6), the mean change from baseline, standard deviation, and sample size will be recorded. For dichotomous outcomes (e.g., exacerbations, AEs), event counts and total participants will be extracted.</w:t>
      </w:r>
    </w:p>
    <w:p w14:paraId="332B1E8B">
      <w:pPr>
        <w:numPr>
          <w:ilvl w:val="0"/>
          <w:numId w:val="4"/>
        </w:numPr>
        <w:ind w:left="420" w:leftChars="0" w:hanging="420" w:firstLineChars="0"/>
        <w:jc w:val="both"/>
        <w:rPr>
          <w:b/>
          <w:bCs/>
        </w:rPr>
      </w:pPr>
      <w:r>
        <w:rPr>
          <w:b/>
          <w:bCs/>
        </w:rPr>
        <w:t>Stratified data:</w:t>
      </w:r>
      <w:r>
        <w:rPr>
          <w:rFonts w:ascii="Times New Roman" w:hAnsi="Times New Roman" w:cs="Times New Roman"/>
          <w:b/>
          <w:bCs/>
        </w:rPr>
        <w:t>‌</w:t>
      </w:r>
      <w:r>
        <w:rPr>
          <w:b/>
          <w:bCs/>
        </w:rPr>
        <w:t xml:space="preserve"> Specific efforts will be made to extract outcome data stratified by </w:t>
      </w:r>
      <w:r>
        <w:rPr>
          <w:rFonts w:ascii="Times New Roman" w:hAnsi="Times New Roman" w:cs="Times New Roman"/>
          <w:b/>
          <w:bCs/>
        </w:rPr>
        <w:t>‌</w:t>
      </w:r>
      <w:r>
        <w:rPr>
          <w:b/>
          <w:bCs/>
        </w:rPr>
        <w:t>baseline blood eosinophil count</w:t>
      </w:r>
      <w:r>
        <w:rPr>
          <w:rFonts w:ascii="Times New Roman" w:hAnsi="Times New Roman" w:cs="Times New Roman"/>
          <w:b/>
          <w:bCs/>
        </w:rPr>
        <w:t>‌</w:t>
      </w:r>
      <w:r>
        <w:rPr>
          <w:b/>
          <w:bCs/>
        </w:rPr>
        <w:t xml:space="preserve"> (&lt;300 vs. </w:t>
      </w:r>
      <w:r>
        <w:rPr>
          <w:rFonts w:hint="eastAsia" w:ascii="等线" w:hAnsi="等线" w:eastAsia="等线" w:cs="等线"/>
          <w:b/>
          <w:bCs/>
        </w:rPr>
        <w:t>≥</w:t>
      </w:r>
      <w:r>
        <w:rPr>
          <w:b/>
          <w:bCs/>
        </w:rPr>
        <w:t>300 cells/</w:t>
      </w:r>
      <w:r>
        <w:rPr>
          <w:rFonts w:hint="eastAsia" w:ascii="等线" w:hAnsi="等线" w:eastAsia="等线" w:cs="等线"/>
          <w:b/>
          <w:bCs/>
        </w:rPr>
        <w:t>μ</w:t>
      </w:r>
      <w:r>
        <w:rPr>
          <w:b/>
          <w:bCs/>
        </w:rPr>
        <w:t xml:space="preserve">L) and </w:t>
      </w:r>
      <w:r>
        <w:rPr>
          <w:rFonts w:ascii="Times New Roman" w:hAnsi="Times New Roman" w:cs="Times New Roman"/>
          <w:b/>
          <w:bCs/>
        </w:rPr>
        <w:t>‌</w:t>
      </w:r>
      <w:r>
        <w:rPr>
          <w:b/>
          <w:bCs/>
        </w:rPr>
        <w:t>dosing regimen</w:t>
      </w:r>
      <w:r>
        <w:rPr>
          <w:rFonts w:ascii="Times New Roman" w:hAnsi="Times New Roman" w:cs="Times New Roman"/>
          <w:b/>
          <w:bCs/>
        </w:rPr>
        <w:t>‌</w:t>
      </w:r>
      <w:r>
        <w:rPr>
          <w:b/>
          <w:bCs/>
        </w:rPr>
        <w:t xml:space="preserve"> (Q4W vs. Q8W), where available.</w:t>
      </w:r>
    </w:p>
    <w:p w14:paraId="5DBE3C3E">
      <w:pPr>
        <w:numPr>
          <w:ilvl w:val="0"/>
          <w:numId w:val="3"/>
        </w:numPr>
        <w:ind w:left="0" w:leftChars="0" w:firstLine="0" w:firstLineChars="0"/>
        <w:jc w:val="both"/>
        <w:rPr>
          <w:rFonts w:hint="eastAsia"/>
          <w:b/>
          <w:bCs/>
        </w:rPr>
      </w:pPr>
      <w:r>
        <w:rPr>
          <w:b/>
          <w:bCs/>
        </w:rPr>
        <w:t>Verification:</w:t>
      </w:r>
      <w:r>
        <w:rPr>
          <w:rFonts w:ascii="Times New Roman" w:hAnsi="Times New Roman" w:cs="Times New Roman"/>
          <w:b/>
          <w:bCs/>
        </w:rPr>
        <w:t>‌</w:t>
      </w:r>
      <w:r>
        <w:rPr>
          <w:b/>
          <w:bCs/>
        </w:rPr>
        <w:t xml:space="preserve"> All extracted data will be cross-verified against source publications. Disagreements will be resolved via discussion or third-reviewer adjudication (J.L.). The accuracy of the final extracted dataset will be validated by a third independent </w:t>
      </w:r>
      <w:r>
        <w:rPr>
          <w:rFonts w:hint="eastAsia"/>
          <w:b/>
          <w:bCs/>
        </w:rPr>
        <w:t>author (Y.Z.).</w:t>
      </w:r>
    </w:p>
    <w:p w14:paraId="59448342">
      <w:pPr>
        <w:jc w:val="both"/>
        <w:rPr>
          <w:b/>
          <w:bCs/>
        </w:rPr>
      </w:pPr>
      <w:r>
        <w:rPr>
          <w:b/>
          <w:bCs/>
        </w:rPr>
        <w:t>Risk of bias (quality) assessment</w:t>
      </w:r>
      <w:r>
        <w:rPr>
          <w:rFonts w:ascii="Times New Roman" w:hAnsi="Times New Roman" w:cs="Times New Roman"/>
          <w:b/>
          <w:bCs/>
        </w:rPr>
        <w:t>‌</w:t>
      </w:r>
    </w:p>
    <w:p w14:paraId="3E57410F">
      <w:pPr>
        <w:jc w:val="both"/>
        <w:rPr>
          <w:rFonts w:hint="eastAsia"/>
          <w:b/>
          <w:bCs/>
        </w:rPr>
      </w:pPr>
      <w:r>
        <w:rPr>
          <w:b/>
          <w:bCs/>
        </w:rPr>
        <w:t xml:space="preserve">The methodological quality and risk of bias of each included RCT will be independently assessed by two reviewers (Y.L. and H.Y.) using the </w:t>
      </w:r>
      <w:r>
        <w:rPr>
          <w:rFonts w:ascii="Times New Roman" w:hAnsi="Times New Roman" w:cs="Times New Roman"/>
          <w:b/>
          <w:bCs/>
        </w:rPr>
        <w:t>‌</w:t>
      </w:r>
      <w:r>
        <w:rPr>
          <w:b/>
          <w:bCs/>
        </w:rPr>
        <w:t>Cochrane Risk of Bias (RoB) tool (version 2 or later as appropriate)</w:t>
      </w:r>
      <w:r>
        <w:rPr>
          <w:rFonts w:ascii="Times New Roman" w:hAnsi="Times New Roman" w:cs="Times New Roman"/>
          <w:b/>
          <w:bCs/>
        </w:rPr>
        <w:t>‌</w:t>
      </w:r>
      <w:r>
        <w:rPr>
          <w:b/>
          <w:bCs/>
        </w:rPr>
        <w:t>. The assessment will cover the following domai</w:t>
      </w:r>
      <w:r>
        <w:rPr>
          <w:rFonts w:hint="eastAsia"/>
          <w:b/>
          <w:bCs/>
        </w:rPr>
        <w:t>ns:</w:t>
      </w:r>
    </w:p>
    <w:p w14:paraId="3467B564">
      <w:pPr>
        <w:numPr>
          <w:ilvl w:val="0"/>
          <w:numId w:val="5"/>
        </w:numPr>
        <w:ind w:left="420" w:leftChars="0" w:hanging="420" w:firstLineChars="0"/>
        <w:jc w:val="both"/>
        <w:rPr>
          <w:rFonts w:hint="eastAsia"/>
          <w:b/>
          <w:bCs/>
        </w:rPr>
      </w:pPr>
      <w:r>
        <w:rPr>
          <w:rFonts w:hint="eastAsia"/>
          <w:b/>
          <w:bCs/>
        </w:rPr>
        <w:t>Random sequence generation</w:t>
      </w:r>
    </w:p>
    <w:p w14:paraId="09A6881C">
      <w:pPr>
        <w:numPr>
          <w:ilvl w:val="0"/>
          <w:numId w:val="5"/>
        </w:numPr>
        <w:ind w:left="420" w:leftChars="0" w:hanging="420" w:firstLineChars="0"/>
        <w:jc w:val="both"/>
        <w:rPr>
          <w:rFonts w:hint="eastAsia"/>
          <w:b/>
          <w:bCs/>
        </w:rPr>
      </w:pPr>
      <w:r>
        <w:rPr>
          <w:rFonts w:hint="eastAsia"/>
          <w:b/>
          <w:bCs/>
        </w:rPr>
        <w:t>Allocation concealment</w:t>
      </w:r>
    </w:p>
    <w:p w14:paraId="54C05849">
      <w:pPr>
        <w:numPr>
          <w:ilvl w:val="0"/>
          <w:numId w:val="5"/>
        </w:numPr>
        <w:ind w:left="420" w:leftChars="0" w:hanging="420" w:firstLineChars="0"/>
        <w:jc w:val="both"/>
        <w:rPr>
          <w:rFonts w:hint="eastAsia"/>
          <w:b/>
          <w:bCs/>
        </w:rPr>
      </w:pPr>
      <w:r>
        <w:rPr>
          <w:rFonts w:hint="eastAsia"/>
          <w:b/>
          <w:bCs/>
        </w:rPr>
        <w:t>Blinding of participants and personnel</w:t>
      </w:r>
    </w:p>
    <w:p w14:paraId="7207D89C">
      <w:pPr>
        <w:numPr>
          <w:ilvl w:val="0"/>
          <w:numId w:val="5"/>
        </w:numPr>
        <w:ind w:left="420" w:leftChars="0" w:hanging="420" w:firstLineChars="0"/>
        <w:jc w:val="both"/>
        <w:rPr>
          <w:rFonts w:hint="eastAsia"/>
          <w:b/>
          <w:bCs/>
        </w:rPr>
      </w:pPr>
      <w:r>
        <w:rPr>
          <w:rFonts w:hint="eastAsia"/>
          <w:b/>
          <w:bCs/>
        </w:rPr>
        <w:t>Blinding of outcome assessment</w:t>
      </w:r>
    </w:p>
    <w:p w14:paraId="320DCEAF">
      <w:pPr>
        <w:numPr>
          <w:ilvl w:val="0"/>
          <w:numId w:val="5"/>
        </w:numPr>
        <w:ind w:left="420" w:leftChars="0" w:hanging="420" w:firstLineChars="0"/>
        <w:jc w:val="both"/>
        <w:rPr>
          <w:rFonts w:hint="eastAsia"/>
          <w:b/>
          <w:bCs/>
        </w:rPr>
      </w:pPr>
      <w:r>
        <w:rPr>
          <w:rFonts w:hint="eastAsia"/>
          <w:b/>
          <w:bCs/>
        </w:rPr>
        <w:t>Incomplete outcome data</w:t>
      </w:r>
    </w:p>
    <w:p w14:paraId="56BEECB6">
      <w:pPr>
        <w:numPr>
          <w:ilvl w:val="0"/>
          <w:numId w:val="5"/>
        </w:numPr>
        <w:ind w:left="420" w:leftChars="0" w:hanging="420" w:firstLineChars="0"/>
        <w:jc w:val="both"/>
        <w:rPr>
          <w:rFonts w:hint="eastAsia"/>
          <w:b/>
          <w:bCs/>
        </w:rPr>
      </w:pPr>
      <w:r>
        <w:rPr>
          <w:rFonts w:hint="eastAsia"/>
          <w:b/>
          <w:bCs/>
        </w:rPr>
        <w:t>Selective outcome reporting</w:t>
      </w:r>
    </w:p>
    <w:p w14:paraId="758BD37D">
      <w:pPr>
        <w:numPr>
          <w:ilvl w:val="0"/>
          <w:numId w:val="5"/>
        </w:numPr>
        <w:ind w:left="420" w:leftChars="0" w:hanging="420" w:firstLineChars="0"/>
        <w:jc w:val="both"/>
        <w:rPr>
          <w:rFonts w:hint="eastAsia"/>
          <w:b/>
          <w:bCs/>
        </w:rPr>
      </w:pPr>
      <w:r>
        <w:rPr>
          <w:rFonts w:hint="eastAsia"/>
          <w:b/>
          <w:bCs/>
        </w:rPr>
        <w:t>Other potential sources of bias</w:t>
      </w:r>
    </w:p>
    <w:p w14:paraId="103D464B">
      <w:pPr>
        <w:jc w:val="both"/>
        <w:rPr>
          <w:rFonts w:hint="eastAsia"/>
          <w:b/>
          <w:bCs/>
        </w:rPr>
      </w:pPr>
      <w:r>
        <w:rPr>
          <w:rFonts w:hint="eastAsia"/>
          <w:b/>
          <w:bCs/>
        </w:rPr>
        <w:t>Discrepancies in assessment will be resolved by consensus or third-reviewer (J.L.) adjudication. The overall risk of bias for each study and across studies will be summarized and presented graphically (e.g., RoB summary/ graph).</w:t>
      </w:r>
    </w:p>
    <w:p w14:paraId="19BE63AB">
      <w:pPr>
        <w:jc w:val="both"/>
        <w:rPr>
          <w:rFonts w:hint="eastAsia"/>
          <w:b/>
          <w:bCs/>
        </w:rPr>
      </w:pPr>
    </w:p>
    <w:p w14:paraId="4F69CDE9">
      <w:pPr>
        <w:numPr>
          <w:ilvl w:val="0"/>
          <w:numId w:val="0"/>
        </w:numPr>
        <w:jc w:val="both"/>
        <w:rPr>
          <w:rFonts w:hint="eastAsia"/>
          <w:b/>
          <w:bCs/>
        </w:rPr>
      </w:pPr>
      <w:r>
        <w:rPr>
          <w:b/>
          <w:bCs/>
        </w:rPr>
        <w:t>Strategy for data synthesis</w:t>
      </w:r>
      <w:r>
        <w:rPr>
          <w:rFonts w:ascii="Times New Roman" w:hAnsi="Times New Roman" w:cs="Times New Roman"/>
          <w:b/>
          <w:bCs/>
        </w:rPr>
        <w:t>‌</w:t>
      </w:r>
    </w:p>
    <w:p w14:paraId="290D4A99">
      <w:pPr>
        <w:numPr>
          <w:ilvl w:val="0"/>
          <w:numId w:val="6"/>
        </w:numPr>
        <w:ind w:leftChars="0"/>
        <w:jc w:val="both"/>
        <w:rPr>
          <w:b/>
          <w:bCs/>
        </w:rPr>
      </w:pPr>
      <w:r>
        <w:rPr>
          <w:b/>
          <w:bCs/>
        </w:rPr>
        <w:t>Effect Measures:</w:t>
      </w:r>
      <w:r>
        <w:rPr>
          <w:rFonts w:ascii="Times New Roman" w:hAnsi="Times New Roman" w:cs="Times New Roman"/>
          <w:b/>
          <w:bCs/>
        </w:rPr>
        <w:t>‌</w:t>
      </w:r>
      <w:r>
        <w:rPr>
          <w:b/>
          <w:bCs/>
        </w:rPr>
        <w:t xml:space="preserve"> For dichotomous outcomes, the </w:t>
      </w:r>
      <w:r>
        <w:rPr>
          <w:rFonts w:ascii="Times New Roman" w:hAnsi="Times New Roman" w:cs="Times New Roman"/>
          <w:b/>
          <w:bCs/>
        </w:rPr>
        <w:t>‌</w:t>
      </w:r>
      <w:r>
        <w:rPr>
          <w:b/>
          <w:bCs/>
        </w:rPr>
        <w:t>Risk Ratio (RR)</w:t>
      </w:r>
      <w:r>
        <w:rPr>
          <w:rFonts w:ascii="Times New Roman" w:hAnsi="Times New Roman" w:cs="Times New Roman"/>
          <w:b/>
          <w:bCs/>
        </w:rPr>
        <w:t>‌</w:t>
      </w:r>
      <w:r>
        <w:rPr>
          <w:b/>
          <w:bCs/>
        </w:rPr>
        <w:t xml:space="preserve"> with 95% Confidence Interval (CI) will be calculated. For continuous outcomes, the </w:t>
      </w:r>
      <w:r>
        <w:rPr>
          <w:rFonts w:ascii="Times New Roman" w:hAnsi="Times New Roman" w:cs="Times New Roman"/>
          <w:b/>
          <w:bCs/>
        </w:rPr>
        <w:t>‌</w:t>
      </w:r>
      <w:r>
        <w:rPr>
          <w:b/>
          <w:bCs/>
        </w:rPr>
        <w:t>Weighted Mean Difference (WMD)</w:t>
      </w:r>
      <w:r>
        <w:rPr>
          <w:rFonts w:ascii="Times New Roman" w:hAnsi="Times New Roman" w:cs="Times New Roman"/>
          <w:b/>
          <w:bCs/>
        </w:rPr>
        <w:t>‌</w:t>
      </w:r>
      <w:r>
        <w:rPr>
          <w:b/>
          <w:bCs/>
        </w:rPr>
        <w:t xml:space="preserve"> with 95% CI will be calculated.</w:t>
      </w:r>
    </w:p>
    <w:p w14:paraId="7DF39915">
      <w:pPr>
        <w:numPr>
          <w:ilvl w:val="0"/>
          <w:numId w:val="6"/>
        </w:numPr>
        <w:ind w:left="0" w:leftChars="0" w:firstLine="0" w:firstLineChars="0"/>
        <w:jc w:val="both"/>
        <w:rPr>
          <w:rFonts w:hint="eastAsia"/>
          <w:b/>
          <w:bCs/>
        </w:rPr>
      </w:pPr>
      <w:r>
        <w:rPr>
          <w:b/>
          <w:bCs/>
        </w:rPr>
        <w:t>Statistical Model:</w:t>
      </w:r>
      <w:r>
        <w:rPr>
          <w:rFonts w:ascii="Times New Roman" w:hAnsi="Times New Roman" w:cs="Times New Roman"/>
          <w:b/>
          <w:bCs/>
        </w:rPr>
        <w:t>‌</w:t>
      </w:r>
      <w:r>
        <w:rPr>
          <w:b/>
          <w:bCs/>
        </w:rPr>
        <w:t xml:space="preserve"> Both fixed-effect and random-effects models will be considered. The </w:t>
      </w:r>
      <w:r>
        <w:rPr>
          <w:rFonts w:ascii="Times New Roman" w:hAnsi="Times New Roman" w:cs="Times New Roman"/>
          <w:b/>
          <w:bCs/>
        </w:rPr>
        <w:t>‌</w:t>
      </w:r>
      <w:r>
        <w:rPr>
          <w:b/>
          <w:bCs/>
        </w:rPr>
        <w:t>random-effects model</w:t>
      </w:r>
      <w:r>
        <w:rPr>
          <w:rFonts w:ascii="Times New Roman" w:hAnsi="Times New Roman" w:cs="Times New Roman"/>
          <w:b/>
          <w:bCs/>
        </w:rPr>
        <w:t>‌</w:t>
      </w:r>
      <w:r>
        <w:rPr>
          <w:b/>
          <w:bCs/>
        </w:rPr>
        <w:t xml:space="preserve"> (e.g., DerSimonian and Laird method) will be the primary analysis model to account for potential clinical and methodological heterogeneity across</w:t>
      </w:r>
      <w:r>
        <w:rPr>
          <w:rFonts w:hint="eastAsia"/>
          <w:b/>
          <w:bCs/>
        </w:rPr>
        <w:t xml:space="preserve"> studies.</w:t>
      </w:r>
    </w:p>
    <w:p w14:paraId="0544C21A">
      <w:pPr>
        <w:numPr>
          <w:ilvl w:val="0"/>
          <w:numId w:val="6"/>
        </w:numPr>
        <w:ind w:left="0" w:leftChars="0" w:firstLine="0" w:firstLineChars="0"/>
        <w:jc w:val="both"/>
        <w:rPr>
          <w:rFonts w:hint="eastAsia"/>
          <w:b/>
          <w:bCs/>
        </w:rPr>
      </w:pPr>
      <w:r>
        <w:rPr>
          <w:b/>
          <w:bCs/>
        </w:rPr>
        <w:t>Heterogeneity:</w:t>
      </w:r>
      <w:r>
        <w:rPr>
          <w:rFonts w:ascii="Times New Roman" w:hAnsi="Times New Roman" w:cs="Times New Roman"/>
          <w:b/>
          <w:bCs/>
        </w:rPr>
        <w:t>‌</w:t>
      </w:r>
      <w:r>
        <w:rPr>
          <w:b/>
          <w:bCs/>
        </w:rPr>
        <w:t xml:space="preserve"> Statistical heterogeneity will be assessed using the </w:t>
      </w:r>
      <w:r>
        <w:rPr>
          <w:rFonts w:ascii="Times New Roman" w:hAnsi="Times New Roman" w:cs="Times New Roman"/>
          <w:b/>
          <w:bCs/>
        </w:rPr>
        <w:t>‌</w:t>
      </w:r>
      <w:r>
        <w:rPr>
          <w:b/>
          <w:bCs/>
        </w:rPr>
        <w:t>I</w:t>
      </w:r>
      <w:r>
        <w:rPr>
          <w:rFonts w:hint="eastAsia" w:ascii="等线" w:hAnsi="等线" w:eastAsia="等线" w:cs="等线"/>
          <w:b/>
          <w:bCs/>
        </w:rPr>
        <w:t>²</w:t>
      </w:r>
      <w:r>
        <w:rPr>
          <w:b/>
          <w:bCs/>
        </w:rPr>
        <w:t xml:space="preserve"> statistic</w:t>
      </w:r>
      <w:r>
        <w:rPr>
          <w:rFonts w:ascii="Times New Roman" w:hAnsi="Times New Roman" w:cs="Times New Roman"/>
          <w:b/>
          <w:bCs/>
        </w:rPr>
        <w:t>‌</w:t>
      </w:r>
      <w:r>
        <w:rPr>
          <w:b/>
          <w:bCs/>
        </w:rPr>
        <w:t xml:space="preserve"> and the </w:t>
      </w:r>
      <w:r>
        <w:rPr>
          <w:rFonts w:ascii="Times New Roman" w:hAnsi="Times New Roman" w:cs="Times New Roman"/>
          <w:b/>
          <w:bCs/>
        </w:rPr>
        <w:t>‌</w:t>
      </w:r>
      <w:r>
        <w:rPr>
          <w:b/>
          <w:bCs/>
        </w:rPr>
        <w:t>Chi-squared test (Q statistic)</w:t>
      </w:r>
      <w:r>
        <w:rPr>
          <w:rFonts w:ascii="Times New Roman" w:hAnsi="Times New Roman" w:cs="Times New Roman"/>
          <w:b/>
          <w:bCs/>
        </w:rPr>
        <w:t>‌</w:t>
      </w:r>
      <w:r>
        <w:rPr>
          <w:b/>
          <w:bCs/>
        </w:rPr>
        <w:t>. I</w:t>
      </w:r>
      <w:r>
        <w:rPr>
          <w:rFonts w:hint="eastAsia" w:ascii="等线" w:hAnsi="等线" w:eastAsia="等线" w:cs="等线"/>
          <w:b/>
          <w:bCs/>
        </w:rPr>
        <w:t>²</w:t>
      </w:r>
      <w:r>
        <w:rPr>
          <w:b/>
          <w:bCs/>
        </w:rPr>
        <w:t xml:space="preserve"> values of ~25%, ~50%, and ~75% will be considered indicative of low, moderate, and high heterogeneity, respectively. Sources of</w:t>
      </w:r>
      <w:r>
        <w:rPr>
          <w:rFonts w:hint="eastAsia"/>
          <w:b/>
          <w:bCs/>
        </w:rPr>
        <w:t xml:space="preserve"> heterogeneity will be explored.</w:t>
      </w:r>
    </w:p>
    <w:p w14:paraId="39D72282">
      <w:pPr>
        <w:numPr>
          <w:ilvl w:val="0"/>
          <w:numId w:val="3"/>
        </w:numPr>
        <w:ind w:left="0" w:leftChars="0" w:firstLine="0" w:firstLineChars="0"/>
        <w:jc w:val="both"/>
        <w:rPr>
          <w:b/>
          <w:bCs/>
        </w:rPr>
      </w:pPr>
      <w:r>
        <w:rPr>
          <w:b/>
          <w:bCs/>
        </w:rPr>
        <w:t>Subgroup Analysis:</w:t>
      </w:r>
      <w:r>
        <w:rPr>
          <w:rFonts w:ascii="Times New Roman" w:hAnsi="Times New Roman" w:cs="Times New Roman"/>
          <w:b/>
          <w:bCs/>
        </w:rPr>
        <w:t>‌</w:t>
      </w:r>
      <w:r>
        <w:rPr>
          <w:b/>
          <w:bCs/>
        </w:rPr>
        <w:t xml:space="preserve"> Pre-planned subgroup analyses will be performed to investigate potential sources of heterogeneity and answer the secondary review questions:</w:t>
      </w:r>
    </w:p>
    <w:p w14:paraId="0D539E83">
      <w:pPr>
        <w:numPr>
          <w:ilvl w:val="0"/>
          <w:numId w:val="7"/>
        </w:numPr>
        <w:ind w:left="420" w:leftChars="0" w:hanging="420" w:firstLineChars="0"/>
        <w:jc w:val="both"/>
        <w:rPr>
          <w:b/>
          <w:bCs/>
        </w:rPr>
      </w:pPr>
      <w:r>
        <w:rPr>
          <w:b/>
          <w:bCs/>
        </w:rPr>
        <w:t>By Baseline Eosinophil Count:</w:t>
      </w:r>
      <w:r>
        <w:rPr>
          <w:rFonts w:ascii="Times New Roman" w:hAnsi="Times New Roman" w:cs="Times New Roman"/>
          <w:b/>
          <w:bCs/>
        </w:rPr>
        <w:t>‌</w:t>
      </w:r>
      <w:r>
        <w:rPr>
          <w:b/>
          <w:bCs/>
        </w:rPr>
        <w:t xml:space="preserve"> &lt;300 cells/</w:t>
      </w:r>
      <w:r>
        <w:rPr>
          <w:rFonts w:hint="eastAsia" w:ascii="等线" w:hAnsi="等线" w:eastAsia="等线" w:cs="等线"/>
          <w:b/>
          <w:bCs/>
        </w:rPr>
        <w:t>μ</w:t>
      </w:r>
      <w:r>
        <w:rPr>
          <w:b/>
          <w:bCs/>
        </w:rPr>
        <w:t xml:space="preserve">L vs. </w:t>
      </w:r>
      <w:r>
        <w:rPr>
          <w:rFonts w:hint="eastAsia" w:ascii="等线" w:hAnsi="等线" w:eastAsia="等线" w:cs="等线"/>
          <w:b/>
          <w:bCs/>
        </w:rPr>
        <w:t>≥</w:t>
      </w:r>
      <w:r>
        <w:rPr>
          <w:b/>
          <w:bCs/>
        </w:rPr>
        <w:t>300 cells/</w:t>
      </w:r>
      <w:r>
        <w:rPr>
          <w:rFonts w:hint="eastAsia" w:ascii="等线" w:hAnsi="等线" w:eastAsia="等线" w:cs="等线"/>
          <w:b/>
          <w:bCs/>
        </w:rPr>
        <w:t>μ</w:t>
      </w:r>
      <w:r>
        <w:rPr>
          <w:b/>
          <w:bCs/>
        </w:rPr>
        <w:t>L.</w:t>
      </w:r>
    </w:p>
    <w:p w14:paraId="5BF4AD6D">
      <w:pPr>
        <w:numPr>
          <w:ilvl w:val="0"/>
          <w:numId w:val="7"/>
        </w:numPr>
        <w:ind w:left="420" w:leftChars="0" w:hanging="420" w:firstLineChars="0"/>
        <w:jc w:val="both"/>
        <w:rPr>
          <w:b/>
          <w:bCs/>
        </w:rPr>
      </w:pPr>
      <w:r>
        <w:rPr>
          <w:b/>
          <w:bCs/>
        </w:rPr>
        <w:t>By Dosing Regimen:</w:t>
      </w:r>
      <w:r>
        <w:rPr>
          <w:rFonts w:ascii="Times New Roman" w:hAnsi="Times New Roman" w:cs="Times New Roman"/>
          <w:b/>
          <w:bCs/>
        </w:rPr>
        <w:t>‌</w:t>
      </w:r>
      <w:r>
        <w:rPr>
          <w:b/>
          <w:bCs/>
        </w:rPr>
        <w:t xml:space="preserve"> 30 mg Q4W vs. 30 mg Q8W.</w:t>
      </w:r>
    </w:p>
    <w:p w14:paraId="54AE2462">
      <w:pPr>
        <w:numPr>
          <w:ilvl w:val="0"/>
          <w:numId w:val="3"/>
        </w:numPr>
        <w:ind w:left="0" w:leftChars="0" w:firstLine="0" w:firstLineChars="0"/>
        <w:jc w:val="both"/>
        <w:rPr>
          <w:b/>
          <w:bCs/>
        </w:rPr>
      </w:pPr>
      <w:r>
        <w:rPr>
          <w:b/>
          <w:bCs/>
        </w:rPr>
        <w:t>Sensitivity Analysis:</w:t>
      </w:r>
      <w:r>
        <w:rPr>
          <w:rFonts w:ascii="Times New Roman" w:hAnsi="Times New Roman" w:cs="Times New Roman"/>
          <w:b/>
          <w:bCs/>
        </w:rPr>
        <w:t>‌</w:t>
      </w:r>
      <w:r>
        <w:rPr>
          <w:b/>
          <w:bCs/>
        </w:rPr>
        <w:t xml:space="preserve"> To assess the robustness of the findings, sensitivity analyses will be conducted by:</w:t>
      </w:r>
    </w:p>
    <w:p w14:paraId="37B6B21F">
      <w:pPr>
        <w:numPr>
          <w:ilvl w:val="0"/>
          <w:numId w:val="8"/>
        </w:numPr>
        <w:ind w:left="420" w:leftChars="0" w:hanging="420" w:firstLineChars="0"/>
        <w:jc w:val="both"/>
        <w:rPr>
          <w:rFonts w:hint="eastAsia"/>
          <w:b/>
          <w:bCs/>
        </w:rPr>
      </w:pPr>
      <w:r>
        <w:rPr>
          <w:rFonts w:hint="eastAsia"/>
          <w:b/>
          <w:bCs/>
        </w:rPr>
        <w:t>Sequentially excluding individual studies to evaluate their influence on the pooled effect size.</w:t>
      </w:r>
    </w:p>
    <w:p w14:paraId="76DC2607">
      <w:pPr>
        <w:numPr>
          <w:ilvl w:val="0"/>
          <w:numId w:val="8"/>
        </w:numPr>
        <w:ind w:left="420" w:leftChars="0" w:hanging="420" w:firstLineChars="0"/>
        <w:jc w:val="both"/>
        <w:rPr>
          <w:rFonts w:hint="eastAsia"/>
          <w:b/>
          <w:bCs/>
        </w:rPr>
      </w:pPr>
      <w:r>
        <w:rPr>
          <w:rFonts w:hint="eastAsia"/>
          <w:b/>
          <w:bCs/>
        </w:rPr>
        <w:t>Using alternative statistical models (e.g., fixed-effect if primary is random-effects).</w:t>
      </w:r>
    </w:p>
    <w:p w14:paraId="76ABC16B">
      <w:pPr>
        <w:numPr>
          <w:ilvl w:val="0"/>
          <w:numId w:val="8"/>
        </w:numPr>
        <w:ind w:left="420" w:leftChars="0" w:hanging="420" w:firstLineChars="0"/>
        <w:jc w:val="both"/>
        <w:rPr>
          <w:rFonts w:hint="eastAsia"/>
          <w:b/>
          <w:bCs/>
        </w:rPr>
      </w:pPr>
      <w:r>
        <w:rPr>
          <w:rFonts w:hint="eastAsia"/>
          <w:b/>
          <w:bCs/>
        </w:rPr>
        <w:t>Excluding studies assessed as having a high risk of bias in key domains.</w:t>
      </w:r>
    </w:p>
    <w:p w14:paraId="5F7B80EC">
      <w:pPr>
        <w:numPr>
          <w:ilvl w:val="0"/>
          <w:numId w:val="3"/>
        </w:numPr>
        <w:ind w:left="0" w:leftChars="0" w:firstLine="0" w:firstLineChars="0"/>
        <w:jc w:val="both"/>
        <w:rPr>
          <w:b/>
          <w:bCs/>
        </w:rPr>
      </w:pPr>
      <w:r>
        <w:rPr>
          <w:b/>
          <w:bCs/>
        </w:rPr>
        <w:t>Publication Bias:</w:t>
      </w:r>
      <w:r>
        <w:rPr>
          <w:rFonts w:ascii="Times New Roman" w:hAnsi="Times New Roman" w:cs="Times New Roman"/>
          <w:b/>
          <w:bCs/>
        </w:rPr>
        <w:t>‌</w:t>
      </w:r>
      <w:r>
        <w:rPr>
          <w:b/>
          <w:bCs/>
        </w:rPr>
        <w:t xml:space="preserve"> For outcomes with at least ten studies, potential publication bias will be assessed by </w:t>
      </w:r>
      <w:r>
        <w:rPr>
          <w:rFonts w:ascii="Times New Roman" w:hAnsi="Times New Roman" w:cs="Times New Roman"/>
          <w:b/>
          <w:bCs/>
        </w:rPr>
        <w:t>‌</w:t>
      </w:r>
      <w:r>
        <w:rPr>
          <w:b/>
          <w:bCs/>
        </w:rPr>
        <w:t>visual inspection of funnel plots</w:t>
      </w:r>
      <w:r>
        <w:rPr>
          <w:rFonts w:ascii="Times New Roman" w:hAnsi="Times New Roman" w:cs="Times New Roman"/>
          <w:b/>
          <w:bCs/>
        </w:rPr>
        <w:t>‌</w:t>
      </w:r>
      <w:r>
        <w:rPr>
          <w:b/>
          <w:bCs/>
        </w:rPr>
        <w:t xml:space="preserve"> for asymmetry and supplemented by formal statistical tests (</w:t>
      </w:r>
      <w:r>
        <w:rPr>
          <w:rFonts w:ascii="Times New Roman" w:hAnsi="Times New Roman" w:cs="Times New Roman"/>
          <w:b/>
          <w:bCs/>
        </w:rPr>
        <w:t>‌</w:t>
      </w:r>
      <w:r>
        <w:rPr>
          <w:b/>
          <w:bCs/>
        </w:rPr>
        <w:t>Egger's test and Begg's test</w:t>
      </w:r>
      <w:r>
        <w:rPr>
          <w:rFonts w:ascii="Times New Roman" w:hAnsi="Times New Roman" w:cs="Times New Roman"/>
          <w:b/>
          <w:bCs/>
        </w:rPr>
        <w:t>‌</w:t>
      </w:r>
      <w:r>
        <w:rPr>
          <w:b/>
          <w:bCs/>
        </w:rPr>
        <w:t>).</w:t>
      </w:r>
    </w:p>
    <w:p w14:paraId="39CE60BE">
      <w:pPr>
        <w:jc w:val="both"/>
        <w:rPr>
          <w:b/>
          <w:bCs/>
        </w:rPr>
      </w:pPr>
      <w:r>
        <w:rPr>
          <w:b/>
          <w:bCs/>
        </w:rPr>
        <w:t>Analysis of subgroups or subsets</w:t>
      </w:r>
      <w:r>
        <w:rPr>
          <w:rFonts w:ascii="Times New Roman" w:hAnsi="Times New Roman" w:cs="Times New Roman"/>
          <w:b/>
          <w:bCs/>
        </w:rPr>
        <w:t>‌</w:t>
      </w:r>
    </w:p>
    <w:p w14:paraId="3D621E8F">
      <w:pPr>
        <w:jc w:val="both"/>
        <w:rPr>
          <w:rFonts w:hint="eastAsia"/>
          <w:b/>
          <w:bCs/>
        </w:rPr>
      </w:pPr>
      <w:r>
        <w:rPr>
          <w:rFonts w:hint="eastAsia"/>
          <w:b/>
          <w:bCs/>
        </w:rPr>
        <w:t>As described in the "Strategy for data synthesis," formal subgroup analyses based on baseline eosinophil count and dosing regimen are integral to the review's objectives. The test for subgroup differences will be performed to determine if the effect of benralizumab differs significantly between subgroups.</w:t>
      </w:r>
    </w:p>
    <w:p w14:paraId="783B1D00">
      <w:pPr>
        <w:jc w:val="both"/>
        <w:rPr>
          <w:rFonts w:hint="eastAsia"/>
          <w:b/>
          <w:bCs/>
        </w:rPr>
      </w:pPr>
    </w:p>
    <w:p w14:paraId="0ED48D07">
      <w:pPr>
        <w:jc w:val="both"/>
        <w:rPr>
          <w:b/>
          <w:bCs/>
        </w:rPr>
      </w:pPr>
      <w:r>
        <w:rPr>
          <w:b/>
          <w:bCs/>
        </w:rPr>
        <w:t>Dissemination plans</w:t>
      </w:r>
      <w:r>
        <w:rPr>
          <w:rFonts w:ascii="Times New Roman" w:hAnsi="Times New Roman" w:cs="Times New Roman"/>
          <w:b/>
          <w:bCs/>
        </w:rPr>
        <w:t>‌</w:t>
      </w:r>
    </w:p>
    <w:p w14:paraId="0B32FB1F">
      <w:pPr>
        <w:jc w:val="both"/>
        <w:rPr>
          <w:b/>
          <w:bCs/>
        </w:rPr>
      </w:pPr>
      <w:r>
        <w:rPr>
          <w:b/>
          <w:bCs/>
        </w:rPr>
        <w:t xml:space="preserve">The results of this systematic review and meta-analysis will be prepared for submission to a </w:t>
      </w:r>
      <w:r>
        <w:rPr>
          <w:rFonts w:ascii="Times New Roman" w:hAnsi="Times New Roman" w:cs="Times New Roman"/>
          <w:b/>
          <w:bCs/>
        </w:rPr>
        <w:t>‌</w:t>
      </w:r>
      <w:r>
        <w:rPr>
          <w:b/>
          <w:bCs/>
        </w:rPr>
        <w:t>peer-reviewed respiratory or clinical pharmacology journal</w:t>
      </w:r>
      <w:r>
        <w:rPr>
          <w:rFonts w:ascii="Times New Roman" w:hAnsi="Times New Roman" w:cs="Times New Roman"/>
          <w:b/>
          <w:bCs/>
        </w:rPr>
        <w:t>‌</w:t>
      </w:r>
      <w:r>
        <w:rPr>
          <w:b/>
          <w:bCs/>
        </w:rPr>
        <w:t xml:space="preserve">. Reporting will follow the </w:t>
      </w:r>
      <w:r>
        <w:rPr>
          <w:rFonts w:ascii="Times New Roman" w:hAnsi="Times New Roman" w:cs="Times New Roman"/>
          <w:b/>
          <w:bCs/>
        </w:rPr>
        <w:t>‌</w:t>
      </w:r>
      <w:r>
        <w:rPr>
          <w:b/>
          <w:bCs/>
        </w:rPr>
        <w:t>Preferred Reporting Items for Systematic Reviews and Meta-Analyses (PRISMA)</w:t>
      </w:r>
      <w:r>
        <w:rPr>
          <w:rFonts w:ascii="Times New Roman" w:hAnsi="Times New Roman" w:cs="Times New Roman"/>
          <w:b/>
          <w:bCs/>
        </w:rPr>
        <w:t>‌</w:t>
      </w:r>
      <w:r>
        <w:rPr>
          <w:b/>
          <w:bCs/>
        </w:rPr>
        <w:t xml:space="preserve"> guidelines. The review protocol is intended for registration on PROSPERO to ensure transparency and reduce duplication of effort.</w:t>
      </w:r>
    </w:p>
    <w:p w14:paraId="3DD882DE">
      <w:pPr>
        <w:jc w:val="both"/>
        <w:rPr>
          <w:rFonts w:hint="eastAsia"/>
          <w:b/>
          <w:bCs/>
        </w:rPr>
      </w:pPr>
    </w:p>
    <w:p w14:paraId="362157BD">
      <w:pPr>
        <w:jc w:val="both"/>
        <w:rPr>
          <w:b/>
          <w:bCs/>
        </w:rPr>
      </w:pPr>
      <w:r>
        <w:rPr>
          <w:b/>
          <w:bCs/>
        </w:rPr>
        <w:t>Keywords</w:t>
      </w:r>
      <w:r>
        <w:rPr>
          <w:rFonts w:ascii="Times New Roman" w:hAnsi="Times New Roman" w:cs="Times New Roman"/>
          <w:b/>
          <w:bCs/>
        </w:rPr>
        <w:t>‌</w:t>
      </w:r>
    </w:p>
    <w:p w14:paraId="382FC660">
      <w:pPr>
        <w:jc w:val="both"/>
        <w:rPr>
          <w:rFonts w:hint="eastAsia"/>
          <w:b/>
          <w:bCs/>
        </w:rPr>
      </w:pPr>
      <w:r>
        <w:rPr>
          <w:rFonts w:hint="eastAsia"/>
          <w:b/>
          <w:bCs/>
        </w:rPr>
        <w:t>Benralizumab; Severe eosinophilic asthma; Exacerbations; Forced expiratory volume in 1 second (FEV1); Health-related quality of life; Adverse events; Meta-analysis.</w:t>
      </w:r>
    </w:p>
    <w:p w14:paraId="1BDA2D1D">
      <w:pPr>
        <w:jc w:val="both"/>
        <w:rPr>
          <w:rFonts w:hint="eastAsia"/>
          <w:b/>
          <w:bCs/>
        </w:rPr>
      </w:pPr>
    </w:p>
    <w:p w14:paraId="1C017C04">
      <w:pPr>
        <w:jc w:val="both"/>
        <w:rPr>
          <w:b/>
          <w:bCs/>
        </w:rPr>
      </w:pPr>
      <w:r>
        <w:rPr>
          <w:b/>
          <w:bCs/>
        </w:rPr>
        <w:t>PROSPERO registration link</w:t>
      </w:r>
      <w:r>
        <w:rPr>
          <w:rFonts w:ascii="Times New Roman" w:hAnsi="Times New Roman" w:cs="Times New Roman"/>
          <w:b/>
          <w:bCs/>
        </w:rPr>
        <w:t>‌</w:t>
      </w:r>
    </w:p>
    <w:p w14:paraId="7FFF6E0E">
      <w:pPr>
        <w:jc w:val="both"/>
        <w:rPr>
          <w:rFonts w:hint="eastAsia"/>
          <w:b/>
          <w:bCs/>
        </w:rPr>
      </w:pPr>
      <w:r>
        <w:rPr>
          <w:rFonts w:hint="eastAsia"/>
          <w:b/>
          <w:bCs/>
        </w:rPr>
        <w:t>This document constitutes the draft protocol intended for submission to PROSPERO. The prospective registration link will be provided upon successful submission to the PROSPERO registry.</w:t>
      </w:r>
    </w:p>
    <w:p w14:paraId="052E0FAB">
      <w:pPr>
        <w:jc w:val="both"/>
        <w:rPr>
          <w:rFonts w:hint="eastAsia"/>
          <w:b/>
          <w:bCs/>
        </w:rPr>
      </w:pPr>
    </w:p>
    <w:p w14:paraId="531BBAE8">
      <w:pPr>
        <w:jc w:val="both"/>
        <w:rPr>
          <w:b/>
          <w:bCs/>
        </w:rPr>
      </w:pPr>
      <w:r>
        <w:rPr>
          <w:b/>
          <w:bCs/>
        </w:rPr>
        <w:t>Details of any existing review of the same topic by the same authors</w:t>
      </w:r>
      <w:r>
        <w:rPr>
          <w:rFonts w:ascii="Times New Roman" w:hAnsi="Times New Roman" w:cs="Times New Roman"/>
          <w:b/>
          <w:bCs/>
        </w:rPr>
        <w:t>‌</w:t>
      </w:r>
    </w:p>
    <w:p w14:paraId="0E80E910">
      <w:pPr>
        <w:jc w:val="both"/>
        <w:rPr>
          <w:rFonts w:hint="eastAsia"/>
          <w:b/>
          <w:bCs/>
        </w:rPr>
      </w:pPr>
      <w:r>
        <w:rPr>
          <w:rFonts w:hint="eastAsia"/>
          <w:b/>
          <w:bCs/>
        </w:rPr>
        <w:t>To the best of the review team's knowledge, there is no existing, identical, or substantially overlapping systematic review registered or published by the same authors on this specific topic with the outlined subgroup analyses.</w:t>
      </w:r>
    </w:p>
    <w:p w14:paraId="5DA3B690">
      <w:pPr>
        <w:jc w:val="both"/>
        <w:rPr>
          <w:rFonts w:hint="eastAsia"/>
          <w:b/>
          <w:bCs/>
        </w:rPr>
      </w:pPr>
    </w:p>
    <w:p w14:paraId="1485C30C">
      <w:pPr>
        <w:jc w:val="both"/>
        <w:rPr>
          <w:rFonts w:hint="eastAsia"/>
          <w:b/>
          <w:bCs/>
        </w:rPr>
      </w:pPr>
      <w:r>
        <w:rPr>
          <w:b/>
          <w:bCs/>
        </w:rPr>
        <w:t>Current review status</w:t>
      </w:r>
      <w:r>
        <w:rPr>
          <w:rFonts w:ascii="Times New Roman" w:hAnsi="Times New Roman" w:cs="Times New Roman"/>
          <w:b/>
          <w:bCs/>
        </w:rPr>
        <w:t>‌</w:t>
      </w:r>
    </w:p>
    <w:p w14:paraId="6A98673F">
      <w:pPr>
        <w:numPr>
          <w:ilvl w:val="0"/>
          <w:numId w:val="9"/>
        </w:numPr>
        <w:ind w:left="420" w:leftChars="0" w:hanging="420" w:firstLineChars="0"/>
        <w:jc w:val="both"/>
        <w:rPr>
          <w:b/>
          <w:bCs/>
        </w:rPr>
      </w:pPr>
      <w:r>
        <w:rPr>
          <w:b/>
          <w:bCs/>
        </w:rPr>
        <w:t>Preliminary searches:</w:t>
      </w:r>
      <w:r>
        <w:rPr>
          <w:rFonts w:ascii="Times New Roman" w:hAnsi="Times New Roman" w:cs="Times New Roman"/>
          <w:b/>
          <w:bCs/>
        </w:rPr>
        <w:t>‌</w:t>
      </w:r>
      <w:r>
        <w:rPr>
          <w:b/>
          <w:bCs/>
        </w:rPr>
        <w:t xml:space="preserve"> Draft search strategies are developed based on the provided documents.</w:t>
      </w:r>
    </w:p>
    <w:p w14:paraId="73BDBC18">
      <w:pPr>
        <w:numPr>
          <w:ilvl w:val="0"/>
          <w:numId w:val="9"/>
        </w:numPr>
        <w:ind w:left="420" w:leftChars="0" w:hanging="420" w:firstLineChars="0"/>
        <w:jc w:val="both"/>
        <w:rPr>
          <w:b/>
          <w:bCs/>
        </w:rPr>
      </w:pPr>
      <w:r>
        <w:rPr>
          <w:b/>
          <w:bCs/>
        </w:rPr>
        <w:t>Piloting of the study selection process:</w:t>
      </w:r>
      <w:r>
        <w:rPr>
          <w:rFonts w:ascii="Times New Roman" w:hAnsi="Times New Roman" w:cs="Times New Roman"/>
          <w:b/>
          <w:bCs/>
        </w:rPr>
        <w:t>‌</w:t>
      </w:r>
      <w:r>
        <w:rPr>
          <w:b/>
          <w:bCs/>
        </w:rPr>
        <w:t xml:space="preserve"> Not yet commenced.</w:t>
      </w:r>
    </w:p>
    <w:p w14:paraId="50E5C740">
      <w:pPr>
        <w:numPr>
          <w:ilvl w:val="0"/>
          <w:numId w:val="9"/>
        </w:numPr>
        <w:ind w:left="420" w:leftChars="0" w:hanging="420" w:firstLineChars="0"/>
        <w:jc w:val="both"/>
        <w:rPr>
          <w:b/>
          <w:bCs/>
        </w:rPr>
      </w:pPr>
      <w:r>
        <w:rPr>
          <w:b/>
          <w:bCs/>
        </w:rPr>
        <w:t>Formal screening of search results against eligibility criteria:</w:t>
      </w:r>
      <w:r>
        <w:rPr>
          <w:rFonts w:ascii="Times New Roman" w:hAnsi="Times New Roman" w:cs="Times New Roman"/>
          <w:b/>
          <w:bCs/>
        </w:rPr>
        <w:t>‌</w:t>
      </w:r>
      <w:r>
        <w:rPr>
          <w:b/>
          <w:bCs/>
        </w:rPr>
        <w:t xml:space="preserve"> Not yet commenced.</w:t>
      </w:r>
    </w:p>
    <w:p w14:paraId="1A19B6B2">
      <w:pPr>
        <w:numPr>
          <w:ilvl w:val="0"/>
          <w:numId w:val="9"/>
        </w:numPr>
        <w:ind w:left="420" w:leftChars="0" w:hanging="420" w:firstLineChars="0"/>
        <w:jc w:val="both"/>
        <w:rPr>
          <w:b/>
          <w:bCs/>
        </w:rPr>
      </w:pPr>
      <w:r>
        <w:rPr>
          <w:b/>
          <w:bCs/>
        </w:rPr>
        <w:t>Data extraction:</w:t>
      </w:r>
      <w:r>
        <w:rPr>
          <w:rFonts w:ascii="Times New Roman" w:hAnsi="Times New Roman" w:cs="Times New Roman"/>
          <w:b/>
          <w:bCs/>
        </w:rPr>
        <w:t>‌</w:t>
      </w:r>
      <w:r>
        <w:rPr>
          <w:b/>
          <w:bCs/>
        </w:rPr>
        <w:t xml:space="preserve"> Not yet commenced.</w:t>
      </w:r>
    </w:p>
    <w:p w14:paraId="67829956">
      <w:pPr>
        <w:numPr>
          <w:ilvl w:val="0"/>
          <w:numId w:val="9"/>
        </w:numPr>
        <w:ind w:left="420" w:leftChars="0" w:hanging="420" w:firstLineChars="0"/>
        <w:jc w:val="both"/>
        <w:rPr>
          <w:b/>
          <w:bCs/>
        </w:rPr>
      </w:pPr>
      <w:r>
        <w:rPr>
          <w:b/>
          <w:bCs/>
        </w:rPr>
        <w:t>Risk of bias assessment:</w:t>
      </w:r>
      <w:r>
        <w:rPr>
          <w:rFonts w:ascii="Times New Roman" w:hAnsi="Times New Roman" w:cs="Times New Roman"/>
          <w:b/>
          <w:bCs/>
        </w:rPr>
        <w:t>‌</w:t>
      </w:r>
      <w:r>
        <w:rPr>
          <w:b/>
          <w:bCs/>
        </w:rPr>
        <w:t xml:space="preserve"> Not yet commenced.</w:t>
      </w:r>
    </w:p>
    <w:p w14:paraId="6BA2F040">
      <w:pPr>
        <w:numPr>
          <w:ilvl w:val="0"/>
          <w:numId w:val="9"/>
        </w:numPr>
        <w:ind w:left="420" w:leftChars="0" w:hanging="420" w:firstLineChars="0"/>
        <w:jc w:val="both"/>
        <w:rPr>
          <w:rFonts w:hint="eastAsia"/>
          <w:b/>
          <w:bCs/>
        </w:rPr>
      </w:pPr>
      <w:r>
        <w:rPr>
          <w:b/>
          <w:bCs/>
        </w:rPr>
        <w:t>Data synthesis:</w:t>
      </w:r>
      <w:r>
        <w:rPr>
          <w:rFonts w:ascii="Times New Roman" w:hAnsi="Times New Roman" w:cs="Times New Roman"/>
          <w:b/>
          <w:bCs/>
        </w:rPr>
        <w:t>‌</w:t>
      </w:r>
      <w:r>
        <w:rPr>
          <w:b/>
          <w:bCs/>
        </w:rPr>
        <w:t xml:space="preserve"> Not yet commenced.</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7498"/>
    <w:multiLevelType w:val="singleLevel"/>
    <w:tmpl w:val="84807498"/>
    <w:lvl w:ilvl="0" w:tentative="0">
      <w:start w:val="1"/>
      <w:numFmt w:val="decimal"/>
      <w:suff w:val="space"/>
      <w:lvlText w:val="%1."/>
      <w:lvlJc w:val="left"/>
    </w:lvl>
  </w:abstractNum>
  <w:abstractNum w:abstractNumId="1">
    <w:nsid w:val="8EA62F61"/>
    <w:multiLevelType w:val="singleLevel"/>
    <w:tmpl w:val="8EA62F61"/>
    <w:lvl w:ilvl="0" w:tentative="0">
      <w:start w:val="1"/>
      <w:numFmt w:val="bullet"/>
      <w:lvlText w:val=""/>
      <w:lvlJc w:val="left"/>
      <w:pPr>
        <w:ind w:left="420" w:hanging="420"/>
      </w:pPr>
      <w:rPr>
        <w:rFonts w:hint="default" w:ascii="Wingdings" w:hAnsi="Wingdings"/>
      </w:rPr>
    </w:lvl>
  </w:abstractNum>
  <w:abstractNum w:abstractNumId="2">
    <w:nsid w:val="D9CEF063"/>
    <w:multiLevelType w:val="singleLevel"/>
    <w:tmpl w:val="D9CEF063"/>
    <w:lvl w:ilvl="0" w:tentative="0">
      <w:start w:val="1"/>
      <w:numFmt w:val="bullet"/>
      <w:lvlText w:val=""/>
      <w:lvlJc w:val="left"/>
      <w:pPr>
        <w:ind w:left="420" w:hanging="420"/>
      </w:pPr>
      <w:rPr>
        <w:rFonts w:hint="default" w:ascii="Wingdings" w:hAnsi="Wingdings"/>
      </w:rPr>
    </w:lvl>
  </w:abstractNum>
  <w:abstractNum w:abstractNumId="3">
    <w:nsid w:val="EF1881C0"/>
    <w:multiLevelType w:val="singleLevel"/>
    <w:tmpl w:val="EF1881C0"/>
    <w:lvl w:ilvl="0" w:tentative="0">
      <w:start w:val="1"/>
      <w:numFmt w:val="bullet"/>
      <w:lvlText w:val=""/>
      <w:lvlJc w:val="left"/>
      <w:pPr>
        <w:ind w:left="420" w:hanging="420"/>
      </w:pPr>
      <w:rPr>
        <w:rFonts w:hint="default" w:ascii="Wingdings" w:hAnsi="Wingdings"/>
      </w:rPr>
    </w:lvl>
  </w:abstractNum>
  <w:abstractNum w:abstractNumId="4">
    <w:nsid w:val="15FE00FA"/>
    <w:multiLevelType w:val="singleLevel"/>
    <w:tmpl w:val="15FE00FA"/>
    <w:lvl w:ilvl="0" w:tentative="0">
      <w:start w:val="1"/>
      <w:numFmt w:val="bullet"/>
      <w:lvlText w:val=""/>
      <w:lvlJc w:val="left"/>
      <w:pPr>
        <w:ind w:left="420" w:hanging="420"/>
      </w:pPr>
      <w:rPr>
        <w:rFonts w:hint="default" w:ascii="Wingdings" w:hAnsi="Wingdings"/>
      </w:rPr>
    </w:lvl>
  </w:abstractNum>
  <w:abstractNum w:abstractNumId="5">
    <w:nsid w:val="1C4A053A"/>
    <w:multiLevelType w:val="singleLevel"/>
    <w:tmpl w:val="1C4A053A"/>
    <w:lvl w:ilvl="0" w:tentative="0">
      <w:start w:val="1"/>
      <w:numFmt w:val="bullet"/>
      <w:lvlText w:val=""/>
      <w:lvlJc w:val="left"/>
      <w:pPr>
        <w:ind w:left="420" w:hanging="420"/>
      </w:pPr>
      <w:rPr>
        <w:rFonts w:hint="default" w:ascii="Wingdings" w:hAnsi="Wingdings"/>
      </w:rPr>
    </w:lvl>
  </w:abstractNum>
  <w:abstractNum w:abstractNumId="6">
    <w:nsid w:val="3470595F"/>
    <w:multiLevelType w:val="singleLevel"/>
    <w:tmpl w:val="3470595F"/>
    <w:lvl w:ilvl="0" w:tentative="0">
      <w:start w:val="1"/>
      <w:numFmt w:val="bullet"/>
      <w:lvlText w:val=""/>
      <w:lvlJc w:val="left"/>
      <w:pPr>
        <w:ind w:left="420" w:hanging="420"/>
      </w:pPr>
      <w:rPr>
        <w:rFonts w:hint="default" w:ascii="Wingdings" w:hAnsi="Wingdings"/>
      </w:rPr>
    </w:lvl>
  </w:abstractNum>
  <w:abstractNum w:abstractNumId="7">
    <w:nsid w:val="34ED1362"/>
    <w:multiLevelType w:val="singleLevel"/>
    <w:tmpl w:val="34ED1362"/>
    <w:lvl w:ilvl="0" w:tentative="0">
      <w:start w:val="1"/>
      <w:numFmt w:val="bullet"/>
      <w:lvlText w:val=""/>
      <w:lvlJc w:val="left"/>
      <w:pPr>
        <w:ind w:left="420" w:hanging="420"/>
      </w:pPr>
      <w:rPr>
        <w:rFonts w:hint="default" w:ascii="Wingdings" w:hAnsi="Wingdings"/>
      </w:rPr>
    </w:lvl>
  </w:abstractNum>
  <w:abstractNum w:abstractNumId="8">
    <w:nsid w:val="59FF296D"/>
    <w:multiLevelType w:val="singleLevel"/>
    <w:tmpl w:val="59FF296D"/>
    <w:lvl w:ilvl="0" w:tentative="0">
      <w:start w:val="1"/>
      <w:numFmt w:val="decimal"/>
      <w:suff w:val="space"/>
      <w:lvlText w:val="%1."/>
      <w:lvlJc w:val="left"/>
    </w:lvl>
  </w:abstractNum>
  <w:num w:numId="1">
    <w:abstractNumId w:val="2"/>
  </w:num>
  <w:num w:numId="2">
    <w:abstractNumId w:val="7"/>
  </w:num>
  <w:num w:numId="3">
    <w:abstractNumId w:val="8"/>
  </w:num>
  <w:num w:numId="4">
    <w:abstractNumId w:val="3"/>
  </w:num>
  <w:num w:numId="5">
    <w:abstractNumId w:val="4"/>
  </w:num>
  <w:num w:numId="6">
    <w:abstractNumId w:val="0"/>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CA4"/>
    <w:rsid w:val="001C7ED3"/>
    <w:rsid w:val="004F6CA4"/>
    <w:rsid w:val="00577751"/>
    <w:rsid w:val="006B6D1F"/>
    <w:rsid w:val="00C716F2"/>
    <w:rsid w:val="03DC4142"/>
    <w:rsid w:val="0AAA48E8"/>
    <w:rsid w:val="0D407F3C"/>
    <w:rsid w:val="0F890F70"/>
    <w:rsid w:val="1202500A"/>
    <w:rsid w:val="18550589"/>
    <w:rsid w:val="1AB53E62"/>
    <w:rsid w:val="1F422EEA"/>
    <w:rsid w:val="204607B7"/>
    <w:rsid w:val="27C44DE4"/>
    <w:rsid w:val="292118C9"/>
    <w:rsid w:val="347E036E"/>
    <w:rsid w:val="466A4950"/>
    <w:rsid w:val="48E75E5B"/>
    <w:rsid w:val="4D6C687E"/>
    <w:rsid w:val="4FA7451F"/>
    <w:rsid w:val="59B12B6A"/>
    <w:rsid w:val="5AE40D1D"/>
    <w:rsid w:val="65BD63F3"/>
    <w:rsid w:val="67696832"/>
    <w:rsid w:val="6CAE4CE7"/>
    <w:rsid w:val="6DFA6436"/>
    <w:rsid w:val="7BD858DD"/>
    <w:rsid w:val="7D4A45B8"/>
    <w:rsid w:val="7EB5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qFormat/>
    <w:uiPriority w:val="9"/>
    <w:rPr>
      <w:rFonts w:cstheme="majorBidi"/>
      <w:color w:val="2F5597" w:themeColor="accent1" w:themeShade="BF"/>
      <w:sz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509</Words>
  <Characters>3230</Characters>
  <Lines>69</Lines>
  <Paragraphs>19</Paragraphs>
  <TotalTime>54</TotalTime>
  <ScaleCrop>false</ScaleCrop>
  <LinksUpToDate>false</LinksUpToDate>
  <CharactersWithSpaces>3683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2026-01-09T13:29:00Z</dcterms:created>
  <dc:creator>禹兵 李</dc:creator>
  <cp:lastModifiedBy>长江</cp:lastModifiedBy>
  <dcterms:modified xsi:type="dcterms:W3CDTF">2026-01-25T07:38:06Z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eyJoZGlkIjoiYjgyOGQyODI3NTAyMDJjYmRjZmFkZWE1NDI5Y2Q4NDIiLCJ1c2VySWQiOiIyOTU4NzM5NTUifQ==</vt:lpwstr>
  </property>
  <property fmtid="{D5CDD505-2E9C-101B-9397-08002B2CF9AE}" pid="3" name="KSOProductBuildVer">
    <vt:lpwstr>2052-12.1.0.24657</vt:lpwstr>
  </property>
  <property fmtid="{D5CDD505-2E9C-101B-9397-08002B2CF9AE}" pid="4" name="ICV">
    <vt:lpwstr>A3C6A8C3C6E54CCF9040953772A198D7_12</vt:lpwstr>
  </property>
</Properties>
</file>