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990D" w14:textId="77777777" w:rsidR="00C1535F" w:rsidRPr="0098403E" w:rsidRDefault="00C1535F" w:rsidP="00C1535F">
      <w:pPr>
        <w:rPr>
          <w:rFonts w:ascii="Times New Roman" w:eastAsia="宋体" w:hAnsi="Times New Roman" w:cs="Times New Roman"/>
          <w:sz w:val="24"/>
          <w:szCs w:val="24"/>
        </w:rPr>
      </w:pPr>
      <w:r w:rsidRPr="0098403E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98403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98403E">
        <w:rPr>
          <w:rFonts w:ascii="Times New Roman" w:eastAsia="宋体" w:hAnsi="Times New Roman" w:cs="Times New Roman"/>
          <w:sz w:val="24"/>
          <w:szCs w:val="24"/>
        </w:rPr>
        <w:t>Comparison and harmonization of laboratory measurement units between the derivation (MIMIC-IV) and external validation (Kunshan) cohorts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177"/>
        <w:gridCol w:w="976"/>
        <w:gridCol w:w="1596"/>
        <w:gridCol w:w="1887"/>
      </w:tblGrid>
      <w:tr w:rsidR="00C1535F" w:rsidRPr="00E23A12" w14:paraId="2911A133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hideMark/>
          </w:tcPr>
          <w:p w14:paraId="5532750B" w14:textId="77777777" w:rsidR="00C1535F" w:rsidRPr="00E23A12" w:rsidRDefault="00C1535F" w:rsidP="00C61481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hideMark/>
          </w:tcPr>
          <w:p w14:paraId="0BC1015D" w14:textId="77777777" w:rsidR="00C1535F" w:rsidRPr="00E23A12" w:rsidRDefault="00C1535F" w:rsidP="00C61481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MIMIC-IV</w:t>
            </w:r>
          </w:p>
        </w:tc>
        <w:tc>
          <w:tcPr>
            <w:tcW w:w="0" w:type="auto"/>
            <w:hideMark/>
          </w:tcPr>
          <w:p w14:paraId="065E0283" w14:textId="77777777" w:rsidR="00C1535F" w:rsidRPr="00E23A12" w:rsidRDefault="00C1535F" w:rsidP="00C61481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Kunshan cohort</w:t>
            </w:r>
          </w:p>
        </w:tc>
        <w:tc>
          <w:tcPr>
            <w:tcW w:w="0" w:type="auto"/>
            <w:hideMark/>
          </w:tcPr>
          <w:p w14:paraId="5F931821" w14:textId="77777777" w:rsidR="00C1535F" w:rsidRPr="00E23A12" w:rsidRDefault="00C1535F" w:rsidP="00C61481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Conversion</w:t>
            </w:r>
          </w:p>
        </w:tc>
      </w:tr>
      <w:tr w:rsidR="00C1535F" w:rsidRPr="00E23A12" w14:paraId="0A1123AC" w14:textId="77777777" w:rsidTr="00C61481">
        <w:trPr>
          <w:jc w:val="center"/>
        </w:trPr>
        <w:tc>
          <w:tcPr>
            <w:tcW w:w="0" w:type="auto"/>
            <w:hideMark/>
          </w:tcPr>
          <w:p w14:paraId="2461FAF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HbA1c</w:t>
            </w:r>
          </w:p>
        </w:tc>
        <w:tc>
          <w:tcPr>
            <w:tcW w:w="0" w:type="auto"/>
            <w:hideMark/>
          </w:tcPr>
          <w:p w14:paraId="5DE6B77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hideMark/>
          </w:tcPr>
          <w:p w14:paraId="77193E3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%</w:t>
            </w:r>
          </w:p>
        </w:tc>
        <w:tc>
          <w:tcPr>
            <w:tcW w:w="0" w:type="auto"/>
            <w:hideMark/>
          </w:tcPr>
          <w:p w14:paraId="1E75036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Not required</w:t>
            </w:r>
          </w:p>
        </w:tc>
      </w:tr>
      <w:tr w:rsidR="00C1535F" w:rsidRPr="00E23A12" w14:paraId="75DB261A" w14:textId="77777777" w:rsidTr="00C61481">
        <w:trPr>
          <w:jc w:val="center"/>
        </w:trPr>
        <w:tc>
          <w:tcPr>
            <w:tcW w:w="0" w:type="auto"/>
            <w:hideMark/>
          </w:tcPr>
          <w:p w14:paraId="4E92445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WBC</w:t>
            </w:r>
          </w:p>
        </w:tc>
        <w:tc>
          <w:tcPr>
            <w:tcW w:w="0" w:type="auto"/>
            <w:hideMark/>
          </w:tcPr>
          <w:p w14:paraId="5C559D8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10^9/L</w:t>
            </w:r>
          </w:p>
        </w:tc>
        <w:tc>
          <w:tcPr>
            <w:tcW w:w="0" w:type="auto"/>
            <w:hideMark/>
          </w:tcPr>
          <w:p w14:paraId="5B89BDB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10^9/L</w:t>
            </w:r>
          </w:p>
        </w:tc>
        <w:tc>
          <w:tcPr>
            <w:tcW w:w="0" w:type="auto"/>
            <w:hideMark/>
          </w:tcPr>
          <w:p w14:paraId="4E3F84E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Not required</w:t>
            </w:r>
          </w:p>
        </w:tc>
      </w:tr>
      <w:tr w:rsidR="00C1535F" w:rsidRPr="00E23A12" w14:paraId="2A96E605" w14:textId="77777777" w:rsidTr="00C61481">
        <w:trPr>
          <w:jc w:val="center"/>
        </w:trPr>
        <w:tc>
          <w:tcPr>
            <w:tcW w:w="0" w:type="auto"/>
            <w:hideMark/>
          </w:tcPr>
          <w:p w14:paraId="7351A18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BUN</w:t>
            </w:r>
          </w:p>
        </w:tc>
        <w:tc>
          <w:tcPr>
            <w:tcW w:w="0" w:type="auto"/>
            <w:hideMark/>
          </w:tcPr>
          <w:p w14:paraId="1DAE185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mg/dL</w:t>
            </w:r>
          </w:p>
        </w:tc>
        <w:tc>
          <w:tcPr>
            <w:tcW w:w="0" w:type="auto"/>
            <w:hideMark/>
          </w:tcPr>
          <w:p w14:paraId="3AE8EE9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mmol/L</w:t>
            </w:r>
          </w:p>
        </w:tc>
        <w:tc>
          <w:tcPr>
            <w:tcW w:w="0" w:type="auto"/>
            <w:hideMark/>
          </w:tcPr>
          <w:p w14:paraId="1516E68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Converted to mg/dL</w:t>
            </w:r>
          </w:p>
        </w:tc>
      </w:tr>
      <w:tr w:rsidR="00C1535F" w:rsidRPr="00E23A12" w14:paraId="563B4E4B" w14:textId="77777777" w:rsidTr="00C61481">
        <w:trPr>
          <w:jc w:val="center"/>
        </w:trPr>
        <w:tc>
          <w:tcPr>
            <w:tcW w:w="0" w:type="auto"/>
            <w:hideMark/>
          </w:tcPr>
          <w:p w14:paraId="7A0315E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Hemoglobin</w:t>
            </w:r>
          </w:p>
        </w:tc>
        <w:tc>
          <w:tcPr>
            <w:tcW w:w="0" w:type="auto"/>
            <w:hideMark/>
          </w:tcPr>
          <w:p w14:paraId="636BE85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g/L</w:t>
            </w:r>
          </w:p>
        </w:tc>
        <w:tc>
          <w:tcPr>
            <w:tcW w:w="0" w:type="auto"/>
            <w:hideMark/>
          </w:tcPr>
          <w:p w14:paraId="3DBDAFC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g/L</w:t>
            </w:r>
          </w:p>
        </w:tc>
        <w:tc>
          <w:tcPr>
            <w:tcW w:w="0" w:type="auto"/>
            <w:hideMark/>
          </w:tcPr>
          <w:p w14:paraId="310CE1B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Not required</w:t>
            </w:r>
          </w:p>
        </w:tc>
      </w:tr>
      <w:tr w:rsidR="00C1535F" w:rsidRPr="00E23A12" w14:paraId="13FFD1F6" w14:textId="77777777" w:rsidTr="00C61481">
        <w:trPr>
          <w:jc w:val="center"/>
        </w:trPr>
        <w:tc>
          <w:tcPr>
            <w:tcW w:w="0" w:type="auto"/>
            <w:hideMark/>
          </w:tcPr>
          <w:p w14:paraId="3C376AE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LDL-C</w:t>
            </w:r>
          </w:p>
        </w:tc>
        <w:tc>
          <w:tcPr>
            <w:tcW w:w="0" w:type="auto"/>
            <w:hideMark/>
          </w:tcPr>
          <w:p w14:paraId="350D5A6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mmol/L</w:t>
            </w:r>
          </w:p>
        </w:tc>
        <w:tc>
          <w:tcPr>
            <w:tcW w:w="0" w:type="auto"/>
            <w:hideMark/>
          </w:tcPr>
          <w:p w14:paraId="5C52725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mmol/L</w:t>
            </w:r>
          </w:p>
        </w:tc>
        <w:tc>
          <w:tcPr>
            <w:tcW w:w="0" w:type="auto"/>
            <w:hideMark/>
          </w:tcPr>
          <w:p w14:paraId="61F8772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Not required</w:t>
            </w:r>
          </w:p>
        </w:tc>
      </w:tr>
      <w:tr w:rsidR="00C1535F" w:rsidRPr="00E23A12" w14:paraId="547F7EC8" w14:textId="77777777" w:rsidTr="00C61481">
        <w:trPr>
          <w:jc w:val="center"/>
        </w:trPr>
        <w:tc>
          <w:tcPr>
            <w:tcW w:w="0" w:type="auto"/>
            <w:hideMark/>
          </w:tcPr>
          <w:p w14:paraId="5826861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Troponin T</w:t>
            </w:r>
          </w:p>
        </w:tc>
        <w:tc>
          <w:tcPr>
            <w:tcW w:w="0" w:type="auto"/>
            <w:hideMark/>
          </w:tcPr>
          <w:p w14:paraId="58F2CAE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ng/mL</w:t>
            </w:r>
          </w:p>
        </w:tc>
        <w:tc>
          <w:tcPr>
            <w:tcW w:w="0" w:type="auto"/>
            <w:hideMark/>
          </w:tcPr>
          <w:p w14:paraId="755F537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ng/mL</w:t>
            </w:r>
          </w:p>
        </w:tc>
        <w:tc>
          <w:tcPr>
            <w:tcW w:w="0" w:type="auto"/>
            <w:hideMark/>
          </w:tcPr>
          <w:p w14:paraId="6510E71F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Not required</w:t>
            </w:r>
          </w:p>
        </w:tc>
      </w:tr>
      <w:tr w:rsidR="00C1535F" w:rsidRPr="00E23A12" w14:paraId="6F286940" w14:textId="77777777" w:rsidTr="00C61481">
        <w:trPr>
          <w:jc w:val="center"/>
        </w:trPr>
        <w:tc>
          <w:tcPr>
            <w:tcW w:w="0" w:type="auto"/>
            <w:hideMark/>
          </w:tcPr>
          <w:p w14:paraId="3A2F956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Glucose</w:t>
            </w:r>
          </w:p>
        </w:tc>
        <w:tc>
          <w:tcPr>
            <w:tcW w:w="0" w:type="auto"/>
            <w:hideMark/>
          </w:tcPr>
          <w:p w14:paraId="4E84371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mg/dL</w:t>
            </w:r>
          </w:p>
        </w:tc>
        <w:tc>
          <w:tcPr>
            <w:tcW w:w="0" w:type="auto"/>
            <w:hideMark/>
          </w:tcPr>
          <w:p w14:paraId="4143161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mmol/L</w:t>
            </w:r>
          </w:p>
        </w:tc>
        <w:tc>
          <w:tcPr>
            <w:tcW w:w="0" w:type="auto"/>
            <w:hideMark/>
          </w:tcPr>
          <w:p w14:paraId="45B295C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Converted to mmol/L</w:t>
            </w:r>
          </w:p>
        </w:tc>
      </w:tr>
    </w:tbl>
    <w:p w14:paraId="7C5AAF69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A25D1B">
        <w:rPr>
          <w:rFonts w:ascii="Times New Roman" w:hAnsi="Times New Roman" w:cs="Times New Roman"/>
          <w:szCs w:val="21"/>
        </w:rPr>
        <w:t xml:space="preserve">Standard conversion factors were applied to harmonize laboratory units across cohorts before analysis </w:t>
      </w:r>
    </w:p>
    <w:p w14:paraId="3E085664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A25D1B">
        <w:rPr>
          <w:rFonts w:ascii="Times New Roman" w:hAnsi="Times New Roman" w:cs="Times New Roman"/>
          <w:szCs w:val="21"/>
        </w:rPr>
        <w:t>Abbreviations: HbA1c, glycated hemoglobin; WBC, white blood cell; BUN, blood urea nitrogen; LDL-C, low-density lipoprotein cholesterol.</w:t>
      </w:r>
    </w:p>
    <w:p w14:paraId="60E70EEC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</w:p>
    <w:p w14:paraId="1B345059" w14:textId="77777777" w:rsidR="00C1535F" w:rsidRPr="0098403E" w:rsidRDefault="00C1535F" w:rsidP="00C1535F">
      <w:pPr>
        <w:contextualSpacing/>
        <w:rPr>
          <w:rFonts w:ascii="Times New Roman" w:hAnsi="Times New Roman" w:cs="Times New Roman"/>
          <w:sz w:val="24"/>
          <w:szCs w:val="24"/>
        </w:rPr>
      </w:pPr>
      <w:r w:rsidRPr="00D20325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D203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8403E">
        <w:rPr>
          <w:rFonts w:ascii="Times New Roman" w:hAnsi="Times New Roman" w:cs="Times New Roman"/>
          <w:sz w:val="24"/>
          <w:szCs w:val="24"/>
        </w:rPr>
        <w:t>Variance inflation factor (VIF) analysis for the assessment of multicollinearity among candidate predictors</w:t>
      </w:r>
    </w:p>
    <w:tbl>
      <w:tblPr>
        <w:tblStyle w:val="af2"/>
        <w:tblW w:w="3799" w:type="dxa"/>
        <w:jc w:val="center"/>
        <w:tblLook w:val="04A0" w:firstRow="1" w:lastRow="0" w:firstColumn="1" w:lastColumn="0" w:noHBand="0" w:noVBand="1"/>
      </w:tblPr>
      <w:tblGrid>
        <w:gridCol w:w="3153"/>
        <w:gridCol w:w="646"/>
      </w:tblGrid>
      <w:tr w:rsidR="00C1535F" w:rsidRPr="00B2759A" w14:paraId="08FE2EFA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jc w:val="center"/>
        </w:trPr>
        <w:tc>
          <w:tcPr>
            <w:tcW w:w="0" w:type="auto"/>
            <w:hideMark/>
          </w:tcPr>
          <w:p w14:paraId="40FB2D4A" w14:textId="77777777" w:rsidR="00C1535F" w:rsidRPr="00B2759A" w:rsidRDefault="00C1535F" w:rsidP="00C61481">
            <w:pPr>
              <w:rPr>
                <w:rFonts w:ascii="Arial" w:eastAsia="宋体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b/>
                <w:bCs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0" w:type="auto"/>
            <w:hideMark/>
          </w:tcPr>
          <w:p w14:paraId="7F054A3E" w14:textId="77777777" w:rsidR="00C1535F" w:rsidRPr="00B2759A" w:rsidRDefault="00C1535F" w:rsidP="00C61481">
            <w:pPr>
              <w:rPr>
                <w:rFonts w:ascii="Arial" w:eastAsia="宋体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b/>
                <w:bCs/>
                <w:color w:val="000000" w:themeColor="text1"/>
                <w:sz w:val="18"/>
                <w:szCs w:val="18"/>
              </w:rPr>
              <w:t>VIF</w:t>
            </w:r>
          </w:p>
        </w:tc>
      </w:tr>
      <w:tr w:rsidR="00C1535F" w:rsidRPr="00B2759A" w14:paraId="7C9B3B34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1A5CE971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SHR</w:t>
            </w:r>
          </w:p>
        </w:tc>
        <w:tc>
          <w:tcPr>
            <w:tcW w:w="0" w:type="auto"/>
            <w:hideMark/>
          </w:tcPr>
          <w:p w14:paraId="7974458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2.1</w:t>
            </w:r>
          </w:p>
        </w:tc>
      </w:tr>
      <w:tr w:rsidR="00C1535F" w:rsidRPr="00B2759A" w14:paraId="28BC97B6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6A3B35E5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AMI</w:t>
            </w:r>
          </w:p>
        </w:tc>
        <w:tc>
          <w:tcPr>
            <w:tcW w:w="0" w:type="auto"/>
            <w:hideMark/>
          </w:tcPr>
          <w:p w14:paraId="7C8F83B4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55F9659D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6614FCC1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Sex</w:t>
            </w:r>
          </w:p>
        </w:tc>
        <w:tc>
          <w:tcPr>
            <w:tcW w:w="0" w:type="auto"/>
            <w:hideMark/>
          </w:tcPr>
          <w:p w14:paraId="4E315792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1.5</w:t>
            </w:r>
          </w:p>
        </w:tc>
      </w:tr>
      <w:tr w:rsidR="00C1535F" w:rsidRPr="00B2759A" w14:paraId="58307B93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5BBC0F4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0" w:type="auto"/>
            <w:hideMark/>
          </w:tcPr>
          <w:p w14:paraId="58A1F492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2</w:t>
            </w:r>
          </w:p>
        </w:tc>
      </w:tr>
      <w:tr w:rsidR="00C1535F" w:rsidRPr="00B2759A" w14:paraId="07DDDBA8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57019DE1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0" w:type="auto"/>
            <w:hideMark/>
          </w:tcPr>
          <w:p w14:paraId="741294A8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3EDA0144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654081CA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Congestive heart failure</w:t>
            </w:r>
          </w:p>
        </w:tc>
        <w:tc>
          <w:tcPr>
            <w:tcW w:w="0" w:type="auto"/>
            <w:hideMark/>
          </w:tcPr>
          <w:p w14:paraId="76C00057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2800D76C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4C6F6AB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Atrial fibrillation</w:t>
            </w:r>
          </w:p>
        </w:tc>
        <w:tc>
          <w:tcPr>
            <w:tcW w:w="0" w:type="auto"/>
            <w:hideMark/>
          </w:tcPr>
          <w:p w14:paraId="695CCBBC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7CC9DEC1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435501D5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Peripheral vascular disease</w:t>
            </w:r>
          </w:p>
        </w:tc>
        <w:tc>
          <w:tcPr>
            <w:tcW w:w="0" w:type="auto"/>
            <w:hideMark/>
          </w:tcPr>
          <w:p w14:paraId="2F3419AD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1.3</w:t>
            </w:r>
          </w:p>
        </w:tc>
      </w:tr>
      <w:tr w:rsidR="00C1535F" w:rsidRPr="00B2759A" w14:paraId="530BBE39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67739B4E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Cerebrovascular disease</w:t>
            </w:r>
          </w:p>
        </w:tc>
        <w:tc>
          <w:tcPr>
            <w:tcW w:w="0" w:type="auto"/>
            <w:hideMark/>
          </w:tcPr>
          <w:p w14:paraId="5919EFA7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7D6C1A22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048D6169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Diabetes mellitus</w:t>
            </w:r>
          </w:p>
        </w:tc>
        <w:tc>
          <w:tcPr>
            <w:tcW w:w="0" w:type="auto"/>
            <w:hideMark/>
          </w:tcPr>
          <w:p w14:paraId="3EDE9E4F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3.1</w:t>
            </w:r>
          </w:p>
        </w:tc>
      </w:tr>
      <w:tr w:rsidR="00C1535F" w:rsidRPr="00B2759A" w14:paraId="64F845C5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37337799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qSOFA</w:t>
            </w:r>
            <w:proofErr w:type="spellEnd"/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 xml:space="preserve"> score</w:t>
            </w:r>
          </w:p>
        </w:tc>
        <w:tc>
          <w:tcPr>
            <w:tcW w:w="0" w:type="auto"/>
            <w:hideMark/>
          </w:tcPr>
          <w:p w14:paraId="4C7FFC2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0C8911E1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239970DB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HbA1c</w:t>
            </w:r>
          </w:p>
        </w:tc>
        <w:tc>
          <w:tcPr>
            <w:tcW w:w="0" w:type="auto"/>
            <w:hideMark/>
          </w:tcPr>
          <w:p w14:paraId="508B56AD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  <w:tr w:rsidR="00C1535F" w:rsidRPr="00B2759A" w14:paraId="020AF6BB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017F8EDA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Heart rate</w:t>
            </w:r>
          </w:p>
        </w:tc>
        <w:tc>
          <w:tcPr>
            <w:tcW w:w="0" w:type="auto"/>
            <w:hideMark/>
          </w:tcPr>
          <w:p w14:paraId="1597F7D2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25F02DF4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79A80ED4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BMI</w:t>
            </w:r>
          </w:p>
        </w:tc>
        <w:tc>
          <w:tcPr>
            <w:tcW w:w="0" w:type="auto"/>
            <w:hideMark/>
          </w:tcPr>
          <w:p w14:paraId="3F4DC7A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1.3</w:t>
            </w:r>
          </w:p>
        </w:tc>
      </w:tr>
      <w:tr w:rsidR="00C1535F" w:rsidRPr="00B2759A" w14:paraId="594276FA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0A1FA18A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WBC</w:t>
            </w:r>
          </w:p>
        </w:tc>
        <w:tc>
          <w:tcPr>
            <w:tcW w:w="0" w:type="auto"/>
            <w:hideMark/>
          </w:tcPr>
          <w:p w14:paraId="7A84F1F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0BF7DD43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65DB3926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BUN</w:t>
            </w:r>
          </w:p>
        </w:tc>
        <w:tc>
          <w:tcPr>
            <w:tcW w:w="0" w:type="auto"/>
            <w:hideMark/>
          </w:tcPr>
          <w:p w14:paraId="262C48F6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1.5</w:t>
            </w:r>
          </w:p>
        </w:tc>
      </w:tr>
      <w:tr w:rsidR="00C1535F" w:rsidRPr="00B2759A" w14:paraId="5754DA5D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3EF0094A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Hemoglobin</w:t>
            </w:r>
          </w:p>
        </w:tc>
        <w:tc>
          <w:tcPr>
            <w:tcW w:w="0" w:type="auto"/>
            <w:hideMark/>
          </w:tcPr>
          <w:p w14:paraId="19A12D55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1.7</w:t>
            </w:r>
          </w:p>
        </w:tc>
      </w:tr>
      <w:tr w:rsidR="00C1535F" w:rsidRPr="00B2759A" w14:paraId="6ED06067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6D49FC5F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LDL-C</w:t>
            </w:r>
          </w:p>
        </w:tc>
        <w:tc>
          <w:tcPr>
            <w:tcW w:w="0" w:type="auto"/>
            <w:hideMark/>
          </w:tcPr>
          <w:p w14:paraId="4A63B981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5A67C4EF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4B0F47C1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Troponin T</w:t>
            </w:r>
          </w:p>
        </w:tc>
        <w:tc>
          <w:tcPr>
            <w:tcW w:w="0" w:type="auto"/>
            <w:hideMark/>
          </w:tcPr>
          <w:p w14:paraId="2440862A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1.3</w:t>
            </w:r>
          </w:p>
        </w:tc>
      </w:tr>
      <w:tr w:rsidR="00C1535F" w:rsidRPr="00B2759A" w14:paraId="7163ACC3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59FAF032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eGFR</w:t>
            </w:r>
          </w:p>
        </w:tc>
        <w:tc>
          <w:tcPr>
            <w:tcW w:w="0" w:type="auto"/>
            <w:hideMark/>
          </w:tcPr>
          <w:p w14:paraId="0ADD932C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2.9</w:t>
            </w:r>
          </w:p>
        </w:tc>
      </w:tr>
      <w:tr w:rsidR="00C1535F" w:rsidRPr="00B2759A" w14:paraId="152BD83D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17E7B45F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Diuretics</w:t>
            </w:r>
          </w:p>
        </w:tc>
        <w:tc>
          <w:tcPr>
            <w:tcW w:w="0" w:type="auto"/>
            <w:hideMark/>
          </w:tcPr>
          <w:p w14:paraId="2EFF59FC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1.4</w:t>
            </w:r>
          </w:p>
        </w:tc>
      </w:tr>
      <w:tr w:rsidR="00C1535F" w:rsidRPr="00B2759A" w14:paraId="01F5F8C6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4E135EC5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ACEI/ARB</w:t>
            </w:r>
          </w:p>
        </w:tc>
        <w:tc>
          <w:tcPr>
            <w:tcW w:w="0" w:type="auto"/>
            <w:hideMark/>
          </w:tcPr>
          <w:p w14:paraId="582797C3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1.6</w:t>
            </w:r>
          </w:p>
        </w:tc>
      </w:tr>
      <w:tr w:rsidR="00C1535F" w:rsidRPr="00B2759A" w14:paraId="61EB56BC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54556ABE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β-blocker</w:t>
            </w:r>
          </w:p>
          <w:p w14:paraId="6BECD84F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8334502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1.5</w:t>
            </w:r>
          </w:p>
        </w:tc>
      </w:tr>
      <w:tr w:rsidR="00C1535F" w:rsidRPr="00B2759A" w14:paraId="65FA57AC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1C6B51A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Statins</w:t>
            </w:r>
          </w:p>
        </w:tc>
        <w:tc>
          <w:tcPr>
            <w:tcW w:w="0" w:type="auto"/>
            <w:hideMark/>
          </w:tcPr>
          <w:p w14:paraId="5C272D1B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2.6</w:t>
            </w:r>
          </w:p>
        </w:tc>
      </w:tr>
      <w:tr w:rsidR="00C1535F" w:rsidRPr="00B2759A" w14:paraId="0D64C892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50024CC8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Antiplatelet drugs</w:t>
            </w:r>
          </w:p>
        </w:tc>
        <w:tc>
          <w:tcPr>
            <w:tcW w:w="0" w:type="auto"/>
            <w:hideMark/>
          </w:tcPr>
          <w:p w14:paraId="034872B2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1.9</w:t>
            </w:r>
          </w:p>
        </w:tc>
      </w:tr>
      <w:tr w:rsidR="00C1535F" w:rsidRPr="00B2759A" w14:paraId="60ED326A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6E6F3B77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lastRenderedPageBreak/>
              <w:t>Calcium channel blockers</w:t>
            </w:r>
          </w:p>
        </w:tc>
        <w:tc>
          <w:tcPr>
            <w:tcW w:w="0" w:type="auto"/>
            <w:hideMark/>
          </w:tcPr>
          <w:p w14:paraId="3C493E7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1.7</w:t>
            </w:r>
          </w:p>
        </w:tc>
      </w:tr>
      <w:tr w:rsidR="00C1535F" w:rsidRPr="00B2759A" w14:paraId="7116D900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06B403A6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Glucose-lowering therapy</w:t>
            </w:r>
          </w:p>
        </w:tc>
        <w:tc>
          <w:tcPr>
            <w:tcW w:w="0" w:type="auto"/>
            <w:hideMark/>
          </w:tcPr>
          <w:p w14:paraId="42FCA37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  <w:tr w:rsidR="00C1535F" w:rsidRPr="00B2759A" w14:paraId="6CC2A1B0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148FC2A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History of PCI</w:t>
            </w:r>
          </w:p>
        </w:tc>
        <w:tc>
          <w:tcPr>
            <w:tcW w:w="0" w:type="auto"/>
            <w:hideMark/>
          </w:tcPr>
          <w:p w14:paraId="6A2A1DB5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1.3</w:t>
            </w:r>
          </w:p>
        </w:tc>
      </w:tr>
      <w:tr w:rsidR="00C1535F" w:rsidRPr="00B2759A" w14:paraId="08016C98" w14:textId="77777777" w:rsidTr="00C61481">
        <w:trPr>
          <w:trHeight w:val="290"/>
          <w:jc w:val="center"/>
        </w:trPr>
        <w:tc>
          <w:tcPr>
            <w:tcW w:w="0" w:type="auto"/>
            <w:hideMark/>
          </w:tcPr>
          <w:p w14:paraId="01C1BD39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History of CABG</w:t>
            </w:r>
          </w:p>
        </w:tc>
        <w:tc>
          <w:tcPr>
            <w:tcW w:w="0" w:type="auto"/>
            <w:hideMark/>
          </w:tcPr>
          <w:p w14:paraId="0084F6EC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1.8</w:t>
            </w:r>
          </w:p>
        </w:tc>
      </w:tr>
      <w:tr w:rsidR="00C1535F" w:rsidRPr="00B2759A" w14:paraId="10FD283D" w14:textId="77777777" w:rsidTr="00C61481">
        <w:trPr>
          <w:trHeight w:val="297"/>
          <w:jc w:val="center"/>
        </w:trPr>
        <w:tc>
          <w:tcPr>
            <w:tcW w:w="0" w:type="auto"/>
            <w:hideMark/>
          </w:tcPr>
          <w:p w14:paraId="39AFB7D0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History of RRT</w:t>
            </w:r>
          </w:p>
        </w:tc>
        <w:tc>
          <w:tcPr>
            <w:tcW w:w="0" w:type="auto"/>
            <w:hideMark/>
          </w:tcPr>
          <w:p w14:paraId="252B80E9" w14:textId="77777777" w:rsidR="00C1535F" w:rsidRPr="00B2759A" w:rsidRDefault="00C1535F" w:rsidP="00C61481">
            <w:pP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B2759A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3</w:t>
            </w:r>
          </w:p>
        </w:tc>
      </w:tr>
    </w:tbl>
    <w:p w14:paraId="5AFD6B79" w14:textId="77777777" w:rsidR="00C1535F" w:rsidRDefault="00C1535F" w:rsidP="00C1535F">
      <w:pPr>
        <w:contextualSpacing/>
        <w:rPr>
          <w:rFonts w:ascii="Times New Roman" w:eastAsia="宋体" w:hAnsi="Times New Roman" w:cs="Times New Roman"/>
        </w:rPr>
      </w:pPr>
      <w:r w:rsidRPr="00BB77C1">
        <w:rPr>
          <w:rFonts w:ascii="Times New Roman" w:eastAsia="宋体" w:hAnsi="Times New Roman" w:cs="Times New Roman"/>
        </w:rPr>
        <w:t>Variance inflation factors (VIFs) were calculated to assess multicollinearity; VIF &lt; 5 indicates no significant collinearity.</w:t>
      </w:r>
    </w:p>
    <w:p w14:paraId="4710ED74" w14:textId="77777777" w:rsidR="00C1535F" w:rsidRDefault="00C1535F" w:rsidP="00C1535F">
      <w:pPr>
        <w:contextualSpacing/>
        <w:rPr>
          <w:rFonts w:ascii="Times New Roman" w:eastAsia="宋体" w:hAnsi="Times New Roman" w:cs="Times New Roman"/>
        </w:rPr>
      </w:pPr>
      <w:r w:rsidRPr="00BB77C1">
        <w:rPr>
          <w:rFonts w:ascii="Times New Roman" w:eastAsia="宋体" w:hAnsi="Times New Roman" w:cs="Times New Roman"/>
        </w:rPr>
        <w:t>Abbreviations: SHR, stress hyperglycemia ratio; AMI, acute myocardial infarction; BMI, body mass index; WBC, white blood cell; BUN, blood urea nitrogen; LDL-C, low-density lipoprotein cholesterol; eGFR, estimated glomerular filtration rate; ACEI/ARB, angiotensin-converting enzyme inhibitors or angiotensin receptor blockers; CABG, coronary artery bypass grafting; RRT, renal replacement therapy.</w:t>
      </w:r>
    </w:p>
    <w:p w14:paraId="6F725594" w14:textId="77777777" w:rsidR="00C1535F" w:rsidRDefault="00C1535F" w:rsidP="00C1535F">
      <w:pPr>
        <w:spacing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049F1D3" w14:textId="77777777" w:rsidR="00C1535F" w:rsidRPr="00C25948" w:rsidRDefault="00C1535F" w:rsidP="00C1535F">
      <w:pPr>
        <w:rPr>
          <w:rFonts w:ascii="Times New Roman" w:hAnsi="Times New Roman" w:cs="Times New Roman"/>
          <w:sz w:val="24"/>
          <w:szCs w:val="24"/>
        </w:rPr>
      </w:pPr>
      <w:r w:rsidRPr="00710444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104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8403E">
        <w:rPr>
          <w:rFonts w:ascii="Times New Roman" w:hAnsi="Times New Roman" w:cs="Times New Roman"/>
          <w:sz w:val="24"/>
          <w:szCs w:val="24"/>
        </w:rPr>
        <w:t>Missing data for candidate variables in the study cohort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478"/>
        <w:gridCol w:w="2037"/>
      </w:tblGrid>
      <w:tr w:rsidR="00C1535F" w:rsidRPr="00E23A12" w14:paraId="53503B80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hideMark/>
          </w:tcPr>
          <w:p w14:paraId="7FCEE438" w14:textId="77777777" w:rsidR="00C1535F" w:rsidRPr="00E23A12" w:rsidRDefault="00C1535F" w:rsidP="00C61481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0" w:type="auto"/>
            <w:hideMark/>
          </w:tcPr>
          <w:p w14:paraId="3F163DDE" w14:textId="77777777" w:rsidR="00C1535F" w:rsidRPr="00E23A12" w:rsidRDefault="00C1535F" w:rsidP="00C61481">
            <w:pPr>
              <w:rPr>
                <w:rFonts w:ascii="Arial" w:eastAsia="宋体" w:hAnsi="Arial" w:cs="Arial"/>
                <w:b/>
                <w:bCs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Missing values, n (%)</w:t>
            </w:r>
          </w:p>
        </w:tc>
      </w:tr>
      <w:tr w:rsidR="00C1535F" w:rsidRPr="00E23A12" w14:paraId="66ED2899" w14:textId="77777777" w:rsidTr="00C61481">
        <w:trPr>
          <w:jc w:val="center"/>
        </w:trPr>
        <w:tc>
          <w:tcPr>
            <w:tcW w:w="0" w:type="auto"/>
            <w:hideMark/>
          </w:tcPr>
          <w:p w14:paraId="48076CC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Laboratory parameters and vital signs</w:t>
            </w:r>
          </w:p>
        </w:tc>
        <w:tc>
          <w:tcPr>
            <w:tcW w:w="0" w:type="auto"/>
            <w:hideMark/>
          </w:tcPr>
          <w:p w14:paraId="5FE4C88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C1535F" w:rsidRPr="00E23A12" w14:paraId="5BB87ABD" w14:textId="77777777" w:rsidTr="00C61481">
        <w:trPr>
          <w:jc w:val="center"/>
        </w:trPr>
        <w:tc>
          <w:tcPr>
            <w:tcW w:w="0" w:type="auto"/>
            <w:hideMark/>
          </w:tcPr>
          <w:p w14:paraId="333B5BB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Troponin T</w:t>
            </w:r>
          </w:p>
        </w:tc>
        <w:tc>
          <w:tcPr>
            <w:tcW w:w="0" w:type="auto"/>
            <w:hideMark/>
          </w:tcPr>
          <w:p w14:paraId="073A1EB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62 (10.23%)</w:t>
            </w:r>
          </w:p>
        </w:tc>
      </w:tr>
      <w:tr w:rsidR="00C1535F" w:rsidRPr="00E23A12" w14:paraId="2282A8A6" w14:textId="77777777" w:rsidTr="00C61481">
        <w:trPr>
          <w:jc w:val="center"/>
        </w:trPr>
        <w:tc>
          <w:tcPr>
            <w:tcW w:w="0" w:type="auto"/>
            <w:hideMark/>
          </w:tcPr>
          <w:p w14:paraId="4F4989F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BMI</w:t>
            </w:r>
          </w:p>
        </w:tc>
        <w:tc>
          <w:tcPr>
            <w:tcW w:w="0" w:type="auto"/>
            <w:hideMark/>
          </w:tcPr>
          <w:p w14:paraId="533E926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52 (8.58%)</w:t>
            </w:r>
          </w:p>
        </w:tc>
      </w:tr>
      <w:tr w:rsidR="00C1535F" w:rsidRPr="00E23A12" w14:paraId="7D6A0E30" w14:textId="77777777" w:rsidTr="00C61481">
        <w:trPr>
          <w:jc w:val="center"/>
        </w:trPr>
        <w:tc>
          <w:tcPr>
            <w:tcW w:w="0" w:type="auto"/>
            <w:hideMark/>
          </w:tcPr>
          <w:p w14:paraId="098CA32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LDL-C</w:t>
            </w:r>
          </w:p>
        </w:tc>
        <w:tc>
          <w:tcPr>
            <w:tcW w:w="0" w:type="auto"/>
            <w:hideMark/>
          </w:tcPr>
          <w:p w14:paraId="735ACCA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31 (5.12%)</w:t>
            </w:r>
          </w:p>
        </w:tc>
      </w:tr>
      <w:tr w:rsidR="00C1535F" w:rsidRPr="00E23A12" w14:paraId="464DF3C1" w14:textId="77777777" w:rsidTr="00C61481">
        <w:trPr>
          <w:jc w:val="center"/>
        </w:trPr>
        <w:tc>
          <w:tcPr>
            <w:tcW w:w="0" w:type="auto"/>
            <w:hideMark/>
          </w:tcPr>
          <w:p w14:paraId="68AF3A7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WBC</w:t>
            </w:r>
          </w:p>
        </w:tc>
        <w:tc>
          <w:tcPr>
            <w:tcW w:w="0" w:type="auto"/>
            <w:hideMark/>
          </w:tcPr>
          <w:p w14:paraId="2562471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 (0.17%)</w:t>
            </w:r>
          </w:p>
        </w:tc>
      </w:tr>
      <w:tr w:rsidR="00C1535F" w:rsidRPr="00E23A12" w14:paraId="16088FAC" w14:textId="77777777" w:rsidTr="00C61481">
        <w:trPr>
          <w:jc w:val="center"/>
        </w:trPr>
        <w:tc>
          <w:tcPr>
            <w:tcW w:w="0" w:type="auto"/>
            <w:hideMark/>
          </w:tcPr>
          <w:p w14:paraId="378D080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Variables with complete data</w:t>
            </w:r>
          </w:p>
        </w:tc>
        <w:tc>
          <w:tcPr>
            <w:tcW w:w="0" w:type="auto"/>
            <w:hideMark/>
          </w:tcPr>
          <w:p w14:paraId="387906D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C1535F" w:rsidRPr="00E23A12" w14:paraId="77EEE311" w14:textId="77777777" w:rsidTr="00C61481">
        <w:trPr>
          <w:jc w:val="center"/>
        </w:trPr>
        <w:tc>
          <w:tcPr>
            <w:tcW w:w="0" w:type="auto"/>
            <w:hideMark/>
          </w:tcPr>
          <w:p w14:paraId="617C6EF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SHR</w:t>
            </w:r>
          </w:p>
        </w:tc>
        <w:tc>
          <w:tcPr>
            <w:tcW w:w="0" w:type="auto"/>
            <w:hideMark/>
          </w:tcPr>
          <w:p w14:paraId="7DBA878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25916B18" w14:textId="77777777" w:rsidTr="00C61481">
        <w:trPr>
          <w:jc w:val="center"/>
        </w:trPr>
        <w:tc>
          <w:tcPr>
            <w:tcW w:w="0" w:type="auto"/>
            <w:hideMark/>
          </w:tcPr>
          <w:p w14:paraId="228A01E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Age</w:t>
            </w:r>
          </w:p>
        </w:tc>
        <w:tc>
          <w:tcPr>
            <w:tcW w:w="0" w:type="auto"/>
            <w:hideMark/>
          </w:tcPr>
          <w:p w14:paraId="2376F49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7D2DEF0B" w14:textId="77777777" w:rsidTr="00C61481">
        <w:trPr>
          <w:jc w:val="center"/>
        </w:trPr>
        <w:tc>
          <w:tcPr>
            <w:tcW w:w="0" w:type="auto"/>
            <w:hideMark/>
          </w:tcPr>
          <w:p w14:paraId="56C63A5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Sex</w:t>
            </w:r>
          </w:p>
        </w:tc>
        <w:tc>
          <w:tcPr>
            <w:tcW w:w="0" w:type="auto"/>
            <w:hideMark/>
          </w:tcPr>
          <w:p w14:paraId="0DB894B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693D3522" w14:textId="77777777" w:rsidTr="00C61481">
        <w:trPr>
          <w:jc w:val="center"/>
        </w:trPr>
        <w:tc>
          <w:tcPr>
            <w:tcW w:w="0" w:type="auto"/>
            <w:hideMark/>
          </w:tcPr>
          <w:p w14:paraId="66386C8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Heart rate</w:t>
            </w:r>
          </w:p>
        </w:tc>
        <w:tc>
          <w:tcPr>
            <w:tcW w:w="0" w:type="auto"/>
            <w:hideMark/>
          </w:tcPr>
          <w:p w14:paraId="1DA8A13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0E0F20C6" w14:textId="77777777" w:rsidTr="00C61481">
        <w:trPr>
          <w:jc w:val="center"/>
        </w:trPr>
        <w:tc>
          <w:tcPr>
            <w:tcW w:w="0" w:type="auto"/>
            <w:hideMark/>
          </w:tcPr>
          <w:p w14:paraId="6C2C531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Hemoglobin</w:t>
            </w:r>
          </w:p>
        </w:tc>
        <w:tc>
          <w:tcPr>
            <w:tcW w:w="0" w:type="auto"/>
            <w:hideMark/>
          </w:tcPr>
          <w:p w14:paraId="7B7D396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1C9F158E" w14:textId="77777777" w:rsidTr="00C61481">
        <w:trPr>
          <w:jc w:val="center"/>
        </w:trPr>
        <w:tc>
          <w:tcPr>
            <w:tcW w:w="0" w:type="auto"/>
            <w:hideMark/>
          </w:tcPr>
          <w:p w14:paraId="7568FA0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BUN</w:t>
            </w:r>
          </w:p>
        </w:tc>
        <w:tc>
          <w:tcPr>
            <w:tcW w:w="0" w:type="auto"/>
            <w:hideMark/>
          </w:tcPr>
          <w:p w14:paraId="574C13C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55A6976D" w14:textId="77777777" w:rsidTr="00C61481">
        <w:trPr>
          <w:jc w:val="center"/>
        </w:trPr>
        <w:tc>
          <w:tcPr>
            <w:tcW w:w="0" w:type="auto"/>
            <w:hideMark/>
          </w:tcPr>
          <w:p w14:paraId="1E0AA9C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HbA1c</w:t>
            </w:r>
          </w:p>
        </w:tc>
        <w:tc>
          <w:tcPr>
            <w:tcW w:w="0" w:type="auto"/>
            <w:hideMark/>
          </w:tcPr>
          <w:p w14:paraId="1A1FEBD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5BC403D8" w14:textId="77777777" w:rsidTr="00C61481">
        <w:trPr>
          <w:jc w:val="center"/>
        </w:trPr>
        <w:tc>
          <w:tcPr>
            <w:tcW w:w="0" w:type="auto"/>
            <w:hideMark/>
          </w:tcPr>
          <w:p w14:paraId="730C1D0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eGFR</w:t>
            </w:r>
          </w:p>
        </w:tc>
        <w:tc>
          <w:tcPr>
            <w:tcW w:w="0" w:type="auto"/>
            <w:hideMark/>
          </w:tcPr>
          <w:p w14:paraId="32C21C4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68F54FE5" w14:textId="77777777" w:rsidTr="00C61481">
        <w:trPr>
          <w:jc w:val="center"/>
        </w:trPr>
        <w:tc>
          <w:tcPr>
            <w:tcW w:w="0" w:type="auto"/>
            <w:hideMark/>
          </w:tcPr>
          <w:p w14:paraId="09D461D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E23A12">
              <w:rPr>
                <w:rFonts w:ascii="Arial" w:eastAsia="宋体" w:hAnsi="Arial" w:cs="Arial"/>
                <w:sz w:val="18"/>
                <w:szCs w:val="18"/>
              </w:rPr>
              <w:t>qSOFA</w:t>
            </w:r>
            <w:proofErr w:type="spellEnd"/>
          </w:p>
        </w:tc>
        <w:tc>
          <w:tcPr>
            <w:tcW w:w="0" w:type="auto"/>
            <w:hideMark/>
          </w:tcPr>
          <w:p w14:paraId="33B95B6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3283F309" w14:textId="77777777" w:rsidTr="00C61481">
        <w:trPr>
          <w:jc w:val="center"/>
        </w:trPr>
        <w:tc>
          <w:tcPr>
            <w:tcW w:w="0" w:type="auto"/>
            <w:hideMark/>
          </w:tcPr>
          <w:p w14:paraId="2606E23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AMI type</w:t>
            </w:r>
          </w:p>
        </w:tc>
        <w:tc>
          <w:tcPr>
            <w:tcW w:w="0" w:type="auto"/>
            <w:hideMark/>
          </w:tcPr>
          <w:p w14:paraId="7121A35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52DA6F10" w14:textId="77777777" w:rsidTr="00C61481">
        <w:trPr>
          <w:jc w:val="center"/>
        </w:trPr>
        <w:tc>
          <w:tcPr>
            <w:tcW w:w="0" w:type="auto"/>
            <w:hideMark/>
          </w:tcPr>
          <w:p w14:paraId="0B0F5D3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 xml:space="preserve">Hypertension </w:t>
            </w:r>
          </w:p>
        </w:tc>
        <w:tc>
          <w:tcPr>
            <w:tcW w:w="0" w:type="auto"/>
            <w:hideMark/>
          </w:tcPr>
          <w:p w14:paraId="6776C7C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6933AF0A" w14:textId="77777777" w:rsidTr="00C61481">
        <w:trPr>
          <w:jc w:val="center"/>
        </w:trPr>
        <w:tc>
          <w:tcPr>
            <w:tcW w:w="0" w:type="auto"/>
            <w:hideMark/>
          </w:tcPr>
          <w:p w14:paraId="20E38FE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 xml:space="preserve">Congestive heart failure </w:t>
            </w:r>
          </w:p>
        </w:tc>
        <w:tc>
          <w:tcPr>
            <w:tcW w:w="0" w:type="auto"/>
            <w:hideMark/>
          </w:tcPr>
          <w:p w14:paraId="5513872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0D77B23A" w14:textId="77777777" w:rsidTr="00C61481">
        <w:trPr>
          <w:jc w:val="center"/>
        </w:trPr>
        <w:tc>
          <w:tcPr>
            <w:tcW w:w="0" w:type="auto"/>
            <w:hideMark/>
          </w:tcPr>
          <w:p w14:paraId="7ECEF95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 xml:space="preserve">Atrial fibrillation </w:t>
            </w:r>
          </w:p>
        </w:tc>
        <w:tc>
          <w:tcPr>
            <w:tcW w:w="0" w:type="auto"/>
            <w:hideMark/>
          </w:tcPr>
          <w:p w14:paraId="6541196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57215156" w14:textId="77777777" w:rsidTr="00C61481">
        <w:trPr>
          <w:jc w:val="center"/>
        </w:trPr>
        <w:tc>
          <w:tcPr>
            <w:tcW w:w="0" w:type="auto"/>
            <w:hideMark/>
          </w:tcPr>
          <w:p w14:paraId="43FD049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 xml:space="preserve">Peripheral vascular disease </w:t>
            </w:r>
          </w:p>
        </w:tc>
        <w:tc>
          <w:tcPr>
            <w:tcW w:w="0" w:type="auto"/>
            <w:hideMark/>
          </w:tcPr>
          <w:p w14:paraId="5CA593B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77587A0E" w14:textId="77777777" w:rsidTr="00C61481">
        <w:trPr>
          <w:jc w:val="center"/>
        </w:trPr>
        <w:tc>
          <w:tcPr>
            <w:tcW w:w="0" w:type="auto"/>
            <w:hideMark/>
          </w:tcPr>
          <w:p w14:paraId="343A395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Cerebrovascular disease</w:t>
            </w:r>
          </w:p>
        </w:tc>
        <w:tc>
          <w:tcPr>
            <w:tcW w:w="0" w:type="auto"/>
            <w:hideMark/>
          </w:tcPr>
          <w:p w14:paraId="38B79EE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0EDFA75D" w14:textId="77777777" w:rsidTr="00C61481">
        <w:trPr>
          <w:jc w:val="center"/>
        </w:trPr>
        <w:tc>
          <w:tcPr>
            <w:tcW w:w="0" w:type="auto"/>
            <w:hideMark/>
          </w:tcPr>
          <w:p w14:paraId="184F5F6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 xml:space="preserve">Diabetes mellitus </w:t>
            </w:r>
          </w:p>
        </w:tc>
        <w:tc>
          <w:tcPr>
            <w:tcW w:w="0" w:type="auto"/>
            <w:hideMark/>
          </w:tcPr>
          <w:p w14:paraId="380ABC1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70751263" w14:textId="77777777" w:rsidTr="00C61481">
        <w:trPr>
          <w:jc w:val="center"/>
        </w:trPr>
        <w:tc>
          <w:tcPr>
            <w:tcW w:w="0" w:type="auto"/>
            <w:hideMark/>
          </w:tcPr>
          <w:p w14:paraId="352453C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Diuretic</w:t>
            </w:r>
          </w:p>
        </w:tc>
        <w:tc>
          <w:tcPr>
            <w:tcW w:w="0" w:type="auto"/>
            <w:hideMark/>
          </w:tcPr>
          <w:p w14:paraId="4DAFE87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5B90B3D9" w14:textId="77777777" w:rsidTr="00C61481">
        <w:trPr>
          <w:jc w:val="center"/>
        </w:trPr>
        <w:tc>
          <w:tcPr>
            <w:tcW w:w="0" w:type="auto"/>
            <w:hideMark/>
          </w:tcPr>
          <w:p w14:paraId="564F49E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ACEI/ARB</w:t>
            </w:r>
          </w:p>
        </w:tc>
        <w:tc>
          <w:tcPr>
            <w:tcW w:w="0" w:type="auto"/>
            <w:hideMark/>
          </w:tcPr>
          <w:p w14:paraId="3AD369D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664FA056" w14:textId="77777777" w:rsidTr="00C61481">
        <w:trPr>
          <w:jc w:val="center"/>
        </w:trPr>
        <w:tc>
          <w:tcPr>
            <w:tcW w:w="0" w:type="auto"/>
            <w:hideMark/>
          </w:tcPr>
          <w:p w14:paraId="59507C0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β-blocker</w:t>
            </w:r>
          </w:p>
        </w:tc>
        <w:tc>
          <w:tcPr>
            <w:tcW w:w="0" w:type="auto"/>
            <w:hideMark/>
          </w:tcPr>
          <w:p w14:paraId="7FB1E29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13ACB141" w14:textId="77777777" w:rsidTr="00C61481">
        <w:trPr>
          <w:jc w:val="center"/>
        </w:trPr>
        <w:tc>
          <w:tcPr>
            <w:tcW w:w="0" w:type="auto"/>
            <w:hideMark/>
          </w:tcPr>
          <w:p w14:paraId="17C6F47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Statins</w:t>
            </w:r>
          </w:p>
        </w:tc>
        <w:tc>
          <w:tcPr>
            <w:tcW w:w="0" w:type="auto"/>
            <w:hideMark/>
          </w:tcPr>
          <w:p w14:paraId="469D17F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40B99841" w14:textId="77777777" w:rsidTr="00C61481">
        <w:trPr>
          <w:jc w:val="center"/>
        </w:trPr>
        <w:tc>
          <w:tcPr>
            <w:tcW w:w="0" w:type="auto"/>
            <w:hideMark/>
          </w:tcPr>
          <w:p w14:paraId="6318B44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Antiplatelet drugs</w:t>
            </w:r>
          </w:p>
        </w:tc>
        <w:tc>
          <w:tcPr>
            <w:tcW w:w="0" w:type="auto"/>
            <w:hideMark/>
          </w:tcPr>
          <w:p w14:paraId="45C8BAF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452A978E" w14:textId="77777777" w:rsidTr="00C61481">
        <w:trPr>
          <w:jc w:val="center"/>
        </w:trPr>
        <w:tc>
          <w:tcPr>
            <w:tcW w:w="0" w:type="auto"/>
            <w:hideMark/>
          </w:tcPr>
          <w:p w14:paraId="2B12DF7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Calcium channel blocker</w:t>
            </w:r>
          </w:p>
        </w:tc>
        <w:tc>
          <w:tcPr>
            <w:tcW w:w="0" w:type="auto"/>
            <w:hideMark/>
          </w:tcPr>
          <w:p w14:paraId="0E148B2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08732161" w14:textId="77777777" w:rsidTr="00C61481">
        <w:trPr>
          <w:jc w:val="center"/>
        </w:trPr>
        <w:tc>
          <w:tcPr>
            <w:tcW w:w="0" w:type="auto"/>
            <w:hideMark/>
          </w:tcPr>
          <w:p w14:paraId="0E04F44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lastRenderedPageBreak/>
              <w:t>Glucose-lowering therapy</w:t>
            </w:r>
          </w:p>
        </w:tc>
        <w:tc>
          <w:tcPr>
            <w:tcW w:w="0" w:type="auto"/>
            <w:hideMark/>
          </w:tcPr>
          <w:p w14:paraId="6F1B615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6CE5351C" w14:textId="77777777" w:rsidTr="00C61481">
        <w:trPr>
          <w:jc w:val="center"/>
        </w:trPr>
        <w:tc>
          <w:tcPr>
            <w:tcW w:w="0" w:type="auto"/>
            <w:hideMark/>
          </w:tcPr>
          <w:p w14:paraId="43D42BA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History of PCI</w:t>
            </w:r>
          </w:p>
        </w:tc>
        <w:tc>
          <w:tcPr>
            <w:tcW w:w="0" w:type="auto"/>
            <w:hideMark/>
          </w:tcPr>
          <w:p w14:paraId="3D9A8B7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0980A504" w14:textId="77777777" w:rsidTr="00C61481">
        <w:trPr>
          <w:jc w:val="center"/>
        </w:trPr>
        <w:tc>
          <w:tcPr>
            <w:tcW w:w="0" w:type="auto"/>
            <w:hideMark/>
          </w:tcPr>
          <w:p w14:paraId="30336E0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History of CABG</w:t>
            </w:r>
          </w:p>
        </w:tc>
        <w:tc>
          <w:tcPr>
            <w:tcW w:w="0" w:type="auto"/>
            <w:hideMark/>
          </w:tcPr>
          <w:p w14:paraId="4011E4B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  <w:tr w:rsidR="00C1535F" w:rsidRPr="00E23A12" w14:paraId="7C9BB685" w14:textId="77777777" w:rsidTr="00C61481">
        <w:trPr>
          <w:jc w:val="center"/>
        </w:trPr>
        <w:tc>
          <w:tcPr>
            <w:tcW w:w="0" w:type="auto"/>
            <w:hideMark/>
          </w:tcPr>
          <w:p w14:paraId="27473E1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History of RRT</w:t>
            </w:r>
          </w:p>
        </w:tc>
        <w:tc>
          <w:tcPr>
            <w:tcW w:w="0" w:type="auto"/>
            <w:hideMark/>
          </w:tcPr>
          <w:p w14:paraId="732564DF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 (0.00%)</w:t>
            </w:r>
          </w:p>
        </w:tc>
      </w:tr>
    </w:tbl>
    <w:p w14:paraId="7CB601BA" w14:textId="77777777" w:rsidR="00C1535F" w:rsidRDefault="00C1535F" w:rsidP="00C1535F">
      <w:pPr>
        <w:contextualSpacing/>
        <w:rPr>
          <w:rFonts w:ascii="Times New Roman" w:eastAsia="宋体" w:hAnsi="Times New Roman" w:cs="Times New Roman"/>
        </w:rPr>
      </w:pPr>
      <w:r w:rsidRPr="00BB77C1">
        <w:rPr>
          <w:rFonts w:ascii="Times New Roman" w:eastAsia="宋体" w:hAnsi="Times New Roman" w:cs="Times New Roman"/>
        </w:rPr>
        <w:t xml:space="preserve">Abbreviations: BMI, body mass index; LDL-C, low-density lipoprotein cholesterol; WBC, white blood cell; SHR, stress hyperglycemia ratio; BUN, blood urea nitrogen; HbA1c, glycated hemoglobin; eGFR, estimated glomerular filtration rate; </w:t>
      </w:r>
      <w:proofErr w:type="spellStart"/>
      <w:r w:rsidRPr="00BB77C1">
        <w:rPr>
          <w:rFonts w:ascii="Times New Roman" w:eastAsia="宋体" w:hAnsi="Times New Roman" w:cs="Times New Roman"/>
        </w:rPr>
        <w:t>qSOFA</w:t>
      </w:r>
      <w:proofErr w:type="spellEnd"/>
      <w:r w:rsidRPr="00BB77C1">
        <w:rPr>
          <w:rFonts w:ascii="Times New Roman" w:eastAsia="宋体" w:hAnsi="Times New Roman" w:cs="Times New Roman"/>
        </w:rPr>
        <w:t>, quick Sequential Organ Failure Assessment; AMI, acute myocardial infarction; ACEI/ARB, angiotensin-converting enzyme inhibitors or angiotensin receptor blockers; PCI, percutaneous coronary intervention; CABG, coronary artery bypass grafting; RRT, renal replacement therapy.</w:t>
      </w:r>
    </w:p>
    <w:p w14:paraId="6D6D2EAF" w14:textId="77777777" w:rsidR="00C1535F" w:rsidRPr="00484D37" w:rsidRDefault="00C1535F" w:rsidP="00C1535F">
      <w:pPr>
        <w:spacing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10A4E1FE" w14:textId="77777777" w:rsidR="00C1535F" w:rsidRPr="00FD1266" w:rsidRDefault="00C1535F" w:rsidP="00C1535F">
      <w:pPr>
        <w:contextualSpacing/>
        <w:rPr>
          <w:rFonts w:ascii="Times New Roman" w:hAnsi="Times New Roman" w:cs="Times New Roman"/>
          <w:sz w:val="24"/>
          <w:szCs w:val="24"/>
        </w:rPr>
      </w:pPr>
      <w:r w:rsidRPr="00FD126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S4. </w:t>
      </w:r>
      <w:r w:rsidRPr="00FD1266">
        <w:rPr>
          <w:rFonts w:ascii="Times New Roman" w:hAnsi="Times New Roman" w:cs="Times New Roman"/>
          <w:sz w:val="24"/>
          <w:szCs w:val="24"/>
        </w:rPr>
        <w:t>Sensitivity analysis of the association between SHR and 1-year mortality across different missing data handling strategies</w:t>
      </w:r>
    </w:p>
    <w:tbl>
      <w:tblPr>
        <w:tblStyle w:val="af2"/>
        <w:tblW w:w="10142" w:type="dxa"/>
        <w:jc w:val="center"/>
        <w:tblLook w:val="04A0" w:firstRow="1" w:lastRow="0" w:firstColumn="1" w:lastColumn="0" w:noHBand="0" w:noVBand="1"/>
      </w:tblPr>
      <w:tblGrid>
        <w:gridCol w:w="4823"/>
        <w:gridCol w:w="4330"/>
        <w:gridCol w:w="989"/>
      </w:tblGrid>
      <w:tr w:rsidR="00C1535F" w:rsidRPr="00490CAA" w14:paraId="5786A578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tcW w:w="0" w:type="auto"/>
          </w:tcPr>
          <w:p w14:paraId="207E8ED7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Imputation Strategy</w:t>
            </w:r>
          </w:p>
        </w:tc>
        <w:tc>
          <w:tcPr>
            <w:tcW w:w="0" w:type="auto"/>
          </w:tcPr>
          <w:p w14:paraId="323A7F1C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Hazard Ratio (95% CI) for SHR (per 1-SD)</w:t>
            </w:r>
          </w:p>
        </w:tc>
        <w:tc>
          <w:tcPr>
            <w:tcW w:w="0" w:type="auto"/>
          </w:tcPr>
          <w:p w14:paraId="092B2712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C1535F" w:rsidRPr="00490CAA" w14:paraId="4D8EFAB3" w14:textId="77777777" w:rsidTr="00C61481">
        <w:trPr>
          <w:trHeight w:val="133"/>
          <w:jc w:val="center"/>
        </w:trPr>
        <w:tc>
          <w:tcPr>
            <w:tcW w:w="0" w:type="auto"/>
          </w:tcPr>
          <w:p w14:paraId="6386D4D1" w14:textId="77777777" w:rsidR="00C1535F" w:rsidRPr="0069028E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69028E">
              <w:rPr>
                <w:rFonts w:ascii="Arial" w:eastAsia="宋体" w:hAnsi="Arial" w:cs="Arial"/>
                <w:sz w:val="18"/>
                <w:szCs w:val="18"/>
              </w:rPr>
              <w:t>Primary Analysis (</w:t>
            </w:r>
            <w:proofErr w:type="spellStart"/>
            <w:r w:rsidRPr="0069028E">
              <w:rPr>
                <w:rFonts w:ascii="Arial" w:eastAsia="宋体" w:hAnsi="Arial" w:cs="Arial"/>
                <w:sz w:val="18"/>
                <w:szCs w:val="18"/>
              </w:rPr>
              <w:t>missForest</w:t>
            </w:r>
            <w:proofErr w:type="spellEnd"/>
            <w:r w:rsidRPr="0069028E">
              <w:rPr>
                <w:rFonts w:ascii="Arial" w:eastAsia="宋体" w:hAnsi="Arial" w:cs="Arial"/>
                <w:sz w:val="18"/>
                <w:szCs w:val="18"/>
              </w:rPr>
              <w:t xml:space="preserve"> imputation)</w:t>
            </w:r>
          </w:p>
        </w:tc>
        <w:tc>
          <w:tcPr>
            <w:tcW w:w="0" w:type="auto"/>
          </w:tcPr>
          <w:p w14:paraId="469F492A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sz w:val="18"/>
                <w:szCs w:val="18"/>
              </w:rPr>
              <w:t>1.14 (1.03–1.26)</w:t>
            </w:r>
          </w:p>
        </w:tc>
        <w:tc>
          <w:tcPr>
            <w:tcW w:w="0" w:type="auto"/>
          </w:tcPr>
          <w:p w14:paraId="67C6B808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sz w:val="18"/>
                <w:szCs w:val="18"/>
              </w:rPr>
              <w:t>0.009</w:t>
            </w:r>
          </w:p>
        </w:tc>
      </w:tr>
      <w:tr w:rsidR="00C1535F" w:rsidRPr="00490CAA" w14:paraId="657C7236" w14:textId="77777777" w:rsidTr="00C61481">
        <w:trPr>
          <w:trHeight w:val="270"/>
          <w:jc w:val="center"/>
        </w:trPr>
        <w:tc>
          <w:tcPr>
            <w:tcW w:w="0" w:type="auto"/>
          </w:tcPr>
          <w:p w14:paraId="01347F2C" w14:textId="77777777" w:rsidR="00C1535F" w:rsidRPr="0069028E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69028E">
              <w:rPr>
                <w:rFonts w:ascii="Arial" w:eastAsia="宋体" w:hAnsi="Arial" w:cs="Arial"/>
                <w:sz w:val="18"/>
                <w:szCs w:val="18"/>
              </w:rPr>
              <w:t>Sensitivity Analysis 1: Complete-Case Analysis</w:t>
            </w:r>
          </w:p>
        </w:tc>
        <w:tc>
          <w:tcPr>
            <w:tcW w:w="0" w:type="auto"/>
          </w:tcPr>
          <w:p w14:paraId="55FF5BCD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sz w:val="18"/>
                <w:szCs w:val="18"/>
              </w:rPr>
              <w:t>1.17 (1.05–1.29)</w:t>
            </w:r>
          </w:p>
        </w:tc>
        <w:tc>
          <w:tcPr>
            <w:tcW w:w="0" w:type="auto"/>
          </w:tcPr>
          <w:p w14:paraId="4071B6BE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sz w:val="18"/>
                <w:szCs w:val="18"/>
              </w:rPr>
              <w:t>0.003</w:t>
            </w:r>
          </w:p>
        </w:tc>
      </w:tr>
      <w:tr w:rsidR="00C1535F" w:rsidRPr="00490CAA" w14:paraId="45C762A3" w14:textId="77777777" w:rsidTr="00C61481">
        <w:trPr>
          <w:trHeight w:val="270"/>
          <w:jc w:val="center"/>
        </w:trPr>
        <w:tc>
          <w:tcPr>
            <w:tcW w:w="0" w:type="auto"/>
          </w:tcPr>
          <w:p w14:paraId="72365DA0" w14:textId="77777777" w:rsidR="00C1535F" w:rsidRPr="0069028E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69028E">
              <w:rPr>
                <w:rFonts w:ascii="Arial" w:eastAsia="宋体" w:hAnsi="Arial" w:cs="Arial"/>
                <w:sz w:val="18"/>
                <w:szCs w:val="18"/>
              </w:rPr>
              <w:t>Sensitivity Analysis 2: Multiple Imputation (MICE)</w:t>
            </w:r>
          </w:p>
        </w:tc>
        <w:tc>
          <w:tcPr>
            <w:tcW w:w="0" w:type="auto"/>
          </w:tcPr>
          <w:p w14:paraId="2AB2C56D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sz w:val="18"/>
                <w:szCs w:val="18"/>
              </w:rPr>
              <w:t>1.14 (1.03–1.26)</w:t>
            </w:r>
          </w:p>
        </w:tc>
        <w:tc>
          <w:tcPr>
            <w:tcW w:w="0" w:type="auto"/>
          </w:tcPr>
          <w:p w14:paraId="274CBBA5" w14:textId="77777777" w:rsidR="00C1535F" w:rsidRPr="00FD1266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D1266">
              <w:rPr>
                <w:rFonts w:ascii="Arial" w:eastAsia="宋体" w:hAnsi="Arial" w:cs="Arial"/>
                <w:sz w:val="18"/>
                <w:szCs w:val="18"/>
              </w:rPr>
              <w:t>0.009</w:t>
            </w:r>
          </w:p>
        </w:tc>
      </w:tr>
    </w:tbl>
    <w:p w14:paraId="0D1FDBD0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Hazard ratios were derived from the fully adjusted Cox model (Model 3).</w:t>
      </w:r>
    </w:p>
    <w:p w14:paraId="1A4070D0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Abbreviations: SHR, stress hyperglycemia ratio; SD, standard deviation; CI, confidence interval; MICE, multivariate imputation by chained equations.</w:t>
      </w:r>
    </w:p>
    <w:p w14:paraId="3534A285" w14:textId="77777777" w:rsidR="00C1535F" w:rsidRPr="00FD1266" w:rsidRDefault="00C1535F" w:rsidP="00C1535F">
      <w:pPr>
        <w:contextualSpacing/>
        <w:rPr>
          <w:rFonts w:ascii="Times New Roman" w:hAnsi="Times New Roman" w:cs="Times New Roman"/>
          <w:szCs w:val="21"/>
        </w:rPr>
      </w:pPr>
    </w:p>
    <w:p w14:paraId="3F4BA2AE" w14:textId="77777777" w:rsidR="00C1535F" w:rsidRPr="00267ABD" w:rsidRDefault="00C1535F" w:rsidP="00C1535F">
      <w:pPr>
        <w:rPr>
          <w:rFonts w:ascii="Times New Roman" w:hAnsi="Times New Roman" w:cs="Times New Roman"/>
          <w:sz w:val="24"/>
          <w:szCs w:val="24"/>
        </w:rPr>
      </w:pPr>
      <w:r w:rsidRPr="00267ABD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Pr="00267ABD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67A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7ABD">
        <w:rPr>
          <w:rFonts w:ascii="Times New Roman" w:hAnsi="Times New Roman" w:cs="Times New Roman"/>
          <w:sz w:val="24"/>
          <w:szCs w:val="24"/>
        </w:rPr>
        <w:t>Baseline characteristics of included patients and those excluded due to missing HbA1c in the MIMIC-IV cohort</w:t>
      </w:r>
    </w:p>
    <w:tbl>
      <w:tblPr>
        <w:tblStyle w:val="af2"/>
        <w:tblW w:w="9584" w:type="dxa"/>
        <w:tblLook w:val="04A0" w:firstRow="1" w:lastRow="0" w:firstColumn="1" w:lastColumn="0" w:noHBand="0" w:noVBand="1"/>
      </w:tblPr>
      <w:tblGrid>
        <w:gridCol w:w="2646"/>
        <w:gridCol w:w="2351"/>
        <w:gridCol w:w="3740"/>
        <w:gridCol w:w="847"/>
      </w:tblGrid>
      <w:tr w:rsidR="00C1535F" w:rsidRPr="00C43669" w14:paraId="5B724861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tcW w:w="0" w:type="auto"/>
            <w:hideMark/>
          </w:tcPr>
          <w:p w14:paraId="53ACC94C" w14:textId="77777777" w:rsidR="00C1535F" w:rsidRPr="00C43669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C43669">
              <w:rPr>
                <w:rFonts w:ascii="Arial" w:hAnsi="Arial" w:cs="Arial"/>
                <w:b/>
                <w:bCs/>
                <w:sz w:val="18"/>
              </w:rPr>
              <w:t>Variables</w:t>
            </w:r>
          </w:p>
        </w:tc>
        <w:tc>
          <w:tcPr>
            <w:tcW w:w="0" w:type="auto"/>
            <w:hideMark/>
          </w:tcPr>
          <w:p w14:paraId="26B34B84" w14:textId="77777777" w:rsidR="00C1535F" w:rsidRPr="00C43669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C43669">
              <w:rPr>
                <w:rFonts w:ascii="Arial" w:hAnsi="Arial" w:cs="Arial"/>
                <w:b/>
                <w:bCs/>
                <w:sz w:val="18"/>
              </w:rPr>
              <w:t>Included cohort (n = 606)</w:t>
            </w:r>
          </w:p>
        </w:tc>
        <w:tc>
          <w:tcPr>
            <w:tcW w:w="0" w:type="auto"/>
            <w:hideMark/>
          </w:tcPr>
          <w:p w14:paraId="4764D7CD" w14:textId="77777777" w:rsidR="00C1535F" w:rsidRPr="00C43669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C43669">
              <w:rPr>
                <w:rFonts w:ascii="Arial" w:hAnsi="Arial" w:cs="Arial"/>
                <w:b/>
                <w:bCs/>
                <w:sz w:val="18"/>
              </w:rPr>
              <w:t>Excluded due to missing HbA1c (n = 904)</w:t>
            </w:r>
          </w:p>
        </w:tc>
        <w:tc>
          <w:tcPr>
            <w:tcW w:w="0" w:type="auto"/>
            <w:hideMark/>
          </w:tcPr>
          <w:p w14:paraId="02B7ACF1" w14:textId="77777777" w:rsidR="00C1535F" w:rsidRPr="00C43669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C43669">
              <w:rPr>
                <w:rFonts w:ascii="Arial" w:hAnsi="Arial" w:cs="Arial"/>
                <w:b/>
                <w:bCs/>
                <w:sz w:val="18"/>
              </w:rPr>
              <w:t>P value</w:t>
            </w:r>
          </w:p>
        </w:tc>
      </w:tr>
      <w:tr w:rsidR="00C1535F" w:rsidRPr="00C43669" w14:paraId="0443427C" w14:textId="77777777" w:rsidTr="00C61481">
        <w:trPr>
          <w:trHeight w:val="192"/>
        </w:trPr>
        <w:tc>
          <w:tcPr>
            <w:tcW w:w="0" w:type="auto"/>
            <w:hideMark/>
          </w:tcPr>
          <w:p w14:paraId="4A4F9F3C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Age, years</w:t>
            </w:r>
          </w:p>
        </w:tc>
        <w:tc>
          <w:tcPr>
            <w:tcW w:w="0" w:type="auto"/>
            <w:hideMark/>
          </w:tcPr>
          <w:p w14:paraId="6B9CA426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71.0 (63.0–78.0)</w:t>
            </w:r>
          </w:p>
        </w:tc>
        <w:tc>
          <w:tcPr>
            <w:tcW w:w="0" w:type="auto"/>
            <w:hideMark/>
          </w:tcPr>
          <w:p w14:paraId="73524076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77.0 (68.0–85.0)</w:t>
            </w:r>
          </w:p>
        </w:tc>
        <w:tc>
          <w:tcPr>
            <w:tcW w:w="0" w:type="auto"/>
            <w:hideMark/>
          </w:tcPr>
          <w:p w14:paraId="357FD60B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&lt;0.001</w:t>
            </w:r>
          </w:p>
        </w:tc>
      </w:tr>
      <w:tr w:rsidR="00C1535F" w:rsidRPr="00C43669" w14:paraId="173D9053" w14:textId="77777777" w:rsidTr="00C61481">
        <w:trPr>
          <w:trHeight w:val="187"/>
        </w:trPr>
        <w:tc>
          <w:tcPr>
            <w:tcW w:w="0" w:type="auto"/>
            <w:hideMark/>
          </w:tcPr>
          <w:p w14:paraId="235A4466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Male sex, n (%)</w:t>
            </w:r>
          </w:p>
        </w:tc>
        <w:tc>
          <w:tcPr>
            <w:tcW w:w="0" w:type="auto"/>
            <w:hideMark/>
          </w:tcPr>
          <w:p w14:paraId="58FEBD1E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431 (71.1)</w:t>
            </w:r>
          </w:p>
        </w:tc>
        <w:tc>
          <w:tcPr>
            <w:tcW w:w="0" w:type="auto"/>
            <w:hideMark/>
          </w:tcPr>
          <w:p w14:paraId="3FAA0D5A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572 (63.3)</w:t>
            </w:r>
          </w:p>
        </w:tc>
        <w:tc>
          <w:tcPr>
            <w:tcW w:w="0" w:type="auto"/>
            <w:hideMark/>
          </w:tcPr>
          <w:p w14:paraId="79CF0D49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0.002</w:t>
            </w:r>
          </w:p>
        </w:tc>
      </w:tr>
      <w:tr w:rsidR="00C1535F" w:rsidRPr="00C43669" w14:paraId="1F6957FE" w14:textId="77777777" w:rsidTr="00C61481">
        <w:trPr>
          <w:trHeight w:val="192"/>
        </w:trPr>
        <w:tc>
          <w:tcPr>
            <w:tcW w:w="0" w:type="auto"/>
            <w:hideMark/>
          </w:tcPr>
          <w:p w14:paraId="2FD67BB9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eGFR, mL/min/1.73 m²</w:t>
            </w:r>
          </w:p>
        </w:tc>
        <w:tc>
          <w:tcPr>
            <w:tcW w:w="0" w:type="auto"/>
            <w:hideMark/>
          </w:tcPr>
          <w:p w14:paraId="52552B31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30.0 (16.0–45.0)</w:t>
            </w:r>
          </w:p>
        </w:tc>
        <w:tc>
          <w:tcPr>
            <w:tcW w:w="0" w:type="auto"/>
            <w:hideMark/>
          </w:tcPr>
          <w:p w14:paraId="2866DF7A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20.7 (12.8–34.1)</w:t>
            </w:r>
          </w:p>
        </w:tc>
        <w:tc>
          <w:tcPr>
            <w:tcW w:w="0" w:type="auto"/>
            <w:hideMark/>
          </w:tcPr>
          <w:p w14:paraId="0D981BA6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&lt;0.001</w:t>
            </w:r>
          </w:p>
        </w:tc>
      </w:tr>
      <w:tr w:rsidR="00C1535F" w:rsidRPr="00C43669" w14:paraId="08E1A5A3" w14:textId="77777777" w:rsidTr="00C61481">
        <w:trPr>
          <w:trHeight w:val="382"/>
        </w:trPr>
        <w:tc>
          <w:tcPr>
            <w:tcW w:w="0" w:type="auto"/>
            <w:hideMark/>
          </w:tcPr>
          <w:p w14:paraId="276176F4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Congestive heart failure, n (%)</w:t>
            </w:r>
          </w:p>
        </w:tc>
        <w:tc>
          <w:tcPr>
            <w:tcW w:w="0" w:type="auto"/>
            <w:hideMark/>
          </w:tcPr>
          <w:p w14:paraId="611D33A6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419 (69.1)</w:t>
            </w:r>
          </w:p>
        </w:tc>
        <w:tc>
          <w:tcPr>
            <w:tcW w:w="0" w:type="auto"/>
            <w:hideMark/>
          </w:tcPr>
          <w:p w14:paraId="38534C4F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677 (74.9)</w:t>
            </w:r>
          </w:p>
        </w:tc>
        <w:tc>
          <w:tcPr>
            <w:tcW w:w="0" w:type="auto"/>
            <w:hideMark/>
          </w:tcPr>
          <w:p w14:paraId="6EA346D7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0.016</w:t>
            </w:r>
          </w:p>
        </w:tc>
      </w:tr>
      <w:tr w:rsidR="00C1535F" w:rsidRPr="00C43669" w14:paraId="66C044B8" w14:textId="77777777" w:rsidTr="00C61481">
        <w:trPr>
          <w:trHeight w:val="192"/>
        </w:trPr>
        <w:tc>
          <w:tcPr>
            <w:tcW w:w="0" w:type="auto"/>
            <w:hideMark/>
          </w:tcPr>
          <w:p w14:paraId="539C17AF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Diabetes mellitus, n (%)</w:t>
            </w:r>
          </w:p>
        </w:tc>
        <w:tc>
          <w:tcPr>
            <w:tcW w:w="0" w:type="auto"/>
            <w:hideMark/>
          </w:tcPr>
          <w:p w14:paraId="26457AA1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401 (66.2)</w:t>
            </w:r>
          </w:p>
        </w:tc>
        <w:tc>
          <w:tcPr>
            <w:tcW w:w="0" w:type="auto"/>
            <w:hideMark/>
          </w:tcPr>
          <w:p w14:paraId="527E3519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532 (58.8)</w:t>
            </w:r>
          </w:p>
        </w:tc>
        <w:tc>
          <w:tcPr>
            <w:tcW w:w="0" w:type="auto"/>
            <w:hideMark/>
          </w:tcPr>
          <w:p w14:paraId="4EC7EC47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0.004</w:t>
            </w:r>
          </w:p>
        </w:tc>
      </w:tr>
      <w:tr w:rsidR="00C1535F" w:rsidRPr="00C43669" w14:paraId="3F256007" w14:textId="77777777" w:rsidTr="00C61481">
        <w:trPr>
          <w:trHeight w:val="187"/>
        </w:trPr>
        <w:tc>
          <w:tcPr>
            <w:tcW w:w="0" w:type="auto"/>
            <w:hideMark/>
          </w:tcPr>
          <w:p w14:paraId="79193A61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1-year mortality, n (%)</w:t>
            </w:r>
          </w:p>
        </w:tc>
        <w:tc>
          <w:tcPr>
            <w:tcW w:w="0" w:type="auto"/>
            <w:hideMark/>
          </w:tcPr>
          <w:p w14:paraId="57E19EE3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325 (53.6)</w:t>
            </w:r>
          </w:p>
        </w:tc>
        <w:tc>
          <w:tcPr>
            <w:tcW w:w="0" w:type="auto"/>
            <w:hideMark/>
          </w:tcPr>
          <w:p w14:paraId="059949DA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496 (54.9)</w:t>
            </w:r>
          </w:p>
        </w:tc>
        <w:tc>
          <w:tcPr>
            <w:tcW w:w="0" w:type="auto"/>
            <w:hideMark/>
          </w:tcPr>
          <w:p w14:paraId="64B2EC70" w14:textId="77777777" w:rsidR="00C1535F" w:rsidRPr="00C43669" w:rsidRDefault="00C1535F" w:rsidP="00C61481">
            <w:pPr>
              <w:rPr>
                <w:rFonts w:ascii="Arial" w:hAnsi="Arial" w:cs="Arial"/>
                <w:sz w:val="18"/>
              </w:rPr>
            </w:pPr>
            <w:r w:rsidRPr="00C43669">
              <w:rPr>
                <w:rFonts w:ascii="Arial" w:hAnsi="Arial" w:cs="Arial"/>
                <w:sz w:val="18"/>
              </w:rPr>
              <w:t>0.673</w:t>
            </w:r>
          </w:p>
        </w:tc>
      </w:tr>
    </w:tbl>
    <w:p w14:paraId="17E1B022" w14:textId="77777777" w:rsidR="00C1535F" w:rsidRDefault="00C1535F" w:rsidP="00C1535F">
      <w:pPr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 xml:space="preserve">Data are presented as median (interquartile range) or n (%). Group comparisons were performed using appropriate statistical tests. </w:t>
      </w:r>
    </w:p>
    <w:p w14:paraId="482EB5AF" w14:textId="77777777" w:rsidR="00C1535F" w:rsidRPr="00C43669" w:rsidRDefault="00C1535F" w:rsidP="00C1535F">
      <w:pPr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Abbreviations: HbA1c, glycated hemoglobin; eGFR, estimated glomerular filtration rate.</w:t>
      </w:r>
    </w:p>
    <w:p w14:paraId="42FCD04B" w14:textId="77777777" w:rsidR="00C1535F" w:rsidRDefault="00C1535F" w:rsidP="00C1535F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7CF9F4A" w14:textId="77777777" w:rsidR="00C1535F" w:rsidRPr="00E23A12" w:rsidRDefault="00C1535F" w:rsidP="00C1535F">
      <w:pPr>
        <w:rPr>
          <w:rFonts w:ascii="Times New Roman" w:eastAsia="宋体" w:hAnsi="Times New Roman" w:cs="Times New Roman"/>
          <w:sz w:val="24"/>
          <w:szCs w:val="24"/>
        </w:rPr>
      </w:pPr>
      <w:r w:rsidRPr="00E23A12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Pr="00E23A12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E23A12">
        <w:rPr>
          <w:rFonts w:ascii="Times New Roman" w:eastAsia="宋体" w:hAnsi="Times New Roman" w:cs="Times New Roman"/>
          <w:sz w:val="24"/>
          <w:szCs w:val="24"/>
        </w:rPr>
        <w:t xml:space="preserve"> Proportional hazards (PH) assumption diagnostics for covariates in the multivariable Cox regression model (Model 3)</w:t>
      </w:r>
    </w:p>
    <w:tbl>
      <w:tblPr>
        <w:tblStyle w:val="af2"/>
        <w:tblW w:w="5573" w:type="dxa"/>
        <w:jc w:val="center"/>
        <w:tblLook w:val="04A0" w:firstRow="1" w:lastRow="0" w:firstColumn="1" w:lastColumn="0" w:noHBand="0" w:noVBand="1"/>
      </w:tblPr>
      <w:tblGrid>
        <w:gridCol w:w="2586"/>
        <w:gridCol w:w="1630"/>
        <w:gridCol w:w="444"/>
        <w:gridCol w:w="913"/>
      </w:tblGrid>
      <w:tr w:rsidR="00C1535F" w:rsidRPr="00E23A12" w14:paraId="7995B3DC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  <w:jc w:val="center"/>
        </w:trPr>
        <w:tc>
          <w:tcPr>
            <w:tcW w:w="0" w:type="auto"/>
          </w:tcPr>
          <w:p w14:paraId="731ED61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0" w:type="auto"/>
          </w:tcPr>
          <w:p w14:paraId="0108F6A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χ2 (Chi-square)</w:t>
            </w:r>
          </w:p>
        </w:tc>
        <w:tc>
          <w:tcPr>
            <w:tcW w:w="0" w:type="auto"/>
          </w:tcPr>
          <w:p w14:paraId="4FEBD9C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0" w:type="auto"/>
          </w:tcPr>
          <w:p w14:paraId="260DC6F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/>
                <w:bCs/>
                <w:sz w:val="18"/>
                <w:szCs w:val="18"/>
              </w:rPr>
              <w:t>P</w:t>
            </w: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-value</w:t>
            </w:r>
          </w:p>
        </w:tc>
      </w:tr>
      <w:tr w:rsidR="00C1535F" w:rsidRPr="00E23A12" w14:paraId="5116BB85" w14:textId="77777777" w:rsidTr="00C61481">
        <w:trPr>
          <w:trHeight w:val="314"/>
          <w:jc w:val="center"/>
        </w:trPr>
        <w:tc>
          <w:tcPr>
            <w:tcW w:w="0" w:type="auto"/>
          </w:tcPr>
          <w:p w14:paraId="7F21F47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SHR (per 1-SD increase)</w:t>
            </w:r>
          </w:p>
        </w:tc>
        <w:tc>
          <w:tcPr>
            <w:tcW w:w="0" w:type="auto"/>
          </w:tcPr>
          <w:p w14:paraId="54AD12B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7.26</w:t>
            </w:r>
          </w:p>
        </w:tc>
        <w:tc>
          <w:tcPr>
            <w:tcW w:w="0" w:type="auto"/>
          </w:tcPr>
          <w:p w14:paraId="0EB4A07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27D043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0.007</w:t>
            </w:r>
          </w:p>
        </w:tc>
      </w:tr>
      <w:tr w:rsidR="00C1535F" w:rsidRPr="00E23A12" w14:paraId="4D5A7867" w14:textId="77777777" w:rsidTr="00C61481">
        <w:trPr>
          <w:trHeight w:val="307"/>
          <w:jc w:val="center"/>
        </w:trPr>
        <w:tc>
          <w:tcPr>
            <w:tcW w:w="0" w:type="auto"/>
          </w:tcPr>
          <w:p w14:paraId="7024B07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Age</w:t>
            </w:r>
          </w:p>
        </w:tc>
        <w:tc>
          <w:tcPr>
            <w:tcW w:w="0" w:type="auto"/>
          </w:tcPr>
          <w:p w14:paraId="4A9376B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14.10</w:t>
            </w:r>
          </w:p>
        </w:tc>
        <w:tc>
          <w:tcPr>
            <w:tcW w:w="0" w:type="auto"/>
          </w:tcPr>
          <w:p w14:paraId="163E131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66F0D3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&lt;0.001</w:t>
            </w:r>
          </w:p>
        </w:tc>
      </w:tr>
      <w:tr w:rsidR="00C1535F" w:rsidRPr="00E23A12" w14:paraId="352919D2" w14:textId="77777777" w:rsidTr="00C61481">
        <w:trPr>
          <w:trHeight w:val="314"/>
          <w:jc w:val="center"/>
        </w:trPr>
        <w:tc>
          <w:tcPr>
            <w:tcW w:w="0" w:type="auto"/>
          </w:tcPr>
          <w:p w14:paraId="22C9F29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Sex</w:t>
            </w:r>
          </w:p>
        </w:tc>
        <w:tc>
          <w:tcPr>
            <w:tcW w:w="0" w:type="auto"/>
          </w:tcPr>
          <w:p w14:paraId="386B74C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14:paraId="0D6BB07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75C90B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0.721</w:t>
            </w:r>
          </w:p>
        </w:tc>
      </w:tr>
      <w:tr w:rsidR="00C1535F" w:rsidRPr="00E23A12" w14:paraId="425DB276" w14:textId="77777777" w:rsidTr="00C61481">
        <w:trPr>
          <w:trHeight w:val="307"/>
          <w:jc w:val="center"/>
        </w:trPr>
        <w:tc>
          <w:tcPr>
            <w:tcW w:w="0" w:type="auto"/>
          </w:tcPr>
          <w:p w14:paraId="04D056A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BMI</w:t>
            </w:r>
          </w:p>
        </w:tc>
        <w:tc>
          <w:tcPr>
            <w:tcW w:w="0" w:type="auto"/>
          </w:tcPr>
          <w:p w14:paraId="4798CB1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14:paraId="4BB4E2D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56F1AA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0.519</w:t>
            </w:r>
          </w:p>
        </w:tc>
      </w:tr>
      <w:tr w:rsidR="00C1535F" w:rsidRPr="00E23A12" w14:paraId="1B046692" w14:textId="77777777" w:rsidTr="00C61481">
        <w:trPr>
          <w:trHeight w:val="314"/>
          <w:jc w:val="center"/>
        </w:trPr>
        <w:tc>
          <w:tcPr>
            <w:tcW w:w="0" w:type="auto"/>
          </w:tcPr>
          <w:p w14:paraId="1F942B3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Type of AMI</w:t>
            </w:r>
          </w:p>
        </w:tc>
        <w:tc>
          <w:tcPr>
            <w:tcW w:w="0" w:type="auto"/>
          </w:tcPr>
          <w:p w14:paraId="124AA85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4.16</w:t>
            </w:r>
          </w:p>
        </w:tc>
        <w:tc>
          <w:tcPr>
            <w:tcW w:w="0" w:type="auto"/>
          </w:tcPr>
          <w:p w14:paraId="5529A0E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90F4CD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0.041</w:t>
            </w:r>
          </w:p>
        </w:tc>
      </w:tr>
      <w:tr w:rsidR="00C1535F" w:rsidRPr="00E23A12" w14:paraId="1841AF84" w14:textId="77777777" w:rsidTr="00C61481">
        <w:trPr>
          <w:trHeight w:val="314"/>
          <w:jc w:val="center"/>
        </w:trPr>
        <w:tc>
          <w:tcPr>
            <w:tcW w:w="0" w:type="auto"/>
          </w:tcPr>
          <w:p w14:paraId="12DFAFE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lastRenderedPageBreak/>
              <w:t>Hypertension</w:t>
            </w:r>
          </w:p>
        </w:tc>
        <w:tc>
          <w:tcPr>
            <w:tcW w:w="0" w:type="auto"/>
          </w:tcPr>
          <w:p w14:paraId="2A6CFC7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0.001</w:t>
            </w:r>
          </w:p>
        </w:tc>
        <w:tc>
          <w:tcPr>
            <w:tcW w:w="0" w:type="auto"/>
          </w:tcPr>
          <w:p w14:paraId="321EA4F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CAA9C7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0.980</w:t>
            </w:r>
          </w:p>
        </w:tc>
      </w:tr>
      <w:tr w:rsidR="00C1535F" w:rsidRPr="00E23A12" w14:paraId="032B083B" w14:textId="77777777" w:rsidTr="00C61481">
        <w:trPr>
          <w:trHeight w:val="307"/>
          <w:jc w:val="center"/>
        </w:trPr>
        <w:tc>
          <w:tcPr>
            <w:tcW w:w="0" w:type="auto"/>
          </w:tcPr>
          <w:p w14:paraId="2AF7217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Congestive heart failure</w:t>
            </w:r>
          </w:p>
        </w:tc>
        <w:tc>
          <w:tcPr>
            <w:tcW w:w="0" w:type="auto"/>
          </w:tcPr>
          <w:p w14:paraId="65CB82C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5.92</w:t>
            </w:r>
          </w:p>
        </w:tc>
        <w:tc>
          <w:tcPr>
            <w:tcW w:w="0" w:type="auto"/>
          </w:tcPr>
          <w:p w14:paraId="4B65277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2A80741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0.015</w:t>
            </w:r>
          </w:p>
        </w:tc>
      </w:tr>
      <w:tr w:rsidR="00C1535F" w:rsidRPr="00E23A12" w14:paraId="5442C6AC" w14:textId="77777777" w:rsidTr="00C61481">
        <w:trPr>
          <w:trHeight w:val="314"/>
          <w:jc w:val="center"/>
        </w:trPr>
        <w:tc>
          <w:tcPr>
            <w:tcW w:w="0" w:type="auto"/>
          </w:tcPr>
          <w:p w14:paraId="24E77B1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Atrial fibrillation</w:t>
            </w:r>
          </w:p>
        </w:tc>
        <w:tc>
          <w:tcPr>
            <w:tcW w:w="0" w:type="auto"/>
          </w:tcPr>
          <w:p w14:paraId="5F698F3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1.61</w:t>
            </w:r>
          </w:p>
        </w:tc>
        <w:tc>
          <w:tcPr>
            <w:tcW w:w="0" w:type="auto"/>
          </w:tcPr>
          <w:p w14:paraId="6FA82B3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18DB41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0.204</w:t>
            </w:r>
          </w:p>
        </w:tc>
      </w:tr>
      <w:tr w:rsidR="00C1535F" w:rsidRPr="00E23A12" w14:paraId="2450333A" w14:textId="77777777" w:rsidTr="00C61481">
        <w:trPr>
          <w:trHeight w:val="307"/>
          <w:jc w:val="center"/>
        </w:trPr>
        <w:tc>
          <w:tcPr>
            <w:tcW w:w="0" w:type="auto"/>
          </w:tcPr>
          <w:p w14:paraId="20CC990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Peripheral vascular disease</w:t>
            </w:r>
          </w:p>
        </w:tc>
        <w:tc>
          <w:tcPr>
            <w:tcW w:w="0" w:type="auto"/>
          </w:tcPr>
          <w:p w14:paraId="6417E55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03C5B96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366A83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0.857</w:t>
            </w:r>
          </w:p>
        </w:tc>
      </w:tr>
      <w:tr w:rsidR="00C1535F" w:rsidRPr="00E23A12" w14:paraId="05195331" w14:textId="77777777" w:rsidTr="00C61481">
        <w:trPr>
          <w:trHeight w:val="314"/>
          <w:jc w:val="center"/>
        </w:trPr>
        <w:tc>
          <w:tcPr>
            <w:tcW w:w="0" w:type="auto"/>
          </w:tcPr>
          <w:p w14:paraId="33CA0B7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Cerebrovascular disease</w:t>
            </w:r>
          </w:p>
        </w:tc>
        <w:tc>
          <w:tcPr>
            <w:tcW w:w="0" w:type="auto"/>
          </w:tcPr>
          <w:p w14:paraId="6926B47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3.99</w:t>
            </w:r>
          </w:p>
        </w:tc>
        <w:tc>
          <w:tcPr>
            <w:tcW w:w="0" w:type="auto"/>
          </w:tcPr>
          <w:p w14:paraId="0CE50F3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A85ABB6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0.046</w:t>
            </w:r>
          </w:p>
        </w:tc>
      </w:tr>
      <w:tr w:rsidR="00C1535F" w:rsidRPr="00E23A12" w14:paraId="7B57BA8F" w14:textId="77777777" w:rsidTr="00C61481">
        <w:trPr>
          <w:trHeight w:val="314"/>
          <w:jc w:val="center"/>
        </w:trPr>
        <w:tc>
          <w:tcPr>
            <w:tcW w:w="0" w:type="auto"/>
          </w:tcPr>
          <w:p w14:paraId="37992BC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Diabetes mellitus</w:t>
            </w:r>
          </w:p>
        </w:tc>
        <w:tc>
          <w:tcPr>
            <w:tcW w:w="0" w:type="auto"/>
          </w:tcPr>
          <w:p w14:paraId="0A308AB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5.16</w:t>
            </w:r>
          </w:p>
        </w:tc>
        <w:tc>
          <w:tcPr>
            <w:tcW w:w="0" w:type="auto"/>
          </w:tcPr>
          <w:p w14:paraId="0346752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1086D5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0.023</w:t>
            </w:r>
          </w:p>
        </w:tc>
      </w:tr>
      <w:tr w:rsidR="00C1535F" w:rsidRPr="00E23A12" w14:paraId="2F24BC82" w14:textId="77777777" w:rsidTr="00C61481">
        <w:trPr>
          <w:trHeight w:val="307"/>
          <w:jc w:val="center"/>
        </w:trPr>
        <w:tc>
          <w:tcPr>
            <w:tcW w:w="0" w:type="auto"/>
          </w:tcPr>
          <w:p w14:paraId="6F9CFEE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eGFR</w:t>
            </w:r>
          </w:p>
        </w:tc>
        <w:tc>
          <w:tcPr>
            <w:tcW w:w="0" w:type="auto"/>
          </w:tcPr>
          <w:p w14:paraId="74EACC2F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1.14</w:t>
            </w:r>
          </w:p>
        </w:tc>
        <w:tc>
          <w:tcPr>
            <w:tcW w:w="0" w:type="auto"/>
          </w:tcPr>
          <w:p w14:paraId="6EA82E2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50014A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0.285</w:t>
            </w:r>
          </w:p>
        </w:tc>
      </w:tr>
      <w:tr w:rsidR="00C1535F" w:rsidRPr="00E23A12" w14:paraId="11777738" w14:textId="77777777" w:rsidTr="00C61481">
        <w:trPr>
          <w:trHeight w:val="314"/>
          <w:jc w:val="center"/>
        </w:trPr>
        <w:tc>
          <w:tcPr>
            <w:tcW w:w="0" w:type="auto"/>
          </w:tcPr>
          <w:p w14:paraId="2F60946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GLOBAL TEST</w:t>
            </w:r>
          </w:p>
        </w:tc>
        <w:tc>
          <w:tcPr>
            <w:tcW w:w="0" w:type="auto"/>
          </w:tcPr>
          <w:p w14:paraId="272A10B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51.00</w:t>
            </w:r>
          </w:p>
        </w:tc>
        <w:tc>
          <w:tcPr>
            <w:tcW w:w="0" w:type="auto"/>
          </w:tcPr>
          <w:p w14:paraId="13CFA8B4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2087B6A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&lt;0.001</w:t>
            </w:r>
          </w:p>
        </w:tc>
      </w:tr>
    </w:tbl>
    <w:p w14:paraId="2F25628E" w14:textId="77777777" w:rsidR="00C1535F" w:rsidRDefault="00C1535F" w:rsidP="00C1535F">
      <w:pPr>
        <w:rPr>
          <w:rFonts w:ascii="Times New Roman" w:eastAsia="宋体" w:hAnsi="Times New Roman" w:cs="Times New Roman"/>
        </w:rPr>
      </w:pPr>
      <w:r w:rsidRPr="00BB77C1">
        <w:rPr>
          <w:rFonts w:ascii="Times New Roman" w:eastAsia="宋体" w:hAnsi="Times New Roman" w:cs="Times New Roman"/>
        </w:rPr>
        <w:t>Proportional hazards assumption was assessed using Schoenfeld residuals; P &lt; 0.05 indicates violation.</w:t>
      </w:r>
    </w:p>
    <w:p w14:paraId="4842B8CD" w14:textId="77777777" w:rsidR="00C1535F" w:rsidRPr="00E23A12" w:rsidRDefault="00C1535F" w:rsidP="00C1535F">
      <w:pPr>
        <w:rPr>
          <w:rFonts w:ascii="Times New Roman" w:eastAsia="宋体" w:hAnsi="Times New Roman" w:cs="Times New Roman"/>
        </w:rPr>
      </w:pPr>
      <w:r w:rsidRPr="00BB77C1">
        <w:rPr>
          <w:rFonts w:ascii="Times New Roman" w:eastAsia="宋体" w:hAnsi="Times New Roman" w:cs="Times New Roman"/>
        </w:rPr>
        <w:t>Abbreviations: SHR, stress hyperglycemia ratio; SD, standard deviation; BMI, body mass index; eGFR, estimated glomerular filtration rate; AMI, acute myocardial infarction.</w:t>
      </w:r>
    </w:p>
    <w:p w14:paraId="42B87ACC" w14:textId="77777777" w:rsidR="00C1535F" w:rsidRDefault="00C1535F" w:rsidP="00C1535F">
      <w:pPr>
        <w:rPr>
          <w:rFonts w:ascii="Times New Roman" w:eastAsia="宋体" w:hAnsi="Times New Roman" w:cs="Times New Roman"/>
        </w:rPr>
      </w:pPr>
    </w:p>
    <w:p w14:paraId="3A4BB449" w14:textId="77777777" w:rsidR="00C1535F" w:rsidRPr="00B62068" w:rsidRDefault="00C1535F" w:rsidP="00C1535F">
      <w:pPr>
        <w:rPr>
          <w:rFonts w:ascii="Times New Roman" w:eastAsia="宋体" w:hAnsi="Times New Roman" w:cs="Times New Roman"/>
        </w:rPr>
      </w:pPr>
      <w:r w:rsidRPr="0098403E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98403E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98403E">
        <w:rPr>
          <w:rFonts w:ascii="Times New Roman" w:eastAsia="宋体" w:hAnsi="Times New Roman" w:cs="Times New Roman"/>
          <w:sz w:val="24"/>
          <w:szCs w:val="24"/>
        </w:rPr>
        <w:t>Time-varying sensitivity analysis of the association between SHR and 1-year mortality using a 90-day time-split Cox model</w:t>
      </w:r>
    </w:p>
    <w:tbl>
      <w:tblPr>
        <w:tblStyle w:val="af2"/>
        <w:tblW w:w="9483" w:type="dxa"/>
        <w:jc w:val="center"/>
        <w:tblLook w:val="04A0" w:firstRow="1" w:lastRow="0" w:firstColumn="1" w:lastColumn="0" w:noHBand="0" w:noVBand="1"/>
      </w:tblPr>
      <w:tblGrid>
        <w:gridCol w:w="3142"/>
        <w:gridCol w:w="2260"/>
        <w:gridCol w:w="2972"/>
        <w:gridCol w:w="1109"/>
      </w:tblGrid>
      <w:tr w:rsidR="00C1535F" w:rsidRPr="00E23A12" w14:paraId="479E6BFC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jc w:val="center"/>
        </w:trPr>
        <w:tc>
          <w:tcPr>
            <w:tcW w:w="0" w:type="auto"/>
          </w:tcPr>
          <w:p w14:paraId="055015A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0" w:type="auto"/>
          </w:tcPr>
          <w:p w14:paraId="6C5ABBC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Hazard Ratio (HR)</w:t>
            </w:r>
          </w:p>
        </w:tc>
        <w:tc>
          <w:tcPr>
            <w:tcW w:w="0" w:type="auto"/>
          </w:tcPr>
          <w:p w14:paraId="6FE25F3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95% Confidence Interval</w:t>
            </w:r>
          </w:p>
        </w:tc>
        <w:tc>
          <w:tcPr>
            <w:tcW w:w="0" w:type="auto"/>
          </w:tcPr>
          <w:p w14:paraId="5A6AA08F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/>
                <w:bCs/>
                <w:sz w:val="18"/>
                <w:szCs w:val="18"/>
              </w:rPr>
              <w:t>P</w:t>
            </w:r>
            <w:r w:rsidRPr="00E23A12">
              <w:rPr>
                <w:rFonts w:ascii="Arial" w:eastAsia="宋体" w:hAnsi="Arial" w:cs="Arial"/>
                <w:b/>
                <w:bCs/>
                <w:sz w:val="18"/>
                <w:szCs w:val="18"/>
              </w:rPr>
              <w:t>-value</w:t>
            </w:r>
          </w:p>
        </w:tc>
      </w:tr>
      <w:tr w:rsidR="00C1535F" w:rsidRPr="00E23A12" w14:paraId="2AE505C6" w14:textId="77777777" w:rsidTr="00C61481">
        <w:trPr>
          <w:trHeight w:val="115"/>
          <w:jc w:val="center"/>
        </w:trPr>
        <w:tc>
          <w:tcPr>
            <w:tcW w:w="0" w:type="auto"/>
          </w:tcPr>
          <w:p w14:paraId="23A17AD1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SHR (per 1-SD increase)</w:t>
            </w:r>
          </w:p>
        </w:tc>
        <w:tc>
          <w:tcPr>
            <w:tcW w:w="0" w:type="auto"/>
          </w:tcPr>
          <w:p w14:paraId="04F1565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98A9DE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5D86D4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C1535F" w:rsidRPr="00E23A12" w14:paraId="324C132F" w14:textId="77777777" w:rsidTr="00C61481">
        <w:trPr>
          <w:trHeight w:val="113"/>
          <w:jc w:val="center"/>
        </w:trPr>
        <w:tc>
          <w:tcPr>
            <w:tcW w:w="0" w:type="auto"/>
          </w:tcPr>
          <w:p w14:paraId="2F1B53A0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&lt; 90 Days</w:t>
            </w:r>
          </w:p>
        </w:tc>
        <w:tc>
          <w:tcPr>
            <w:tcW w:w="0" w:type="auto"/>
          </w:tcPr>
          <w:p w14:paraId="4663DAAB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1.32</w:t>
            </w:r>
          </w:p>
        </w:tc>
        <w:tc>
          <w:tcPr>
            <w:tcW w:w="0" w:type="auto"/>
          </w:tcPr>
          <w:p w14:paraId="7FC8BF2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1.16–1.51</w:t>
            </w:r>
          </w:p>
        </w:tc>
        <w:tc>
          <w:tcPr>
            <w:tcW w:w="0" w:type="auto"/>
          </w:tcPr>
          <w:p w14:paraId="5359ACEE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&lt;0.001</w:t>
            </w:r>
          </w:p>
        </w:tc>
      </w:tr>
      <w:tr w:rsidR="00C1535F" w:rsidRPr="00E23A12" w14:paraId="43F0A4B7" w14:textId="77777777" w:rsidTr="00C61481">
        <w:trPr>
          <w:trHeight w:val="115"/>
          <w:jc w:val="center"/>
        </w:trPr>
        <w:tc>
          <w:tcPr>
            <w:tcW w:w="0" w:type="auto"/>
          </w:tcPr>
          <w:p w14:paraId="2B88BB0E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&gt; 90 Days</w:t>
            </w:r>
          </w:p>
        </w:tc>
        <w:tc>
          <w:tcPr>
            <w:tcW w:w="0" w:type="auto"/>
          </w:tcPr>
          <w:p w14:paraId="377CDEC7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1.06</w:t>
            </w:r>
          </w:p>
        </w:tc>
        <w:tc>
          <w:tcPr>
            <w:tcW w:w="0" w:type="auto"/>
          </w:tcPr>
          <w:p w14:paraId="4C7B583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0.92–1.22</w:t>
            </w:r>
          </w:p>
        </w:tc>
        <w:tc>
          <w:tcPr>
            <w:tcW w:w="0" w:type="auto"/>
          </w:tcPr>
          <w:p w14:paraId="32F3898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0.407</w:t>
            </w:r>
          </w:p>
        </w:tc>
      </w:tr>
      <w:tr w:rsidR="00C1535F" w:rsidRPr="00E23A12" w14:paraId="74CE9743" w14:textId="77777777" w:rsidTr="00C61481">
        <w:trPr>
          <w:trHeight w:val="115"/>
          <w:jc w:val="center"/>
        </w:trPr>
        <w:tc>
          <w:tcPr>
            <w:tcW w:w="0" w:type="auto"/>
          </w:tcPr>
          <w:p w14:paraId="01EBC6B1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Age</w:t>
            </w:r>
          </w:p>
        </w:tc>
        <w:tc>
          <w:tcPr>
            <w:tcW w:w="0" w:type="auto"/>
          </w:tcPr>
          <w:p w14:paraId="4D322F5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1.01</w:t>
            </w:r>
          </w:p>
        </w:tc>
        <w:tc>
          <w:tcPr>
            <w:tcW w:w="0" w:type="auto"/>
          </w:tcPr>
          <w:p w14:paraId="194F21E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1.00–1.02</w:t>
            </w:r>
          </w:p>
        </w:tc>
        <w:tc>
          <w:tcPr>
            <w:tcW w:w="0" w:type="auto"/>
          </w:tcPr>
          <w:p w14:paraId="0BD4911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0.121</w:t>
            </w:r>
          </w:p>
        </w:tc>
      </w:tr>
      <w:tr w:rsidR="00C1535F" w:rsidRPr="00E23A12" w14:paraId="732A19C7" w14:textId="77777777" w:rsidTr="00C61481">
        <w:trPr>
          <w:trHeight w:val="229"/>
          <w:jc w:val="center"/>
        </w:trPr>
        <w:tc>
          <w:tcPr>
            <w:tcW w:w="0" w:type="auto"/>
          </w:tcPr>
          <w:p w14:paraId="348DCDDE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Sex (Female vs. Male)</w:t>
            </w:r>
          </w:p>
        </w:tc>
        <w:tc>
          <w:tcPr>
            <w:tcW w:w="0" w:type="auto"/>
          </w:tcPr>
          <w:p w14:paraId="3F1F801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14:paraId="3682906F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0.67–1.09</w:t>
            </w:r>
          </w:p>
        </w:tc>
        <w:tc>
          <w:tcPr>
            <w:tcW w:w="0" w:type="auto"/>
          </w:tcPr>
          <w:p w14:paraId="49EBB92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0.201</w:t>
            </w:r>
          </w:p>
        </w:tc>
      </w:tr>
      <w:tr w:rsidR="00C1535F" w:rsidRPr="00E23A12" w14:paraId="6849810F" w14:textId="77777777" w:rsidTr="00C61481">
        <w:trPr>
          <w:trHeight w:val="113"/>
          <w:jc w:val="center"/>
        </w:trPr>
        <w:tc>
          <w:tcPr>
            <w:tcW w:w="0" w:type="auto"/>
          </w:tcPr>
          <w:p w14:paraId="312BCBA0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BMI</w:t>
            </w:r>
          </w:p>
        </w:tc>
        <w:tc>
          <w:tcPr>
            <w:tcW w:w="0" w:type="auto"/>
          </w:tcPr>
          <w:p w14:paraId="782F74F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4FA81322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0.98–1.02</w:t>
            </w:r>
          </w:p>
        </w:tc>
        <w:tc>
          <w:tcPr>
            <w:tcW w:w="0" w:type="auto"/>
          </w:tcPr>
          <w:p w14:paraId="7DF2D7B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0.926</w:t>
            </w:r>
          </w:p>
        </w:tc>
      </w:tr>
      <w:tr w:rsidR="00C1535F" w:rsidRPr="00E23A12" w14:paraId="1B19B9AF" w14:textId="77777777" w:rsidTr="00C61481">
        <w:trPr>
          <w:trHeight w:val="115"/>
          <w:jc w:val="center"/>
        </w:trPr>
        <w:tc>
          <w:tcPr>
            <w:tcW w:w="0" w:type="auto"/>
          </w:tcPr>
          <w:p w14:paraId="66E8FBAE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eGFR</w:t>
            </w:r>
          </w:p>
        </w:tc>
        <w:tc>
          <w:tcPr>
            <w:tcW w:w="0" w:type="auto"/>
          </w:tcPr>
          <w:p w14:paraId="130C3D3F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0.98</w:t>
            </w:r>
          </w:p>
        </w:tc>
        <w:tc>
          <w:tcPr>
            <w:tcW w:w="0" w:type="auto"/>
          </w:tcPr>
          <w:p w14:paraId="5796571A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0.97–0.99</w:t>
            </w:r>
          </w:p>
        </w:tc>
        <w:tc>
          <w:tcPr>
            <w:tcW w:w="0" w:type="auto"/>
          </w:tcPr>
          <w:p w14:paraId="3D9869A5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&lt;0.001</w:t>
            </w:r>
          </w:p>
        </w:tc>
      </w:tr>
      <w:tr w:rsidR="00C1535F" w:rsidRPr="00E23A12" w14:paraId="1C9A090A" w14:textId="77777777" w:rsidTr="00C61481">
        <w:trPr>
          <w:trHeight w:val="115"/>
          <w:jc w:val="center"/>
        </w:trPr>
        <w:tc>
          <w:tcPr>
            <w:tcW w:w="0" w:type="auto"/>
          </w:tcPr>
          <w:p w14:paraId="44F520C7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Hypertension</w:t>
            </w:r>
          </w:p>
        </w:tc>
        <w:tc>
          <w:tcPr>
            <w:tcW w:w="0" w:type="auto"/>
          </w:tcPr>
          <w:p w14:paraId="0AF7409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0.70</w:t>
            </w:r>
          </w:p>
        </w:tc>
        <w:tc>
          <w:tcPr>
            <w:tcW w:w="0" w:type="auto"/>
          </w:tcPr>
          <w:p w14:paraId="4A75D9F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0.47–1.04</w:t>
            </w:r>
          </w:p>
        </w:tc>
        <w:tc>
          <w:tcPr>
            <w:tcW w:w="0" w:type="auto"/>
          </w:tcPr>
          <w:p w14:paraId="2636BA6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0.074</w:t>
            </w:r>
          </w:p>
        </w:tc>
      </w:tr>
      <w:tr w:rsidR="00C1535F" w:rsidRPr="00E23A12" w14:paraId="69C0F8CF" w14:textId="77777777" w:rsidTr="00C61481">
        <w:trPr>
          <w:trHeight w:val="229"/>
          <w:jc w:val="center"/>
        </w:trPr>
        <w:tc>
          <w:tcPr>
            <w:tcW w:w="0" w:type="auto"/>
          </w:tcPr>
          <w:p w14:paraId="5C5995A1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Peripheral vascular disease</w:t>
            </w:r>
          </w:p>
        </w:tc>
        <w:tc>
          <w:tcPr>
            <w:tcW w:w="0" w:type="auto"/>
          </w:tcPr>
          <w:p w14:paraId="73CE28E3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1.08</w:t>
            </w:r>
          </w:p>
        </w:tc>
        <w:tc>
          <w:tcPr>
            <w:tcW w:w="0" w:type="auto"/>
          </w:tcPr>
          <w:p w14:paraId="47037FC8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0.80–1.44</w:t>
            </w:r>
          </w:p>
        </w:tc>
        <w:tc>
          <w:tcPr>
            <w:tcW w:w="0" w:type="auto"/>
          </w:tcPr>
          <w:p w14:paraId="6C49E41C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0.620</w:t>
            </w:r>
          </w:p>
        </w:tc>
      </w:tr>
      <w:tr w:rsidR="00C1535F" w:rsidRPr="00E23A12" w14:paraId="17F1BC8E" w14:textId="77777777" w:rsidTr="00C61481">
        <w:trPr>
          <w:trHeight w:val="6"/>
          <w:jc w:val="center"/>
        </w:trPr>
        <w:tc>
          <w:tcPr>
            <w:tcW w:w="0" w:type="auto"/>
          </w:tcPr>
          <w:p w14:paraId="2B161A1B" w14:textId="77777777" w:rsidR="00C1535F" w:rsidRPr="000571A4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0571A4">
              <w:rPr>
                <w:rFonts w:ascii="Arial" w:eastAsia="宋体" w:hAnsi="Arial" w:cs="Arial"/>
                <w:sz w:val="18"/>
                <w:szCs w:val="18"/>
              </w:rPr>
              <w:t>Atrial fibrillation</w:t>
            </w:r>
          </w:p>
        </w:tc>
        <w:tc>
          <w:tcPr>
            <w:tcW w:w="0" w:type="auto"/>
          </w:tcPr>
          <w:p w14:paraId="09F44FC9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1.14</w:t>
            </w:r>
          </w:p>
        </w:tc>
        <w:tc>
          <w:tcPr>
            <w:tcW w:w="0" w:type="auto"/>
          </w:tcPr>
          <w:p w14:paraId="7CA57A8D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0.89–1.45</w:t>
            </w:r>
          </w:p>
        </w:tc>
        <w:tc>
          <w:tcPr>
            <w:tcW w:w="0" w:type="auto"/>
          </w:tcPr>
          <w:p w14:paraId="735B7DB0" w14:textId="77777777" w:rsidR="00C1535F" w:rsidRPr="00E23A12" w:rsidRDefault="00C1535F" w:rsidP="00C61481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E23A12">
              <w:rPr>
                <w:rFonts w:ascii="Arial" w:eastAsia="宋体" w:hAnsi="Arial" w:cs="Arial"/>
                <w:sz w:val="18"/>
                <w:szCs w:val="18"/>
              </w:rPr>
              <w:t>0.295</w:t>
            </w:r>
          </w:p>
        </w:tc>
      </w:tr>
    </w:tbl>
    <w:p w14:paraId="2FDB518E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 xml:space="preserve">A time-varying Cox model with a 90-day time split was used to account for violation of the proportional </w:t>
      </w:r>
      <w:proofErr w:type="gramStart"/>
      <w:r w:rsidRPr="00BB77C1">
        <w:rPr>
          <w:rFonts w:ascii="Times New Roman" w:hAnsi="Times New Roman" w:cs="Times New Roman"/>
          <w:szCs w:val="21"/>
        </w:rPr>
        <w:t>hazards</w:t>
      </w:r>
      <w:proofErr w:type="gramEnd"/>
      <w:r w:rsidRPr="00BB77C1">
        <w:rPr>
          <w:rFonts w:ascii="Times New Roman" w:hAnsi="Times New Roman" w:cs="Times New Roman"/>
          <w:szCs w:val="21"/>
        </w:rPr>
        <w:t xml:space="preserve"> assumption.</w:t>
      </w:r>
      <w:r w:rsidRPr="003962DD">
        <w:rPr>
          <w:b/>
          <w:bCs/>
        </w:rPr>
        <w:t xml:space="preserve"> </w:t>
      </w:r>
      <w:r w:rsidRPr="003962DD">
        <w:rPr>
          <w:rFonts w:ascii="Times New Roman" w:hAnsi="Times New Roman" w:cs="Times New Roman"/>
          <w:szCs w:val="21"/>
        </w:rPr>
        <w:t>Variables that violated the proportional hazards assumption (including congestive heart failure, cerebrovascular disease, diabetes mellitus, and AMI type) were incorporated into the model as stratification factors; therefore, hazard ratios for these variables are not presented.</w:t>
      </w:r>
    </w:p>
    <w:p w14:paraId="0BD47062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Abbreviations: HR, hazard ratio; CI, confidence interval; SHR, stress hyperglycemia ratio; SD, standard deviation; BMI, body mass index; eGFR, estimated glomerular filtration rate.</w:t>
      </w:r>
    </w:p>
    <w:p w14:paraId="6FE81120" w14:textId="77777777" w:rsidR="00C1535F" w:rsidRPr="0098403E" w:rsidRDefault="00C1535F" w:rsidP="00C1535F">
      <w:pPr>
        <w:contextualSpacing/>
        <w:rPr>
          <w:rFonts w:ascii="Times New Roman" w:hAnsi="Times New Roman" w:cs="Times New Roman"/>
          <w:szCs w:val="21"/>
        </w:rPr>
      </w:pPr>
    </w:p>
    <w:p w14:paraId="34E5FB4D" w14:textId="77777777" w:rsidR="00C1535F" w:rsidRPr="00DF242B" w:rsidRDefault="00C1535F" w:rsidP="00C1535F">
      <w:pPr>
        <w:contextualSpacing/>
        <w:rPr>
          <w:rFonts w:ascii="Times New Roman" w:eastAsia="宋体" w:hAnsi="Times New Roman" w:cs="Times New Roman"/>
          <w:sz w:val="24"/>
          <w:szCs w:val="24"/>
        </w:rPr>
      </w:pPr>
      <w:r w:rsidRPr="00044E14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8.</w:t>
      </w:r>
      <w:r w:rsidRPr="00CD40E1">
        <w:t xml:space="preserve"> </w:t>
      </w:r>
      <w:r w:rsidRPr="00DF242B">
        <w:rPr>
          <w:rFonts w:ascii="Times New Roman" w:eastAsia="宋体" w:hAnsi="Times New Roman" w:cs="Times New Roman"/>
          <w:sz w:val="24"/>
          <w:szCs w:val="24"/>
        </w:rPr>
        <w:t>Predictive performance of the full model and the pre-treatment baseline model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57"/>
        <w:gridCol w:w="4444"/>
        <w:gridCol w:w="1838"/>
      </w:tblGrid>
      <w:tr w:rsidR="00C1535F" w:rsidRPr="00452A4E" w14:paraId="167342B2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75E68A6B" w14:textId="77777777" w:rsidR="00C1535F" w:rsidRPr="00452A4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452A4E">
              <w:rPr>
                <w:rFonts w:ascii="Arial" w:hAnsi="Arial" w:cs="Arial"/>
                <w:b/>
                <w:bCs/>
                <w:sz w:val="18"/>
              </w:rPr>
              <w:t>Model</w:t>
            </w:r>
          </w:p>
        </w:tc>
        <w:tc>
          <w:tcPr>
            <w:tcW w:w="0" w:type="auto"/>
            <w:hideMark/>
          </w:tcPr>
          <w:p w14:paraId="285915B8" w14:textId="77777777" w:rsidR="00C1535F" w:rsidRPr="00452A4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452A4E">
              <w:rPr>
                <w:rFonts w:ascii="Arial" w:hAnsi="Arial" w:cs="Arial"/>
                <w:b/>
                <w:bCs/>
                <w:sz w:val="18"/>
              </w:rPr>
              <w:t>Predictor Set</w:t>
            </w:r>
          </w:p>
        </w:tc>
        <w:tc>
          <w:tcPr>
            <w:tcW w:w="0" w:type="auto"/>
            <w:hideMark/>
          </w:tcPr>
          <w:p w14:paraId="7CA30E94" w14:textId="77777777" w:rsidR="00C1535F" w:rsidRPr="00452A4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452A4E">
              <w:rPr>
                <w:rFonts w:ascii="Arial" w:hAnsi="Arial" w:cs="Arial"/>
                <w:b/>
                <w:bCs/>
                <w:sz w:val="18"/>
              </w:rPr>
              <w:t>AUC (95% CI)</w:t>
            </w:r>
          </w:p>
        </w:tc>
      </w:tr>
      <w:tr w:rsidR="00C1535F" w:rsidRPr="00452A4E" w14:paraId="25B1E74D" w14:textId="77777777" w:rsidTr="00C61481">
        <w:tc>
          <w:tcPr>
            <w:tcW w:w="0" w:type="auto"/>
            <w:hideMark/>
          </w:tcPr>
          <w:p w14:paraId="5ED2751D" w14:textId="77777777" w:rsidR="00C1535F" w:rsidRPr="00452A4E" w:rsidRDefault="00C1535F" w:rsidP="00C61481">
            <w:pPr>
              <w:rPr>
                <w:rFonts w:ascii="Arial" w:hAnsi="Arial" w:cs="Arial"/>
                <w:sz w:val="18"/>
              </w:rPr>
            </w:pPr>
            <w:r w:rsidRPr="00452A4E">
              <w:rPr>
                <w:rFonts w:ascii="Arial" w:hAnsi="Arial" w:cs="Arial"/>
                <w:sz w:val="18"/>
              </w:rPr>
              <w:t>Full model</w:t>
            </w:r>
          </w:p>
        </w:tc>
        <w:tc>
          <w:tcPr>
            <w:tcW w:w="0" w:type="auto"/>
            <w:hideMark/>
          </w:tcPr>
          <w:p w14:paraId="4AE3BA31" w14:textId="77777777" w:rsidR="00C1535F" w:rsidRPr="00452A4E" w:rsidRDefault="00C1535F" w:rsidP="00C61481">
            <w:pPr>
              <w:rPr>
                <w:rFonts w:ascii="Arial" w:hAnsi="Arial" w:cs="Arial"/>
                <w:sz w:val="18"/>
              </w:rPr>
            </w:pPr>
            <w:r w:rsidRPr="00452A4E">
              <w:rPr>
                <w:rFonts w:ascii="Arial" w:hAnsi="Arial" w:cs="Arial"/>
                <w:sz w:val="18"/>
              </w:rPr>
              <w:t xml:space="preserve">Baseline clinical variables + early treatment variables </w:t>
            </w:r>
          </w:p>
        </w:tc>
        <w:tc>
          <w:tcPr>
            <w:tcW w:w="0" w:type="auto"/>
            <w:hideMark/>
          </w:tcPr>
          <w:p w14:paraId="1D6ACFC8" w14:textId="77777777" w:rsidR="00C1535F" w:rsidRPr="00452A4E" w:rsidRDefault="00C1535F" w:rsidP="00C61481">
            <w:pPr>
              <w:rPr>
                <w:rFonts w:ascii="Arial" w:hAnsi="Arial" w:cs="Arial"/>
                <w:sz w:val="18"/>
              </w:rPr>
            </w:pPr>
            <w:r w:rsidRPr="00452A4E">
              <w:rPr>
                <w:rFonts w:ascii="Arial" w:hAnsi="Arial" w:cs="Arial"/>
                <w:sz w:val="18"/>
              </w:rPr>
              <w:t>0.872 (0.846–0.898)</w:t>
            </w:r>
          </w:p>
        </w:tc>
      </w:tr>
      <w:tr w:rsidR="00C1535F" w:rsidRPr="00452A4E" w14:paraId="6F0DDAAC" w14:textId="77777777" w:rsidTr="00C61481">
        <w:tc>
          <w:tcPr>
            <w:tcW w:w="0" w:type="auto"/>
            <w:hideMark/>
          </w:tcPr>
          <w:p w14:paraId="35033EEE" w14:textId="77777777" w:rsidR="00C1535F" w:rsidRPr="00452A4E" w:rsidRDefault="00C1535F" w:rsidP="00C61481">
            <w:pPr>
              <w:rPr>
                <w:rFonts w:ascii="Arial" w:hAnsi="Arial" w:cs="Arial"/>
                <w:sz w:val="18"/>
              </w:rPr>
            </w:pPr>
            <w:r w:rsidRPr="00452A4E">
              <w:rPr>
                <w:rFonts w:ascii="Arial" w:hAnsi="Arial" w:cs="Arial"/>
                <w:sz w:val="18"/>
              </w:rPr>
              <w:t>Pre-treatment model</w:t>
            </w:r>
          </w:p>
        </w:tc>
        <w:tc>
          <w:tcPr>
            <w:tcW w:w="0" w:type="auto"/>
            <w:hideMark/>
          </w:tcPr>
          <w:p w14:paraId="5891EEA6" w14:textId="77777777" w:rsidR="00C1535F" w:rsidRPr="00452A4E" w:rsidRDefault="00C1535F" w:rsidP="00C61481">
            <w:pPr>
              <w:rPr>
                <w:rFonts w:ascii="Arial" w:hAnsi="Arial" w:cs="Arial"/>
                <w:sz w:val="18"/>
              </w:rPr>
            </w:pPr>
            <w:r w:rsidRPr="00452A4E">
              <w:rPr>
                <w:rFonts w:ascii="Arial" w:hAnsi="Arial" w:cs="Arial"/>
                <w:sz w:val="18"/>
              </w:rPr>
              <w:t>Baseline clinical variables</w:t>
            </w:r>
          </w:p>
        </w:tc>
        <w:tc>
          <w:tcPr>
            <w:tcW w:w="0" w:type="auto"/>
            <w:hideMark/>
          </w:tcPr>
          <w:p w14:paraId="717D4D5D" w14:textId="77777777" w:rsidR="00C1535F" w:rsidRPr="00452A4E" w:rsidRDefault="00C1535F" w:rsidP="00C61481">
            <w:pPr>
              <w:rPr>
                <w:rFonts w:ascii="Arial" w:hAnsi="Arial" w:cs="Arial"/>
                <w:sz w:val="18"/>
              </w:rPr>
            </w:pPr>
            <w:r w:rsidRPr="00452A4E">
              <w:rPr>
                <w:rFonts w:ascii="Arial" w:hAnsi="Arial" w:cs="Arial"/>
                <w:sz w:val="18"/>
              </w:rPr>
              <w:t>0.809 (0.777–0.840)</w:t>
            </w:r>
          </w:p>
        </w:tc>
      </w:tr>
    </w:tbl>
    <w:p w14:paraId="018AFC4A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The full model included baseline and early treatment variables, whereas the pre-treatment model included baseline variables only.</w:t>
      </w:r>
    </w:p>
    <w:p w14:paraId="4BFD437A" w14:textId="77777777" w:rsidR="00C1535F" w:rsidRPr="00BB77C1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Abbreviations: AUC, area under the receiver operating characteristic curve; CI, confidence interval.</w:t>
      </w:r>
    </w:p>
    <w:p w14:paraId="4E1279AF" w14:textId="77777777" w:rsidR="00C1535F" w:rsidRDefault="00C1535F" w:rsidP="00C1535F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5D31620" w14:textId="77777777" w:rsidR="00C1535F" w:rsidRDefault="00C1535F" w:rsidP="00C1535F">
      <w:pPr>
        <w:contextualSpacing/>
        <w:rPr>
          <w:rFonts w:ascii="Times New Roman" w:hAnsi="Times New Roman" w:cs="Times New Roman"/>
          <w:sz w:val="24"/>
          <w:szCs w:val="24"/>
        </w:rPr>
      </w:pPr>
      <w:r w:rsidRPr="0098403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9840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4628C">
        <w:rPr>
          <w:rFonts w:ascii="Times New Roman" w:hAnsi="Times New Roman" w:cs="Times New Roman"/>
          <w:sz w:val="24"/>
          <w:szCs w:val="24"/>
        </w:rPr>
        <w:t>Classification performance metrics of the four machine learning models for predicting 1-year mortality in the external validation cohort.</w:t>
      </w:r>
    </w:p>
    <w:tbl>
      <w:tblPr>
        <w:tblStyle w:val="af2"/>
        <w:tblpPr w:leftFromText="180" w:rightFromText="180" w:vertAnchor="text" w:horzAnchor="margin" w:tblpXSpec="center" w:tblpY="117"/>
        <w:tblW w:w="11408" w:type="dxa"/>
        <w:tblLook w:val="04A0" w:firstRow="1" w:lastRow="0" w:firstColumn="1" w:lastColumn="0" w:noHBand="0" w:noVBand="1"/>
      </w:tblPr>
      <w:tblGrid>
        <w:gridCol w:w="956"/>
        <w:gridCol w:w="1915"/>
        <w:gridCol w:w="1915"/>
        <w:gridCol w:w="1875"/>
        <w:gridCol w:w="1875"/>
        <w:gridCol w:w="1875"/>
        <w:gridCol w:w="997"/>
      </w:tblGrid>
      <w:tr w:rsidR="00C1535F" w:rsidRPr="006B339C" w14:paraId="041EC418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tcW w:w="0" w:type="auto"/>
            <w:hideMark/>
          </w:tcPr>
          <w:p w14:paraId="7E04A482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0" w:type="auto"/>
            <w:hideMark/>
          </w:tcPr>
          <w:p w14:paraId="13281C18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Sensitivity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hideMark/>
          </w:tcPr>
          <w:p w14:paraId="04CA8AC8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Specificity</w:t>
            </w: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 xml:space="preserve"> </w:t>
            </w: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hideMark/>
          </w:tcPr>
          <w:p w14:paraId="693AC7C3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Accuracy (95% CI)</w:t>
            </w:r>
          </w:p>
        </w:tc>
        <w:tc>
          <w:tcPr>
            <w:tcW w:w="0" w:type="auto"/>
            <w:hideMark/>
          </w:tcPr>
          <w:p w14:paraId="0F0E6B05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PPV (95% CI)</w:t>
            </w:r>
          </w:p>
        </w:tc>
        <w:tc>
          <w:tcPr>
            <w:tcW w:w="0" w:type="auto"/>
            <w:hideMark/>
          </w:tcPr>
          <w:p w14:paraId="372C56DD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NPV (95% CI)</w:t>
            </w:r>
          </w:p>
        </w:tc>
        <w:tc>
          <w:tcPr>
            <w:tcW w:w="0" w:type="auto"/>
            <w:hideMark/>
          </w:tcPr>
          <w:p w14:paraId="3B0D3108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74400">
              <w:rPr>
                <w:rFonts w:ascii="Arial" w:hAnsi="Arial" w:cs="Arial"/>
                <w:b/>
                <w:bCs/>
                <w:sz w:val="18"/>
                <w:szCs w:val="18"/>
              </w:rPr>
              <w:t>F1 Score</w:t>
            </w:r>
          </w:p>
        </w:tc>
      </w:tr>
      <w:tr w:rsidR="00C1535F" w:rsidRPr="006B339C" w14:paraId="4EF8DBDD" w14:textId="77777777" w:rsidTr="00C61481">
        <w:trPr>
          <w:trHeight w:val="15"/>
        </w:trPr>
        <w:tc>
          <w:tcPr>
            <w:tcW w:w="0" w:type="auto"/>
            <w:hideMark/>
          </w:tcPr>
          <w:p w14:paraId="2B558B6F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Logistic</w:t>
            </w:r>
          </w:p>
        </w:tc>
        <w:tc>
          <w:tcPr>
            <w:tcW w:w="0" w:type="auto"/>
            <w:hideMark/>
          </w:tcPr>
          <w:p w14:paraId="0BD2FC71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0.773 (0.662–0.862)</w:t>
            </w:r>
          </w:p>
        </w:tc>
        <w:tc>
          <w:tcPr>
            <w:tcW w:w="0" w:type="auto"/>
            <w:hideMark/>
          </w:tcPr>
          <w:p w14:paraId="382B29BB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0.468 (0.372–0.566)</w:t>
            </w:r>
          </w:p>
        </w:tc>
        <w:tc>
          <w:tcPr>
            <w:tcW w:w="0" w:type="auto"/>
            <w:hideMark/>
          </w:tcPr>
          <w:p w14:paraId="6AECCAFD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0.592 (0.518–0.664)</w:t>
            </w:r>
          </w:p>
        </w:tc>
        <w:tc>
          <w:tcPr>
            <w:tcW w:w="0" w:type="auto"/>
            <w:hideMark/>
          </w:tcPr>
          <w:p w14:paraId="193446DF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0.500 (0.406–0.594)</w:t>
            </w:r>
          </w:p>
        </w:tc>
        <w:tc>
          <w:tcPr>
            <w:tcW w:w="0" w:type="auto"/>
            <w:hideMark/>
          </w:tcPr>
          <w:p w14:paraId="058F8F57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0.750 (0.630–0.847)</w:t>
            </w:r>
          </w:p>
        </w:tc>
        <w:tc>
          <w:tcPr>
            <w:tcW w:w="0" w:type="auto"/>
            <w:hideMark/>
          </w:tcPr>
          <w:p w14:paraId="6F7AA42A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0.607</w:t>
            </w:r>
          </w:p>
        </w:tc>
      </w:tr>
      <w:tr w:rsidR="00C1535F" w:rsidRPr="006B339C" w14:paraId="4F664BA2" w14:textId="77777777" w:rsidTr="00C61481">
        <w:trPr>
          <w:trHeight w:val="15"/>
        </w:trPr>
        <w:tc>
          <w:tcPr>
            <w:tcW w:w="0" w:type="auto"/>
            <w:hideMark/>
          </w:tcPr>
          <w:p w14:paraId="3C1789D2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SVM</w:t>
            </w:r>
          </w:p>
        </w:tc>
        <w:tc>
          <w:tcPr>
            <w:tcW w:w="0" w:type="auto"/>
            <w:hideMark/>
          </w:tcPr>
          <w:p w14:paraId="6E0F23A3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0.987 (0.928–1.000)</w:t>
            </w:r>
          </w:p>
        </w:tc>
        <w:tc>
          <w:tcPr>
            <w:tcW w:w="0" w:type="auto"/>
            <w:hideMark/>
          </w:tcPr>
          <w:p w14:paraId="55D72910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0.009 (0.000–0.050)</w:t>
            </w:r>
          </w:p>
        </w:tc>
        <w:tc>
          <w:tcPr>
            <w:tcW w:w="0" w:type="auto"/>
            <w:hideMark/>
          </w:tcPr>
          <w:p w14:paraId="3A4F269A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0.408 (0.336–0.482)</w:t>
            </w:r>
          </w:p>
        </w:tc>
        <w:tc>
          <w:tcPr>
            <w:tcW w:w="0" w:type="auto"/>
            <w:hideMark/>
          </w:tcPr>
          <w:p w14:paraId="0988A8FB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0.407 (0.335–0.482)</w:t>
            </w:r>
          </w:p>
        </w:tc>
        <w:tc>
          <w:tcPr>
            <w:tcW w:w="0" w:type="auto"/>
            <w:hideMark/>
          </w:tcPr>
          <w:p w14:paraId="5AC76027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0.500 (0.013–0.987)</w:t>
            </w:r>
          </w:p>
        </w:tc>
        <w:tc>
          <w:tcPr>
            <w:tcW w:w="0" w:type="auto"/>
            <w:hideMark/>
          </w:tcPr>
          <w:p w14:paraId="2DC09023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0.576</w:t>
            </w:r>
          </w:p>
        </w:tc>
      </w:tr>
      <w:tr w:rsidR="00C1535F" w:rsidRPr="006B339C" w14:paraId="14F5D7C5" w14:textId="77777777" w:rsidTr="00C61481">
        <w:trPr>
          <w:trHeight w:val="15"/>
        </w:trPr>
        <w:tc>
          <w:tcPr>
            <w:tcW w:w="0" w:type="auto"/>
            <w:hideMark/>
          </w:tcPr>
          <w:p w14:paraId="2270532E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RF</w:t>
            </w:r>
          </w:p>
        </w:tc>
        <w:tc>
          <w:tcPr>
            <w:tcW w:w="0" w:type="auto"/>
            <w:hideMark/>
          </w:tcPr>
          <w:p w14:paraId="4A33D092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0.947 (0.869–0.985)</w:t>
            </w:r>
          </w:p>
        </w:tc>
        <w:tc>
          <w:tcPr>
            <w:tcW w:w="0" w:type="auto"/>
            <w:hideMark/>
          </w:tcPr>
          <w:p w14:paraId="40D5481B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0.183 (0.116–0.269)</w:t>
            </w:r>
          </w:p>
        </w:tc>
        <w:tc>
          <w:tcPr>
            <w:tcW w:w="0" w:type="auto"/>
            <w:hideMark/>
          </w:tcPr>
          <w:p w14:paraId="513C1032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0.495 (0.420–0.569)</w:t>
            </w:r>
          </w:p>
        </w:tc>
        <w:tc>
          <w:tcPr>
            <w:tcW w:w="0" w:type="auto"/>
            <w:hideMark/>
          </w:tcPr>
          <w:p w14:paraId="08462695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0.444 (0.365–0.524)</w:t>
            </w:r>
          </w:p>
        </w:tc>
        <w:tc>
          <w:tcPr>
            <w:tcW w:w="0" w:type="auto"/>
            <w:hideMark/>
          </w:tcPr>
          <w:p w14:paraId="0642E27F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0.833 (0.626–0.953)</w:t>
            </w:r>
          </w:p>
        </w:tc>
        <w:tc>
          <w:tcPr>
            <w:tcW w:w="0" w:type="auto"/>
            <w:hideMark/>
          </w:tcPr>
          <w:p w14:paraId="4EF7D6BC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0.604</w:t>
            </w:r>
          </w:p>
        </w:tc>
      </w:tr>
      <w:tr w:rsidR="00C1535F" w:rsidRPr="006B339C" w14:paraId="59A325AB" w14:textId="77777777" w:rsidTr="00C61481">
        <w:trPr>
          <w:trHeight w:val="15"/>
        </w:trPr>
        <w:tc>
          <w:tcPr>
            <w:tcW w:w="0" w:type="auto"/>
            <w:hideMark/>
          </w:tcPr>
          <w:p w14:paraId="36636281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4400">
              <w:rPr>
                <w:rFonts w:ascii="Arial" w:hAnsi="Arial" w:cs="Arial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0" w:type="auto"/>
            <w:hideMark/>
          </w:tcPr>
          <w:p w14:paraId="1DC6C2B6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0.787 (0.677–0.873)</w:t>
            </w:r>
          </w:p>
        </w:tc>
        <w:tc>
          <w:tcPr>
            <w:tcW w:w="0" w:type="auto"/>
            <w:hideMark/>
          </w:tcPr>
          <w:p w14:paraId="6D287D68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0.624 (0.526–0.715)</w:t>
            </w:r>
          </w:p>
        </w:tc>
        <w:tc>
          <w:tcPr>
            <w:tcW w:w="0" w:type="auto"/>
            <w:hideMark/>
          </w:tcPr>
          <w:p w14:paraId="455FEEF3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4400">
              <w:rPr>
                <w:rFonts w:ascii="Arial" w:hAnsi="Arial" w:cs="Arial"/>
                <w:sz w:val="18"/>
                <w:szCs w:val="18"/>
              </w:rPr>
              <w:t>0.690 (0.618–0.756)</w:t>
            </w:r>
          </w:p>
        </w:tc>
        <w:tc>
          <w:tcPr>
            <w:tcW w:w="0" w:type="auto"/>
            <w:hideMark/>
          </w:tcPr>
          <w:p w14:paraId="0C5EB6F9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4628C">
              <w:rPr>
                <w:rFonts w:ascii="Arial" w:hAnsi="Arial" w:cs="Arial"/>
                <w:sz w:val="18"/>
                <w:szCs w:val="18"/>
              </w:rPr>
              <w:t>0.590 (0.487–0.687)</w:t>
            </w:r>
          </w:p>
        </w:tc>
        <w:tc>
          <w:tcPr>
            <w:tcW w:w="0" w:type="auto"/>
            <w:hideMark/>
          </w:tcPr>
          <w:p w14:paraId="289E2801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4628C">
              <w:rPr>
                <w:rFonts w:ascii="Arial" w:hAnsi="Arial" w:cs="Arial"/>
                <w:sz w:val="18"/>
                <w:szCs w:val="18"/>
              </w:rPr>
              <w:t>0.810 (0.709–0.887)</w:t>
            </w:r>
          </w:p>
        </w:tc>
        <w:tc>
          <w:tcPr>
            <w:tcW w:w="0" w:type="auto"/>
            <w:hideMark/>
          </w:tcPr>
          <w:p w14:paraId="56717505" w14:textId="77777777" w:rsidR="00C1535F" w:rsidRPr="00F74400" w:rsidRDefault="00C1535F" w:rsidP="00C61481">
            <w:pPr>
              <w:spacing w:line="36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4628C">
              <w:rPr>
                <w:rFonts w:ascii="Arial" w:hAnsi="Arial" w:cs="Arial"/>
                <w:sz w:val="18"/>
                <w:szCs w:val="18"/>
              </w:rPr>
              <w:t>0.674</w:t>
            </w:r>
          </w:p>
        </w:tc>
      </w:tr>
    </w:tbl>
    <w:p w14:paraId="62E8FDB1" w14:textId="77777777" w:rsidR="00C1535F" w:rsidRDefault="00C1535F" w:rsidP="00C1535F">
      <w:pPr>
        <w:rPr>
          <w:rFonts w:ascii="Times New Roman" w:eastAsia="宋体" w:hAnsi="Times New Roman" w:cs="Arial"/>
        </w:rPr>
      </w:pPr>
      <w:r w:rsidRPr="0054628C">
        <w:rPr>
          <w:rFonts w:ascii="Times New Roman" w:hAnsi="Times New Roman" w:cs="Times New Roman"/>
          <w:szCs w:val="21"/>
        </w:rPr>
        <w:t xml:space="preserve">CI, confidence interval; PPV, positive predictive value; NPV, negative predictive value; </w:t>
      </w:r>
      <w:proofErr w:type="spellStart"/>
      <w:r w:rsidRPr="0054628C">
        <w:rPr>
          <w:rFonts w:ascii="Times New Roman" w:hAnsi="Times New Roman" w:cs="Times New Roman"/>
          <w:szCs w:val="21"/>
        </w:rPr>
        <w:t>XGBoost</w:t>
      </w:r>
      <w:proofErr w:type="spellEnd"/>
      <w:r w:rsidRPr="0054628C">
        <w:rPr>
          <w:rFonts w:ascii="Times New Roman" w:hAnsi="Times New Roman" w:cs="Times New Roman"/>
          <w:szCs w:val="21"/>
        </w:rPr>
        <w:t>, extreme gradient boosting; F1 score, harmonic mean of precision and recall.</w:t>
      </w:r>
    </w:p>
    <w:p w14:paraId="1F5950B6" w14:textId="77777777" w:rsidR="00C1535F" w:rsidRDefault="00C1535F" w:rsidP="00C1535F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07A0EB0" w14:textId="77777777" w:rsidR="00C1535F" w:rsidRPr="00DF242B" w:rsidRDefault="00C1535F" w:rsidP="00C1535F">
      <w:pPr>
        <w:contextualSpacing/>
        <w:rPr>
          <w:rFonts w:ascii="Times New Roman" w:hAnsi="Times New Roman" w:cs="Times New Roman"/>
          <w:sz w:val="24"/>
          <w:szCs w:val="24"/>
        </w:rPr>
      </w:pPr>
      <w:r w:rsidRPr="00044E14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10.</w:t>
      </w:r>
      <w:r w:rsidRPr="007405B6">
        <w:t xml:space="preserve"> </w:t>
      </w:r>
      <w:r w:rsidRPr="00DF242B">
        <w:rPr>
          <w:rFonts w:ascii="Times New Roman" w:hAnsi="Times New Roman" w:cs="Times New Roman"/>
          <w:sz w:val="24"/>
          <w:szCs w:val="24"/>
        </w:rPr>
        <w:t xml:space="preserve">External calibration performance of the </w:t>
      </w:r>
      <w:proofErr w:type="spellStart"/>
      <w:r w:rsidRPr="00DF242B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Pr="00DF242B">
        <w:rPr>
          <w:rFonts w:ascii="Times New Roman" w:hAnsi="Times New Roman" w:cs="Times New Roman"/>
          <w:sz w:val="24"/>
          <w:szCs w:val="24"/>
        </w:rPr>
        <w:t xml:space="preserve"> model before and after logistic recalibration</w:t>
      </w:r>
    </w:p>
    <w:tbl>
      <w:tblPr>
        <w:tblStyle w:val="af2"/>
        <w:tblpPr w:leftFromText="180" w:rightFromText="180" w:vertAnchor="text" w:horzAnchor="margin" w:tblpXSpec="center" w:tblpY="179"/>
        <w:tblW w:w="10713" w:type="dxa"/>
        <w:tblLook w:val="04A0" w:firstRow="1" w:lastRow="0" w:firstColumn="1" w:lastColumn="0" w:noHBand="0" w:noVBand="1"/>
      </w:tblPr>
      <w:tblGrid>
        <w:gridCol w:w="1637"/>
        <w:gridCol w:w="1860"/>
        <w:gridCol w:w="1970"/>
        <w:gridCol w:w="2760"/>
        <w:gridCol w:w="2486"/>
      </w:tblGrid>
      <w:tr w:rsidR="00C1535F" w:rsidRPr="00E2170E" w14:paraId="6D048297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"/>
        </w:trPr>
        <w:tc>
          <w:tcPr>
            <w:tcW w:w="0" w:type="auto"/>
            <w:hideMark/>
          </w:tcPr>
          <w:p w14:paraId="25925519" w14:textId="77777777" w:rsidR="00C1535F" w:rsidRPr="00E2170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E2170E">
              <w:rPr>
                <w:rFonts w:ascii="Arial" w:hAnsi="Arial" w:cs="Arial"/>
                <w:b/>
                <w:bCs/>
                <w:sz w:val="18"/>
              </w:rPr>
              <w:t>Model Status</w:t>
            </w:r>
          </w:p>
        </w:tc>
        <w:tc>
          <w:tcPr>
            <w:tcW w:w="0" w:type="auto"/>
            <w:hideMark/>
          </w:tcPr>
          <w:p w14:paraId="79D76DC8" w14:textId="77777777" w:rsidR="00C1535F" w:rsidRPr="00E2170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E2170E">
              <w:rPr>
                <w:rFonts w:ascii="Arial" w:hAnsi="Arial" w:cs="Arial"/>
                <w:b/>
                <w:bCs/>
                <w:sz w:val="18"/>
              </w:rPr>
              <w:t>AUC (95% CI)</w:t>
            </w:r>
          </w:p>
        </w:tc>
        <w:tc>
          <w:tcPr>
            <w:tcW w:w="0" w:type="auto"/>
            <w:hideMark/>
          </w:tcPr>
          <w:p w14:paraId="589B795B" w14:textId="77777777" w:rsidR="00C1535F" w:rsidRPr="00E2170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E2170E">
              <w:rPr>
                <w:rFonts w:ascii="Arial" w:hAnsi="Arial" w:cs="Arial"/>
                <w:b/>
                <w:bCs/>
                <w:sz w:val="18"/>
              </w:rPr>
              <w:t>Brier Score (95% CI)</w:t>
            </w:r>
          </w:p>
        </w:tc>
        <w:tc>
          <w:tcPr>
            <w:tcW w:w="0" w:type="auto"/>
            <w:hideMark/>
          </w:tcPr>
          <w:p w14:paraId="5F8B80E2" w14:textId="77777777" w:rsidR="00C1535F" w:rsidRPr="00E2170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E2170E">
              <w:rPr>
                <w:rFonts w:ascii="Arial" w:hAnsi="Arial" w:cs="Arial"/>
                <w:b/>
                <w:bCs/>
                <w:sz w:val="18"/>
              </w:rPr>
              <w:t>Calibration Intercept (95% CI)</w:t>
            </w:r>
          </w:p>
        </w:tc>
        <w:tc>
          <w:tcPr>
            <w:tcW w:w="0" w:type="auto"/>
            <w:hideMark/>
          </w:tcPr>
          <w:p w14:paraId="05DC3C5D" w14:textId="77777777" w:rsidR="00C1535F" w:rsidRPr="00E2170E" w:rsidRDefault="00C1535F" w:rsidP="00C61481">
            <w:pPr>
              <w:rPr>
                <w:rFonts w:ascii="Arial" w:hAnsi="Arial" w:cs="Arial"/>
                <w:b/>
                <w:bCs/>
                <w:sz w:val="18"/>
              </w:rPr>
            </w:pPr>
            <w:r w:rsidRPr="00E2170E">
              <w:rPr>
                <w:rFonts w:ascii="Arial" w:hAnsi="Arial" w:cs="Arial"/>
                <w:b/>
                <w:bCs/>
                <w:sz w:val="18"/>
              </w:rPr>
              <w:t>Calibration Slope (95% CI)</w:t>
            </w:r>
          </w:p>
        </w:tc>
      </w:tr>
      <w:tr w:rsidR="00C1535F" w:rsidRPr="00E2170E" w14:paraId="2BEF4110" w14:textId="77777777" w:rsidTr="00C61481">
        <w:tc>
          <w:tcPr>
            <w:tcW w:w="0" w:type="auto"/>
            <w:hideMark/>
          </w:tcPr>
          <w:p w14:paraId="6112CDA5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 xml:space="preserve">Pre-recalibration </w:t>
            </w:r>
          </w:p>
          <w:p w14:paraId="29681746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(raw model)</w:t>
            </w:r>
          </w:p>
        </w:tc>
        <w:tc>
          <w:tcPr>
            <w:tcW w:w="0" w:type="auto"/>
            <w:hideMark/>
          </w:tcPr>
          <w:p w14:paraId="1951943A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0.718 (0.644–0.792)</w:t>
            </w:r>
          </w:p>
        </w:tc>
        <w:tc>
          <w:tcPr>
            <w:tcW w:w="0" w:type="auto"/>
            <w:hideMark/>
          </w:tcPr>
          <w:p w14:paraId="69B02698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0.253 (0.208–0.299)</w:t>
            </w:r>
          </w:p>
        </w:tc>
        <w:tc>
          <w:tcPr>
            <w:tcW w:w="0" w:type="auto"/>
            <w:hideMark/>
          </w:tcPr>
          <w:p w14:paraId="25C597E5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−0.269 (−0.590</w:t>
            </w:r>
            <w:r w:rsidRPr="00E2170E">
              <w:rPr>
                <w:rFonts w:ascii="Arial" w:eastAsia="等线" w:hAnsi="Arial" w:cs="Arial"/>
                <w:sz w:val="18"/>
              </w:rPr>
              <w:t>–</w:t>
            </w:r>
            <w:r w:rsidRPr="00E2170E">
              <w:rPr>
                <w:rFonts w:ascii="Arial" w:hAnsi="Arial" w:cs="Arial"/>
                <w:sz w:val="18"/>
              </w:rPr>
              <w:t>0.053)</w:t>
            </w:r>
          </w:p>
        </w:tc>
        <w:tc>
          <w:tcPr>
            <w:tcW w:w="0" w:type="auto"/>
            <w:hideMark/>
          </w:tcPr>
          <w:p w14:paraId="2860FDA4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0.298 (0.151–0.492)</w:t>
            </w:r>
          </w:p>
        </w:tc>
      </w:tr>
      <w:tr w:rsidR="00C1535F" w:rsidRPr="00E2170E" w14:paraId="0FE67CC1" w14:textId="77777777" w:rsidTr="00C61481">
        <w:trPr>
          <w:trHeight w:val="22"/>
        </w:trPr>
        <w:tc>
          <w:tcPr>
            <w:tcW w:w="0" w:type="auto"/>
            <w:hideMark/>
          </w:tcPr>
          <w:p w14:paraId="149FDD67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Post-recalibration</w:t>
            </w:r>
          </w:p>
        </w:tc>
        <w:tc>
          <w:tcPr>
            <w:tcW w:w="0" w:type="auto"/>
            <w:hideMark/>
          </w:tcPr>
          <w:p w14:paraId="53FD830C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0.718 (0.644–0.792)</w:t>
            </w:r>
          </w:p>
        </w:tc>
        <w:tc>
          <w:tcPr>
            <w:tcW w:w="0" w:type="auto"/>
            <w:hideMark/>
          </w:tcPr>
          <w:p w14:paraId="3F9939E7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0.242 (0.210–0.280)</w:t>
            </w:r>
          </w:p>
        </w:tc>
        <w:tc>
          <w:tcPr>
            <w:tcW w:w="0" w:type="auto"/>
            <w:hideMark/>
          </w:tcPr>
          <w:p w14:paraId="744F24E3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0.003 (−0.180</w:t>
            </w:r>
            <w:r w:rsidRPr="00E2170E">
              <w:rPr>
                <w:rFonts w:ascii="Arial" w:eastAsia="等线" w:hAnsi="Arial" w:cs="Arial"/>
                <w:sz w:val="18"/>
              </w:rPr>
              <w:t>–</w:t>
            </w:r>
            <w:r w:rsidRPr="00E2170E">
              <w:rPr>
                <w:rFonts w:ascii="Arial" w:hAnsi="Arial" w:cs="Arial"/>
                <w:sz w:val="18"/>
              </w:rPr>
              <w:t>0.185)</w:t>
            </w:r>
          </w:p>
        </w:tc>
        <w:tc>
          <w:tcPr>
            <w:tcW w:w="0" w:type="auto"/>
            <w:hideMark/>
          </w:tcPr>
          <w:p w14:paraId="1B470DBB" w14:textId="77777777" w:rsidR="00C1535F" w:rsidRPr="00E2170E" w:rsidRDefault="00C1535F" w:rsidP="00C61481">
            <w:pPr>
              <w:rPr>
                <w:rFonts w:ascii="Arial" w:hAnsi="Arial" w:cs="Arial"/>
                <w:sz w:val="18"/>
              </w:rPr>
            </w:pPr>
            <w:r w:rsidRPr="00E2170E">
              <w:rPr>
                <w:rFonts w:ascii="Arial" w:hAnsi="Arial" w:cs="Arial"/>
                <w:sz w:val="18"/>
              </w:rPr>
              <w:t>0.982 (0.612–1.487)</w:t>
            </w:r>
          </w:p>
        </w:tc>
      </w:tr>
    </w:tbl>
    <w:p w14:paraId="184CA5F9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Logistic recalibration updated the intercept and slope in the external cohort.</w:t>
      </w:r>
    </w:p>
    <w:p w14:paraId="4F87FB3A" w14:textId="77777777" w:rsidR="00C1535F" w:rsidRPr="00BB77C1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Abbreviations: AUC, area under the receiver operating characteristic curve; CI, confidence interval.</w:t>
      </w:r>
    </w:p>
    <w:p w14:paraId="2EBDBBA2" w14:textId="77777777" w:rsidR="00C1535F" w:rsidRDefault="00C1535F" w:rsidP="00C1535F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FD40E58" w14:textId="77777777" w:rsidR="00C1535F" w:rsidRPr="00983B78" w:rsidRDefault="00C1535F" w:rsidP="00C1535F">
      <w:pPr>
        <w:contextualSpacing/>
        <w:rPr>
          <w:rFonts w:ascii="Times New Roman" w:hAnsi="Times New Roman" w:cs="Times New Roman"/>
          <w:sz w:val="24"/>
          <w:szCs w:val="24"/>
        </w:rPr>
      </w:pPr>
      <w:r w:rsidRPr="00044E14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11.</w:t>
      </w:r>
      <w:r w:rsidRPr="007405B6">
        <w:t xml:space="preserve"> </w:t>
      </w:r>
      <w:r w:rsidRPr="00983B78">
        <w:rPr>
          <w:rFonts w:ascii="Times New Roman" w:hAnsi="Times New Roman" w:cs="Times New Roman"/>
          <w:sz w:val="24"/>
          <w:szCs w:val="24"/>
        </w:rPr>
        <w:t>Sensitivity analysis of external model performance after excluding patients admitted during the COVID-19 pandemic</w:t>
      </w:r>
    </w:p>
    <w:tbl>
      <w:tblPr>
        <w:tblStyle w:val="af2"/>
        <w:tblpPr w:leftFromText="180" w:rightFromText="180" w:vertAnchor="text" w:horzAnchor="margin" w:tblpXSpec="center" w:tblpY="175"/>
        <w:tblW w:w="11417" w:type="dxa"/>
        <w:tblLook w:val="04A0" w:firstRow="1" w:lastRow="0" w:firstColumn="1" w:lastColumn="0" w:noHBand="0" w:noVBand="1"/>
      </w:tblPr>
      <w:tblGrid>
        <w:gridCol w:w="2061"/>
        <w:gridCol w:w="1878"/>
        <w:gridCol w:w="2048"/>
        <w:gridCol w:w="2923"/>
        <w:gridCol w:w="2507"/>
      </w:tblGrid>
      <w:tr w:rsidR="00C1535F" w:rsidRPr="00F352CB" w14:paraId="1C54B1AF" w14:textId="77777777" w:rsidTr="00C6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tcW w:w="0" w:type="auto"/>
            <w:hideMark/>
          </w:tcPr>
          <w:p w14:paraId="45370D4D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b/>
                <w:bCs/>
                <w:sz w:val="18"/>
                <w:szCs w:val="18"/>
              </w:rPr>
              <w:t>Cohort Subset</w:t>
            </w:r>
          </w:p>
        </w:tc>
        <w:tc>
          <w:tcPr>
            <w:tcW w:w="0" w:type="auto"/>
            <w:hideMark/>
          </w:tcPr>
          <w:p w14:paraId="6C0619D0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b/>
                <w:bCs/>
                <w:sz w:val="18"/>
                <w:szCs w:val="18"/>
              </w:rPr>
              <w:t>AUC (95% CI)</w:t>
            </w:r>
          </w:p>
        </w:tc>
        <w:tc>
          <w:tcPr>
            <w:tcW w:w="2048" w:type="dxa"/>
            <w:hideMark/>
          </w:tcPr>
          <w:p w14:paraId="41192E68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b/>
                <w:bCs/>
                <w:sz w:val="18"/>
                <w:szCs w:val="18"/>
              </w:rPr>
              <w:t>Brier Score (95% CI)</w:t>
            </w:r>
          </w:p>
        </w:tc>
        <w:tc>
          <w:tcPr>
            <w:tcW w:w="2923" w:type="dxa"/>
            <w:hideMark/>
          </w:tcPr>
          <w:p w14:paraId="7E1630B5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b/>
                <w:bCs/>
                <w:sz w:val="18"/>
                <w:szCs w:val="18"/>
              </w:rPr>
              <w:t>Calibration Intercept (95% CI)</w:t>
            </w:r>
          </w:p>
        </w:tc>
        <w:tc>
          <w:tcPr>
            <w:tcW w:w="2507" w:type="dxa"/>
            <w:hideMark/>
          </w:tcPr>
          <w:p w14:paraId="3457834B" w14:textId="77777777" w:rsidR="00C1535F" w:rsidRPr="000571A4" w:rsidRDefault="00C1535F" w:rsidP="00C61481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b/>
                <w:bCs/>
                <w:sz w:val="18"/>
                <w:szCs w:val="18"/>
              </w:rPr>
              <w:t>Calibration Slope (95% CI)</w:t>
            </w:r>
          </w:p>
        </w:tc>
      </w:tr>
      <w:tr w:rsidR="00C1535F" w:rsidRPr="00F352CB" w14:paraId="792F62C2" w14:textId="77777777" w:rsidTr="00C61481">
        <w:trPr>
          <w:trHeight w:val="130"/>
        </w:trPr>
        <w:tc>
          <w:tcPr>
            <w:tcW w:w="0" w:type="auto"/>
            <w:hideMark/>
          </w:tcPr>
          <w:p w14:paraId="78314D74" w14:textId="77777777" w:rsidR="00C1535F" w:rsidRPr="00F352CB" w:rsidRDefault="00C1535F" w:rsidP="00C61481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 xml:space="preserve">Full External Cohort </w:t>
            </w:r>
          </w:p>
          <w:p w14:paraId="167554E7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(2019–2025)</w:t>
            </w:r>
          </w:p>
        </w:tc>
        <w:tc>
          <w:tcPr>
            <w:tcW w:w="0" w:type="auto"/>
            <w:hideMark/>
          </w:tcPr>
          <w:p w14:paraId="2E46DBD7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0.718 (0.644–0.792)</w:t>
            </w:r>
          </w:p>
        </w:tc>
        <w:tc>
          <w:tcPr>
            <w:tcW w:w="2048" w:type="dxa"/>
            <w:hideMark/>
          </w:tcPr>
          <w:p w14:paraId="6F6C8A3D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0.242 (0.239–0.245)</w:t>
            </w:r>
          </w:p>
        </w:tc>
        <w:tc>
          <w:tcPr>
            <w:tcW w:w="2923" w:type="dxa"/>
            <w:hideMark/>
          </w:tcPr>
          <w:p w14:paraId="32003CC6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0.000 (−0.182</w:t>
            </w:r>
            <w:r w:rsidRPr="00F352CB">
              <w:rPr>
                <w:rFonts w:ascii="Arial" w:eastAsia="等线" w:hAnsi="Arial" w:cs="Arial"/>
                <w:sz w:val="18"/>
                <w:szCs w:val="18"/>
              </w:rPr>
              <w:t>–</w:t>
            </w:r>
            <w:r w:rsidRPr="00F352CB">
              <w:rPr>
                <w:rFonts w:ascii="Arial" w:hAnsi="Arial" w:cs="Arial"/>
                <w:sz w:val="18"/>
                <w:szCs w:val="18"/>
              </w:rPr>
              <w:t>0.186)</w:t>
            </w:r>
          </w:p>
        </w:tc>
        <w:tc>
          <w:tcPr>
            <w:tcW w:w="2507" w:type="dxa"/>
            <w:hideMark/>
          </w:tcPr>
          <w:p w14:paraId="4E284016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1.000 (0.591</w:t>
            </w:r>
            <w:r w:rsidRPr="00F352CB">
              <w:rPr>
                <w:rFonts w:ascii="Arial" w:eastAsia="等线" w:hAnsi="Arial" w:cs="Arial"/>
                <w:sz w:val="18"/>
                <w:szCs w:val="18"/>
              </w:rPr>
              <w:t>–</w:t>
            </w:r>
            <w:r w:rsidRPr="00F352CB">
              <w:rPr>
                <w:rFonts w:ascii="Arial" w:hAnsi="Arial" w:cs="Arial"/>
                <w:sz w:val="18"/>
                <w:szCs w:val="18"/>
              </w:rPr>
              <w:t>2.590)</w:t>
            </w:r>
          </w:p>
        </w:tc>
      </w:tr>
      <w:tr w:rsidR="00C1535F" w:rsidRPr="00F352CB" w14:paraId="35A3D3F0" w14:textId="77777777" w:rsidTr="00C61481">
        <w:trPr>
          <w:trHeight w:val="128"/>
        </w:trPr>
        <w:tc>
          <w:tcPr>
            <w:tcW w:w="0" w:type="auto"/>
            <w:hideMark/>
          </w:tcPr>
          <w:p w14:paraId="29EC935B" w14:textId="77777777" w:rsidR="00C1535F" w:rsidRPr="00F352CB" w:rsidRDefault="00C1535F" w:rsidP="00C61481">
            <w:pPr>
              <w:rPr>
                <w:rFonts w:ascii="Arial" w:eastAsiaTheme="minorEastAsia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 xml:space="preserve">Non-Pandemic Subset </w:t>
            </w:r>
          </w:p>
          <w:p w14:paraId="73DDCCAB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(2019, 2023–2025)</w:t>
            </w:r>
          </w:p>
        </w:tc>
        <w:tc>
          <w:tcPr>
            <w:tcW w:w="0" w:type="auto"/>
            <w:hideMark/>
          </w:tcPr>
          <w:p w14:paraId="1F01A852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0.686 (0.613–0.759)</w:t>
            </w:r>
          </w:p>
        </w:tc>
        <w:tc>
          <w:tcPr>
            <w:tcW w:w="2048" w:type="dxa"/>
            <w:hideMark/>
          </w:tcPr>
          <w:p w14:paraId="1DA3105B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0.220 (0.201–0.240)</w:t>
            </w:r>
          </w:p>
        </w:tc>
        <w:tc>
          <w:tcPr>
            <w:tcW w:w="2923" w:type="dxa"/>
            <w:hideMark/>
          </w:tcPr>
          <w:p w14:paraId="13B7403D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0.000 (−0.313</w:t>
            </w:r>
            <w:r w:rsidRPr="00F352CB">
              <w:rPr>
                <w:rFonts w:ascii="Arial" w:eastAsia="等线" w:hAnsi="Arial" w:cs="Arial"/>
                <w:sz w:val="18"/>
                <w:szCs w:val="18"/>
              </w:rPr>
              <w:t>–</w:t>
            </w:r>
            <w:r w:rsidRPr="00F352CB">
              <w:rPr>
                <w:rFonts w:ascii="Arial" w:hAnsi="Arial" w:cs="Arial"/>
                <w:sz w:val="18"/>
                <w:szCs w:val="18"/>
              </w:rPr>
              <w:t>0.330)</w:t>
            </w:r>
          </w:p>
        </w:tc>
        <w:tc>
          <w:tcPr>
            <w:tcW w:w="2507" w:type="dxa"/>
            <w:hideMark/>
          </w:tcPr>
          <w:p w14:paraId="78281B14" w14:textId="77777777" w:rsidR="00C1535F" w:rsidRPr="00F352CB" w:rsidRDefault="00C1535F" w:rsidP="00C61481">
            <w:pPr>
              <w:rPr>
                <w:rFonts w:ascii="Arial" w:hAnsi="Arial" w:cs="Arial"/>
                <w:sz w:val="18"/>
                <w:szCs w:val="18"/>
              </w:rPr>
            </w:pPr>
            <w:r w:rsidRPr="00F352CB">
              <w:rPr>
                <w:rFonts w:ascii="Arial" w:hAnsi="Arial" w:cs="Arial"/>
                <w:sz w:val="18"/>
                <w:szCs w:val="18"/>
              </w:rPr>
              <w:t>1.000 (0.598–1.483)</w:t>
            </w:r>
          </w:p>
        </w:tc>
      </w:tr>
    </w:tbl>
    <w:p w14:paraId="690679D3" w14:textId="77777777" w:rsidR="00C1535F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Sensitivity analysis excluding patients admitted during the COVID-19 pandemic (2020–2022). Calibration metrics are based on post-recalibration models.</w:t>
      </w:r>
    </w:p>
    <w:p w14:paraId="387C731D" w14:textId="77777777" w:rsidR="00C1535F" w:rsidRPr="00BB77C1" w:rsidRDefault="00C1535F" w:rsidP="00C1535F">
      <w:pPr>
        <w:contextualSpacing/>
        <w:rPr>
          <w:rFonts w:ascii="Times New Roman" w:hAnsi="Times New Roman" w:cs="Times New Roman"/>
          <w:szCs w:val="21"/>
        </w:rPr>
      </w:pPr>
      <w:r w:rsidRPr="00BB77C1">
        <w:rPr>
          <w:rFonts w:ascii="Times New Roman" w:hAnsi="Times New Roman" w:cs="Times New Roman"/>
          <w:szCs w:val="21"/>
        </w:rPr>
        <w:t>Abbreviations: AUC, area under the receiver operating characteristic curve; CI, confidence interval.</w:t>
      </w:r>
    </w:p>
    <w:p w14:paraId="3F6F7FAF" w14:textId="77777777" w:rsidR="003D5199" w:rsidRDefault="003D5199" w:rsidP="003D5199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93CB8ED" w14:textId="2A66A909" w:rsidR="003D5199" w:rsidRDefault="003D5199" w:rsidP="003D519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03E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82327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082327">
        <w:rPr>
          <w:rFonts w:ascii="Times New Roman" w:hAnsi="Times New Roman" w:cs="Times New Roman"/>
          <w:sz w:val="24"/>
          <w:szCs w:val="24"/>
        </w:rPr>
        <w:t xml:space="preserve"> Restricted cubic spline (RCS) curve for the dose-response relationship between continuous SHR and 1-year mortality.</w:t>
      </w:r>
    </w:p>
    <w:p w14:paraId="198F230F" w14:textId="77777777" w:rsidR="003D5199" w:rsidRDefault="003D5199" w:rsidP="003D5199">
      <w:pPr>
        <w:spacing w:line="360" w:lineRule="auto"/>
        <w:ind w:firstLineChars="200" w:firstLine="4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0D64F7" wp14:editId="50E73CF5">
            <wp:extent cx="4559667" cy="3419750"/>
            <wp:effectExtent l="0" t="0" r="0" b="0"/>
            <wp:docPr id="111519008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597" cy="342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0AA74" w14:textId="77777777" w:rsidR="003D5199" w:rsidRDefault="003D5199" w:rsidP="003D5199">
      <w:pPr>
        <w:spacing w:line="360" w:lineRule="auto"/>
        <w:ind w:firstLineChars="200" w:firstLine="480"/>
        <w:contextualSpacing/>
        <w:rPr>
          <w:rFonts w:ascii="Times New Roman" w:hAnsi="Times New Roman" w:cs="Times New Roman"/>
          <w:sz w:val="24"/>
          <w:szCs w:val="24"/>
        </w:rPr>
      </w:pPr>
    </w:p>
    <w:p w14:paraId="02D7D9DE" w14:textId="77777777" w:rsidR="003D5199" w:rsidRPr="00FD1266" w:rsidRDefault="003D5199" w:rsidP="003D5199">
      <w:pPr>
        <w:rPr>
          <w:rFonts w:ascii="Times New Roman" w:hAnsi="Times New Roman" w:cs="Times New Roman"/>
          <w:noProof/>
          <w:sz w:val="24"/>
          <w:szCs w:val="24"/>
        </w:rPr>
      </w:pPr>
      <w:r w:rsidRPr="00FD12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1A6C0D" wp14:editId="5AB021E3">
            <wp:simplePos x="0" y="0"/>
            <wp:positionH relativeFrom="margin">
              <wp:align>center</wp:align>
            </wp:positionH>
            <wp:positionV relativeFrom="paragraph">
              <wp:posOffset>440055</wp:posOffset>
            </wp:positionV>
            <wp:extent cx="4115435" cy="3292447"/>
            <wp:effectExtent l="0" t="0" r="0" b="3810"/>
            <wp:wrapTopAndBottom/>
            <wp:docPr id="587100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0096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5435" cy="329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126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Supplementary Figure S2. </w:t>
      </w:r>
      <w:r w:rsidRPr="00FD1266">
        <w:rPr>
          <w:rFonts w:ascii="Times New Roman" w:hAnsi="Times New Roman" w:cs="Times New Roman"/>
          <w:noProof/>
          <w:sz w:val="24"/>
          <w:szCs w:val="24"/>
        </w:rPr>
        <w:t xml:space="preserve">Schoenfeld residuals plot for testing the proportional hazards assumption of the stress hyperglycemia ratio (SHR). </w:t>
      </w:r>
    </w:p>
    <w:p w14:paraId="2DCDD631" w14:textId="77777777" w:rsidR="003D5199" w:rsidRDefault="003D5199" w:rsidP="003D5199">
      <w:pPr>
        <w:rPr>
          <w:rFonts w:ascii="Times New Roman" w:eastAsia="宋体" w:hAnsi="Times New Roman" w:cs="Times New Roman"/>
          <w:szCs w:val="21"/>
          <w:lang w:bidi="ar"/>
        </w:rPr>
      </w:pPr>
      <w:r w:rsidRPr="00FD1266">
        <w:rPr>
          <w:rFonts w:ascii="Times New Roman" w:hAnsi="Times New Roman" w:cs="Times New Roman"/>
          <w:noProof/>
        </w:rPr>
        <w:t xml:space="preserve">The plot displays the scaled Schoenfeld residuals for SHR over the follow-up time (in days), accompanied by a fitted smooth curve (solid line) and its 95% confidence bands (dashed lines). </w:t>
      </w:r>
    </w:p>
    <w:p w14:paraId="4C9EE6A6" w14:textId="77777777" w:rsidR="003D5199" w:rsidRDefault="003D5199" w:rsidP="003D5199">
      <w:pPr>
        <w:rPr>
          <w:rFonts w:ascii="Times New Roman" w:eastAsia="宋体" w:hAnsi="Times New Roman" w:cs="Arial"/>
          <w:b/>
          <w:bCs/>
          <w:sz w:val="24"/>
          <w:szCs w:val="24"/>
          <w:lang w:bidi="ar"/>
        </w:rPr>
      </w:pPr>
    </w:p>
    <w:p w14:paraId="07035EC7" w14:textId="77777777" w:rsidR="003D5199" w:rsidRPr="0098403E" w:rsidRDefault="003D5199" w:rsidP="003D5199">
      <w:pPr>
        <w:rPr>
          <w:rFonts w:ascii="Times New Roman" w:eastAsia="宋体" w:hAnsi="Times New Roman" w:cs="Arial"/>
          <w:sz w:val="24"/>
          <w:szCs w:val="24"/>
          <w:lang w:bidi="ar"/>
        </w:rPr>
      </w:pPr>
      <w:r w:rsidRPr="0098403E">
        <w:rPr>
          <w:rFonts w:ascii="Times New Roman" w:eastAsia="宋体" w:hAnsi="Times New Roman" w:cs="Arial"/>
          <w:b/>
          <w:bCs/>
          <w:sz w:val="24"/>
          <w:szCs w:val="24"/>
          <w:lang w:bidi="ar"/>
        </w:rPr>
        <w:t xml:space="preserve">Supplementary Figure </w:t>
      </w:r>
      <w:r w:rsidRPr="0098403E">
        <w:rPr>
          <w:rFonts w:ascii="Times New Roman" w:eastAsia="宋体" w:hAnsi="Times New Roman" w:cs="Arial" w:hint="eastAsia"/>
          <w:b/>
          <w:bCs/>
          <w:sz w:val="24"/>
          <w:szCs w:val="24"/>
          <w:lang w:bidi="ar"/>
        </w:rPr>
        <w:t>S3.</w:t>
      </w:r>
      <w:r w:rsidRPr="0098403E">
        <w:rPr>
          <w:rFonts w:ascii="Times New Roman" w:eastAsia="宋体" w:hAnsi="Times New Roman" w:cs="Arial"/>
          <w:sz w:val="24"/>
          <w:szCs w:val="24"/>
          <w:lang w:bidi="ar"/>
        </w:rPr>
        <w:t xml:space="preserve"> Calibration plots of the machine learning </w:t>
      </w:r>
      <w:proofErr w:type="gramStart"/>
      <w:r w:rsidRPr="0098403E">
        <w:rPr>
          <w:rFonts w:ascii="Times New Roman" w:eastAsia="宋体" w:hAnsi="Times New Roman" w:cs="Arial"/>
          <w:sz w:val="24"/>
          <w:szCs w:val="24"/>
          <w:lang w:bidi="ar"/>
        </w:rPr>
        <w:t>models</w:t>
      </w:r>
      <w:proofErr w:type="gramEnd"/>
      <w:r w:rsidRPr="0098403E">
        <w:rPr>
          <w:rFonts w:ascii="Times New Roman" w:eastAsia="宋体" w:hAnsi="Times New Roman" w:cs="Arial"/>
          <w:sz w:val="24"/>
          <w:szCs w:val="24"/>
          <w:lang w:bidi="ar"/>
        </w:rPr>
        <w:t xml:space="preserve"> in the external validation cohort.</w:t>
      </w:r>
    </w:p>
    <w:p w14:paraId="27579E0F" w14:textId="77777777" w:rsidR="003D5199" w:rsidRPr="00F62CA2" w:rsidRDefault="003D5199" w:rsidP="003D5199">
      <w:pPr>
        <w:rPr>
          <w:rFonts w:ascii="Times New Roman" w:eastAsia="宋体" w:hAnsi="Times New Roman" w:cs="Arial"/>
          <w:szCs w:val="21"/>
          <w:lang w:bidi="ar"/>
        </w:rPr>
      </w:pPr>
      <w:r w:rsidRPr="00FD1266">
        <w:rPr>
          <w:rFonts w:ascii="Times New Roman" w:eastAsia="宋体" w:hAnsi="Times New Roman" w:cs="Arial"/>
          <w:szCs w:val="21"/>
          <w:lang w:bidi="ar"/>
        </w:rPr>
        <w:t xml:space="preserve">(a) </w:t>
      </w:r>
      <w:r>
        <w:rPr>
          <w:rFonts w:ascii="Times New Roman" w:eastAsia="宋体" w:hAnsi="Times New Roman" w:cs="Arial" w:hint="eastAsia"/>
          <w:szCs w:val="21"/>
          <w:lang w:bidi="ar"/>
        </w:rPr>
        <w:t xml:space="preserve">LOG: </w:t>
      </w:r>
      <w:r w:rsidRPr="00FD1266">
        <w:rPr>
          <w:rFonts w:ascii="Times New Roman" w:eastAsia="宋体" w:hAnsi="Times New Roman" w:cs="Arial"/>
          <w:szCs w:val="21"/>
          <w:lang w:bidi="ar"/>
        </w:rPr>
        <w:t xml:space="preserve">Logistic regression; (b) </w:t>
      </w:r>
      <w:r>
        <w:rPr>
          <w:rFonts w:ascii="Times New Roman" w:eastAsia="宋体" w:hAnsi="Times New Roman" w:cs="Arial" w:hint="eastAsia"/>
          <w:szCs w:val="21"/>
          <w:lang w:bidi="ar"/>
        </w:rPr>
        <w:t xml:space="preserve">RF: </w:t>
      </w:r>
      <w:proofErr w:type="gramStart"/>
      <w:r w:rsidRPr="00FD1266">
        <w:rPr>
          <w:rFonts w:ascii="Times New Roman" w:eastAsia="宋体" w:hAnsi="Times New Roman" w:cs="Arial"/>
          <w:szCs w:val="21"/>
          <w:lang w:bidi="ar"/>
        </w:rPr>
        <w:t>Random forest</w:t>
      </w:r>
      <w:proofErr w:type="gramEnd"/>
      <w:r w:rsidRPr="00FD1266">
        <w:rPr>
          <w:rFonts w:ascii="Times New Roman" w:eastAsia="宋体" w:hAnsi="Times New Roman" w:cs="Arial"/>
          <w:szCs w:val="21"/>
          <w:lang w:bidi="ar"/>
        </w:rPr>
        <w:t xml:space="preserve">; (c) </w:t>
      </w:r>
      <w:r>
        <w:rPr>
          <w:rFonts w:ascii="Times New Roman" w:eastAsia="宋体" w:hAnsi="Times New Roman" w:cs="Arial" w:hint="eastAsia"/>
          <w:szCs w:val="21"/>
          <w:lang w:bidi="ar"/>
        </w:rPr>
        <w:t xml:space="preserve">SVM: </w:t>
      </w:r>
      <w:r w:rsidRPr="00FD1266">
        <w:rPr>
          <w:rFonts w:ascii="Times New Roman" w:eastAsia="宋体" w:hAnsi="Times New Roman" w:cs="Arial"/>
          <w:szCs w:val="21"/>
          <w:lang w:bidi="ar"/>
        </w:rPr>
        <w:t xml:space="preserve">Support vector machine; (d) </w:t>
      </w:r>
      <w:r>
        <w:rPr>
          <w:rFonts w:ascii="Times New Roman" w:eastAsia="宋体" w:hAnsi="Times New Roman" w:cs="Arial" w:hint="eastAsia"/>
          <w:szCs w:val="21"/>
          <w:lang w:bidi="ar"/>
        </w:rPr>
        <w:t xml:space="preserve">XGB: </w:t>
      </w:r>
      <w:r w:rsidRPr="00FD1266">
        <w:rPr>
          <w:rFonts w:ascii="Times New Roman" w:eastAsia="宋体" w:hAnsi="Times New Roman" w:cs="Arial"/>
          <w:szCs w:val="21"/>
          <w:lang w:bidi="ar"/>
        </w:rPr>
        <w:lastRenderedPageBreak/>
        <w:t xml:space="preserve">Extreme gradient boosting. </w:t>
      </w:r>
      <w:r w:rsidRPr="00CE1D3C">
        <w:rPr>
          <w:rFonts w:ascii="Times New Roman" w:eastAsia="宋体" w:hAnsi="Times New Roman" w:cs="Arial"/>
          <w:szCs w:val="21"/>
          <w:lang w:bidi="ar"/>
        </w:rPr>
        <w:t>The x-axis represents predicted probability of 1-year all-cause mortality, and the y-axis represents observed event frequency. The red solid line indicates perfect calibration, and the blue dashed line represents the apparent calibration of the original model without recalibration.</w:t>
      </w:r>
      <w:r>
        <w:rPr>
          <w:rFonts w:ascii="Times New Roman" w:eastAsia="宋体" w:hAnsi="Times New Roman" w:cs="Arial" w:hint="eastAsia"/>
          <w:szCs w:val="21"/>
          <w:lang w:bidi="ar"/>
        </w:rPr>
        <w:t xml:space="preserve"> </w:t>
      </w:r>
    </w:p>
    <w:tbl>
      <w:tblPr>
        <w:tblStyle w:val="af3"/>
        <w:tblpPr w:leftFromText="180" w:rightFromText="180" w:vertAnchor="text" w:horzAnchor="margin" w:tblpXSpec="center" w:tblpY="188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3D5199" w14:paraId="0CE72958" w14:textId="77777777" w:rsidTr="00C61481">
        <w:tc>
          <w:tcPr>
            <w:tcW w:w="4261" w:type="dxa"/>
          </w:tcPr>
          <w:p w14:paraId="67576DE7" w14:textId="77777777" w:rsidR="003D5199" w:rsidRDefault="003D5199" w:rsidP="00C61481">
            <w:r>
              <w:rPr>
                <w:noProof/>
                <w14:ligatures w14:val="standardContextual"/>
              </w:rPr>
              <w:drawing>
                <wp:inline distT="0" distB="0" distL="0" distR="0" wp14:anchorId="3210E246" wp14:editId="4CC564FB">
                  <wp:extent cx="2568575" cy="2140585"/>
                  <wp:effectExtent l="0" t="0" r="3175" b="0"/>
                  <wp:docPr id="11881598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159885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2020298F" w14:textId="77777777" w:rsidR="003D5199" w:rsidRDefault="003D5199" w:rsidP="00C61481">
            <w:r>
              <w:rPr>
                <w:noProof/>
                <w14:ligatures w14:val="standardContextual"/>
              </w:rPr>
              <w:drawing>
                <wp:inline distT="0" distB="0" distL="0" distR="0" wp14:anchorId="4BBFCAF3" wp14:editId="17D996FC">
                  <wp:extent cx="2568575" cy="2140585"/>
                  <wp:effectExtent l="0" t="0" r="3175" b="0"/>
                  <wp:docPr id="10279417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941753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199" w14:paraId="7C768237" w14:textId="77777777" w:rsidTr="00C61481">
        <w:tc>
          <w:tcPr>
            <w:tcW w:w="4261" w:type="dxa"/>
          </w:tcPr>
          <w:p w14:paraId="1B29D902" w14:textId="77777777" w:rsidR="003D5199" w:rsidRDefault="003D5199" w:rsidP="00C61481">
            <w:r>
              <w:rPr>
                <w:noProof/>
                <w14:ligatures w14:val="standardContextual"/>
              </w:rPr>
              <w:drawing>
                <wp:inline distT="0" distB="0" distL="0" distR="0" wp14:anchorId="1181F8B2" wp14:editId="422E9284">
                  <wp:extent cx="2568575" cy="2140585"/>
                  <wp:effectExtent l="0" t="0" r="3175" b="0"/>
                  <wp:docPr id="127265065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650653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2F76D282" w14:textId="77777777" w:rsidR="003D5199" w:rsidRDefault="003D5199" w:rsidP="00C61481">
            <w:r>
              <w:rPr>
                <w:noProof/>
                <w14:ligatures w14:val="standardContextual"/>
              </w:rPr>
              <w:drawing>
                <wp:inline distT="0" distB="0" distL="0" distR="0" wp14:anchorId="0FB7A13B" wp14:editId="12B10EA8">
                  <wp:extent cx="2568575" cy="2140585"/>
                  <wp:effectExtent l="0" t="0" r="3175" b="0"/>
                  <wp:docPr id="138519811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19811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75" cy="214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6E72A3" w14:textId="77777777" w:rsidR="003D5199" w:rsidRDefault="003D5199" w:rsidP="003D5199">
      <w:pPr>
        <w:rPr>
          <w:rFonts w:ascii="Times New Roman" w:eastAsia="宋体" w:hAnsi="Times New Roman"/>
          <w:b/>
          <w:bCs/>
          <w:sz w:val="24"/>
          <w:szCs w:val="24"/>
        </w:rPr>
      </w:pPr>
    </w:p>
    <w:p w14:paraId="4D30BE64" w14:textId="77777777" w:rsidR="003D5199" w:rsidRDefault="003D5199" w:rsidP="003D5199">
      <w:pPr>
        <w:rPr>
          <w:rFonts w:ascii="Times New Roman" w:eastAsia="宋体" w:hAnsi="Times New Roman"/>
          <w:szCs w:val="21"/>
        </w:rPr>
      </w:pPr>
      <w:r w:rsidRPr="00FD1266">
        <w:rPr>
          <w:rFonts w:ascii="Times New Roman" w:eastAsia="宋体" w:hAnsi="Times New Roman"/>
          <w:b/>
          <w:bCs/>
          <w:sz w:val="24"/>
          <w:szCs w:val="24"/>
        </w:rPr>
        <w:t>Supplementary Figure S4.</w:t>
      </w:r>
      <w:r w:rsidRPr="00FD1266">
        <w:rPr>
          <w:rFonts w:ascii="Times New Roman" w:eastAsia="宋体" w:hAnsi="Times New Roman"/>
          <w:sz w:val="24"/>
          <w:szCs w:val="24"/>
        </w:rPr>
        <w:t xml:space="preserve"> Decision curve analysis of the four machine learning models in the external validation cohort.</w:t>
      </w:r>
      <w:r w:rsidRPr="00965342">
        <w:rPr>
          <w:rFonts w:ascii="Times New Roman" w:eastAsia="宋体" w:hAnsi="Times New Roman"/>
          <w:szCs w:val="21"/>
        </w:rPr>
        <w:t xml:space="preserve"> </w:t>
      </w:r>
    </w:p>
    <w:p w14:paraId="6204E0BC" w14:textId="77777777" w:rsidR="003D5199" w:rsidRPr="00257C76" w:rsidRDefault="003D5199" w:rsidP="003D5199">
      <w:pPr>
        <w:rPr>
          <w:rFonts w:ascii="Times New Roman" w:eastAsia="宋体" w:hAnsi="Times New Roman"/>
          <w:szCs w:val="21"/>
        </w:rPr>
      </w:pPr>
      <w:r w:rsidRPr="00257C76">
        <w:rPr>
          <w:rFonts w:ascii="Times New Roman" w:eastAsia="宋体" w:hAnsi="Times New Roman"/>
          <w:szCs w:val="21"/>
        </w:rPr>
        <w:t xml:space="preserve">The x-axis represents threshold probability, and the y-axis represents net benefit. </w:t>
      </w:r>
    </w:p>
    <w:p w14:paraId="3E5D96C8" w14:textId="702E8767" w:rsidR="006F7E9E" w:rsidRDefault="003D5199" w:rsidP="003D5199">
      <w:pPr>
        <w:rPr>
          <w:rFonts w:ascii="Times New Roman" w:eastAsia="宋体" w:hAnsi="Times New Roman"/>
          <w:szCs w:val="21"/>
        </w:rPr>
      </w:pPr>
      <w:r w:rsidRPr="00257C76">
        <w:rPr>
          <w:rFonts w:ascii="Times New Roman" w:eastAsia="宋体" w:hAnsi="Times New Roman"/>
          <w:szCs w:val="21"/>
        </w:rPr>
        <w:t>Decision curve analysis was performed using post-recalibration probabilities.</w:t>
      </w:r>
    </w:p>
    <w:p w14:paraId="191D537A" w14:textId="15181EE7" w:rsidR="003D5199" w:rsidRDefault="003D5199" w:rsidP="003D519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9664481" wp14:editId="7136BA56">
            <wp:extent cx="5274310" cy="3691763"/>
            <wp:effectExtent l="0" t="0" r="2540" b="4445"/>
            <wp:docPr id="7332790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7C8D" w14:textId="77777777" w:rsidR="007B02A4" w:rsidRDefault="007B02A4" w:rsidP="00C1535F">
      <w:pPr>
        <w:rPr>
          <w:rFonts w:hint="eastAsia"/>
        </w:rPr>
      </w:pPr>
      <w:r>
        <w:separator/>
      </w:r>
    </w:p>
  </w:endnote>
  <w:endnote w:type="continuationSeparator" w:id="0">
    <w:p w14:paraId="1991F011" w14:textId="77777777" w:rsidR="007B02A4" w:rsidRDefault="007B02A4" w:rsidP="00C153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256D2" w14:textId="77777777" w:rsidR="007B02A4" w:rsidRDefault="007B02A4" w:rsidP="00C1535F">
      <w:pPr>
        <w:rPr>
          <w:rFonts w:hint="eastAsia"/>
        </w:rPr>
      </w:pPr>
      <w:r>
        <w:separator/>
      </w:r>
    </w:p>
  </w:footnote>
  <w:footnote w:type="continuationSeparator" w:id="0">
    <w:p w14:paraId="6F9465DC" w14:textId="77777777" w:rsidR="007B02A4" w:rsidRDefault="007B02A4" w:rsidP="00C153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CC"/>
    <w:rsid w:val="003D5199"/>
    <w:rsid w:val="004155D4"/>
    <w:rsid w:val="006E4FCC"/>
    <w:rsid w:val="006F7E9E"/>
    <w:rsid w:val="0073710D"/>
    <w:rsid w:val="007B02A4"/>
    <w:rsid w:val="00963F44"/>
    <w:rsid w:val="00A92154"/>
    <w:rsid w:val="00C1535F"/>
    <w:rsid w:val="00E3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84CF64"/>
  <w15:chartTrackingRefBased/>
  <w15:docId w15:val="{62DEEBA7-08C5-4776-87ED-2FBAAB28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F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F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FC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FC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FC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F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F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F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F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4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4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4F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4FC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4F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4F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4F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4F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4F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4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F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4F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4F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4F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4F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4F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4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E4F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4FC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53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535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5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535F"/>
    <w:rPr>
      <w:sz w:val="18"/>
      <w:szCs w:val="18"/>
    </w:rPr>
  </w:style>
  <w:style w:type="table" w:customStyle="1" w:styleId="af2">
    <w:name w:val="三线表"/>
    <w:basedOn w:val="a1"/>
    <w:uiPriority w:val="99"/>
    <w:rsid w:val="00C1535F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3">
    <w:name w:val="Table Grid"/>
    <w:basedOn w:val="a1"/>
    <w:uiPriority w:val="39"/>
    <w:rsid w:val="00C1535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1517</Words>
  <Characters>9209</Characters>
  <Application>Microsoft Office Word</Application>
  <DocSecurity>0</DocSecurity>
  <Lines>541</Lines>
  <Paragraphs>536</Paragraphs>
  <ScaleCrop>false</ScaleCrop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freya</dc:creator>
  <cp:keywords/>
  <dc:description/>
  <cp:lastModifiedBy>w freya</cp:lastModifiedBy>
  <cp:revision>3</cp:revision>
  <dcterms:created xsi:type="dcterms:W3CDTF">2026-05-12T13:23:00Z</dcterms:created>
  <dcterms:modified xsi:type="dcterms:W3CDTF">2026-05-12T13:45:00Z</dcterms:modified>
</cp:coreProperties>
</file>