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96746">
      <w:pPr>
        <w:ind w:firstLine="480" w:firstLineChars="200"/>
        <w:jc w:val="center"/>
        <w:rPr>
          <w:rFonts w:ascii="微软雅黑" w:hAnsi="微软雅黑" w:eastAsia="微软雅黑" w:cs="微软雅黑"/>
          <w:b/>
          <w:bCs/>
          <w:sz w:val="24"/>
          <w:lang w:bidi="ar"/>
        </w:rPr>
      </w:pPr>
      <w:r>
        <w:rPr>
          <w:rFonts w:ascii="微软雅黑" w:hAnsi="微软雅黑" w:eastAsia="微软雅黑" w:cs="微软雅黑"/>
          <w:b/>
          <w:bCs/>
          <w:sz w:val="24"/>
          <w:lang w:bidi="ar"/>
        </w:rPr>
        <w:t>Correlation Between Angiopoietin-2 Levels and Layered Plaques in Acute Coronary Syndrome: Insights from an Optical Coherence tomography</w:t>
      </w:r>
    </w:p>
    <w:p w14:paraId="62BB96A9">
      <w:pPr>
        <w:rPr>
          <w:rFonts w:ascii="微软雅黑" w:hAnsi="微软雅黑" w:eastAsia="微软雅黑" w:cs="微软雅黑"/>
          <w:b/>
          <w:bCs/>
          <w:sz w:val="24"/>
        </w:rPr>
      </w:pPr>
      <w:r>
        <w:rPr>
          <w:rFonts w:ascii="微软雅黑" w:hAnsi="微软雅黑" w:eastAsia="微软雅黑" w:cs="微软雅黑"/>
          <w:b/>
          <w:bCs/>
          <w:sz w:val="24"/>
          <w:lang w:bidi="ar"/>
        </w:rPr>
        <w:t>Jiaojiao Wen*1, Chancui Deng*1, Changlong Yang1, Xi Wang1, Xingwei Hu1, Bei Shi1*, and Yi Ma1*</w:t>
      </w:r>
    </w:p>
    <w:p w14:paraId="518FAE01">
      <w:pPr>
        <w:ind w:firstLine="360"/>
        <w:rPr>
          <w:rFonts w:ascii="微软雅黑" w:hAnsi="微软雅黑" w:eastAsia="微软雅黑" w:cs="微软雅黑"/>
          <w:b/>
          <w:bCs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bidi="ar"/>
        </w:rPr>
        <w:t xml:space="preserve"> </w:t>
      </w:r>
      <w:r>
        <w:rPr>
          <w:rStyle w:val="12"/>
          <w:rFonts w:hint="eastAsia" w:ascii="微软雅黑" w:hAnsi="微软雅黑" w:eastAsia="微软雅黑" w:cs="微软雅黑"/>
          <w:sz w:val="18"/>
          <w:szCs w:val="18"/>
          <w:lang w:bidi="ar"/>
        </w:rPr>
        <w:footnoteReference w:id="0"/>
      </w:r>
      <w:r>
        <w:rPr>
          <w:rFonts w:hint="eastAsia" w:ascii="微软雅黑" w:hAnsi="微软雅黑" w:eastAsia="微软雅黑" w:cs="微软雅黑"/>
          <w:b/>
          <w:bCs/>
          <w:sz w:val="18"/>
          <w:szCs w:val="18"/>
          <w:lang w:bidi="ar"/>
        </w:rPr>
        <w:t xml:space="preserve"> Department of Cardiology, Affiliated Hospital of Zunyi Medical University, Zunyi, China.</w:t>
      </w:r>
    </w:p>
    <w:p w14:paraId="101349B0">
      <w:pPr>
        <w:ind w:firstLine="360"/>
        <w:rPr>
          <w:rFonts w:ascii="微软雅黑" w:hAnsi="微软雅黑" w:eastAsia="微软雅黑" w:cs="微软雅黑"/>
          <w:b/>
          <w:bCs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bidi="ar"/>
        </w:rPr>
        <w:t xml:space="preserve"> </w:t>
      </w:r>
    </w:p>
    <w:p w14:paraId="4EFE98F0">
      <w:pPr>
        <w:ind w:firstLine="360"/>
        <w:rPr>
          <w:rFonts w:ascii="微软雅黑" w:hAnsi="微软雅黑" w:eastAsia="微软雅黑" w:cs="微软雅黑"/>
          <w:b/>
          <w:bCs/>
          <w:sz w:val="18"/>
          <w:szCs w:val="1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bidi="ar"/>
        </w:rPr>
        <w:t xml:space="preserve"> Correspondence:   Bei Shi   shibei2147@163.com</w:t>
      </w:r>
    </w:p>
    <w:p w14:paraId="183E0B47">
      <w:pPr>
        <w:ind w:firstLine="360"/>
        <w:rPr>
          <w:rFonts w:ascii="微软雅黑" w:hAnsi="微软雅黑" w:eastAsia="微软雅黑" w:cs="微软雅黑"/>
          <w:b/>
          <w:bCs/>
          <w:sz w:val="18"/>
          <w:szCs w:val="1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bidi="ar"/>
        </w:rPr>
        <w:t xml:space="preserve">                      Yi  Ma  mayimayizmc@126.com</w:t>
      </w:r>
    </w:p>
    <w:p w14:paraId="4295CAA1">
      <w:pPr>
        <w:ind w:firstLine="360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6EEF5659">
      <w:pPr>
        <w:ind w:firstLine="360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3901D23C">
      <w:pPr>
        <w:ind w:firstLine="360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1F435F56">
      <w:pPr>
        <w:ind w:firstLine="360"/>
        <w:rPr>
          <w:rFonts w:hint="eastAsia" w:ascii="微软雅黑" w:hAnsi="微软雅黑" w:eastAsia="宋体" w:cs="微软雅黑"/>
          <w:b/>
          <w:bCs/>
          <w:sz w:val="18"/>
          <w:szCs w:val="18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Additional file 1: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b/>
          <w:bCs/>
          <w:sz w:val="20"/>
          <w:szCs w:val="20"/>
        </w:rPr>
        <w:t>1</w:t>
      </w:r>
    </w:p>
    <w:p w14:paraId="76AD3716">
      <w:pPr>
        <w:ind w:firstLine="360"/>
        <w:rPr>
          <w:rFonts w:ascii="微软雅黑" w:hAnsi="微软雅黑" w:eastAsia="微软雅黑" w:cs="微软雅黑"/>
          <w:b/>
          <w:bCs/>
          <w:sz w:val="18"/>
          <w:szCs w:val="18"/>
          <w:lang w:bidi="ar"/>
        </w:rPr>
      </w:pPr>
    </w:p>
    <w:p w14:paraId="0C28C7BA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  <w:bookmarkStart w:id="6" w:name="_GoBack"/>
      <w:r>
        <w:rPr>
          <w:rFonts w:ascii="Times New Roman" w:hAnsi="Times New Roman" w:eastAsia="等线" w:cs="Times New Roman"/>
          <w:b/>
          <w:bCs/>
          <w:sz w:val="20"/>
          <w:szCs w:val="20"/>
        </w:rPr>
        <w:drawing>
          <wp:inline distT="0" distB="0" distL="0" distR="0">
            <wp:extent cx="4518660" cy="3083560"/>
            <wp:effectExtent l="0" t="0" r="2540" b="254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308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</w:p>
    <w:p w14:paraId="6DC832EA">
      <w:pPr>
        <w:spacing w:line="480" w:lineRule="auto"/>
        <w:ind w:firstLine="1000" w:firstLineChars="500"/>
        <w:rPr>
          <w:rFonts w:ascii="Times New Roman" w:hAnsi="Times New Roman" w:eastAsia="等线" w:cs="Times New Roman"/>
          <w:sz w:val="20"/>
          <w:szCs w:val="20"/>
        </w:rPr>
      </w:pPr>
      <w:r>
        <w:rPr>
          <w:rFonts w:ascii="Times New Roman" w:hAnsi="Times New Roman" w:eastAsia="等线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b/>
          <w:bCs/>
          <w:sz w:val="20"/>
          <w:szCs w:val="20"/>
        </w:rPr>
        <w:t>1</w:t>
      </w:r>
      <w:r>
        <w:rPr>
          <w:rFonts w:ascii="Times New Roman" w:hAnsi="Times New Roman" w:eastAsia="等线" w:cs="Times New Roman"/>
          <w:sz w:val="20"/>
          <w:szCs w:val="20"/>
        </w:rPr>
        <w:t xml:space="preserve"> Cytoscape diagram. ANGPT1=Ang1.</w:t>
      </w:r>
    </w:p>
    <w:p w14:paraId="09BAE446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B2145B0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8609D35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56382868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1AC43B1B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448CAC6C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BEB8583">
      <w:pPr>
        <w:ind w:firstLine="360"/>
        <w:rPr>
          <w:rFonts w:hint="eastAsia" w:ascii="Times New Roman" w:hAnsi="Times New Roman" w:eastAsia="等线" w:cs="Times New Roman"/>
          <w:b/>
          <w:bCs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  <w:t xml:space="preserve"> 2</w:t>
      </w:r>
    </w:p>
    <w:p w14:paraId="6F88CA17">
      <w:pPr>
        <w:spacing w:line="360" w:lineRule="auto"/>
        <w:ind w:left="482"/>
        <w:rPr>
          <w:rFonts w:hint="eastAsia" w:ascii="Times New Roman" w:hAnsi="Times New Roman" w:eastAsia="宋体" w:cs="Times New Roman"/>
          <w:b/>
          <w:bCs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-487680</wp:posOffset>
            </wp:positionH>
            <wp:positionV relativeFrom="paragraph">
              <wp:posOffset>261620</wp:posOffset>
            </wp:positionV>
            <wp:extent cx="5514975" cy="3149600"/>
            <wp:effectExtent l="0" t="0" r="9525" b="0"/>
            <wp:wrapSquare wrapText="bothSides"/>
            <wp:docPr id="7" name="图片 7" descr="pathway 图_2025112302101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athway 图_20251123021015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D6152">
      <w:pPr>
        <w:spacing w:line="480" w:lineRule="auto"/>
        <w:ind w:firstLine="600" w:firstLineChars="300"/>
        <w:rPr>
          <w:rFonts w:ascii="Times New Roman" w:hAnsi="Times New Roman" w:eastAsia="等线" w:cs="Times New Roman"/>
          <w:sz w:val="20"/>
          <w:szCs w:val="20"/>
        </w:rPr>
      </w:pPr>
      <w:r>
        <w:rPr>
          <w:rFonts w:ascii="Times New Roman" w:hAnsi="Times New Roman" w:eastAsia="等线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b/>
          <w:bCs/>
          <w:sz w:val="20"/>
          <w:szCs w:val="20"/>
        </w:rPr>
        <w:t>2</w:t>
      </w:r>
      <w:r>
        <w:rPr>
          <w:rFonts w:ascii="Times New Roman" w:hAnsi="Times New Roman" w:eastAsia="等线" w:cs="Times New Roman"/>
          <w:sz w:val="20"/>
          <w:szCs w:val="20"/>
        </w:rPr>
        <w:t xml:space="preserve"> Pathway diagram.  the pathways related to Ang2 are presented.</w:t>
      </w:r>
    </w:p>
    <w:p w14:paraId="159D4929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6E2746D1">
      <w:pPr>
        <w:spacing w:line="360" w:lineRule="auto"/>
        <w:ind w:left="482"/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:  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Data Collection and Angiographic Analysis</w:t>
      </w:r>
      <w:r>
        <w:rPr>
          <w:rStyle w:val="11"/>
          <w:rFonts w:hint="eastAsia"/>
          <w:lang w:val="en-US" w:eastAsia="zh-CN"/>
        </w:rPr>
        <w:tab/>
      </w:r>
    </w:p>
    <w:p w14:paraId="73D4BBA1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宋体" w:cs="Times New Roman"/>
          <w:sz w:val="24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 xml:space="preserve">Basic information included patient admission number, name, gender, age(years), </w:t>
      </w:r>
      <w:bookmarkStart w:id="0" w:name="OLE_LINK13"/>
      <w:r>
        <w:rPr>
          <w:rFonts w:ascii="Times New Roman" w:hAnsi="Times New Roman" w:eastAsia="宋体" w:cs="Times New Roman"/>
          <w:sz w:val="24"/>
          <w:szCs w:val="22"/>
          <w:lang w:bidi="ar"/>
        </w:rPr>
        <w:t>Angiopoietin-2</w:t>
      </w:r>
      <w:bookmarkEnd w:id="0"/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(Ang2,ng/mL), Heart rate(HR,times/min), systolic blood pressure(S</w:t>
      </w: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ar"/>
        </w:rPr>
        <w:t>BP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, mmHg)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(based on medical history)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, Diastolic blood pressure</w:t>
      </w:r>
      <w:bookmarkStart w:id="1" w:name="OLE_LINK1"/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(D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BP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, mmHg),</w:t>
      </w:r>
      <w:bookmarkEnd w:id="1"/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 Smoking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(based on medical history)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, Hypertension, Diabetes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(based on medical history)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Dyslipidemia, as 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 xml:space="preserve">well as Previous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Percutaneous Coronary Intervention(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PCI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Previous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Myocardial Infarction(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MI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,Admission event</w: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ar"/>
        </w:rPr>
        <w:t>(Admission event includes paroxysmal malignant arrhythmia or shock),</w: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Clinical presentation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(Acute myocardial infarction and unstable angina)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Statin, Clopidogrel,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Aspirin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β-blocker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Diuretic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Indobufen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ACEI/ARB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(Angiotensin-Converting Enzyme Inhibitor/Angiotensin Receptor Blocker)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Mechanical support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Killip classification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(Killip classification includes Killip grade I, Killip grade II, Killip grade III and Killip grade IV)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. During hospitalization, the auxiliary examination data inclu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de the results of the first cardiac ultrasound on admission, as well as the results of coronary angiography (</w: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bidi="ar"/>
        </w:rPr>
        <w:t>one target lesion per patient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), etc.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Optical coherence tomography</w:t>
      </w: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ar"/>
        </w:rPr>
        <w:t>(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OCT</w:t>
      </w: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ar"/>
        </w:rPr>
        <w:t>)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 xml:space="preserve"> image data encompasses the nature of target lesion plaques, presence of thrombosis, Fiber cap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 thick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ness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 xml:space="preserve">(FCT), lipid arc, Lipid length, Thin-cap fibroatheroma (TCFA), characteristics of thrombosis, microchannels, Macrophage, calcification, minimum lumen area (MLA), </w:t>
      </w:r>
      <w:bookmarkStart w:id="2" w:name="OLE_LINK2"/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area stenosis</w:t>
      </w:r>
      <w:bookmarkEnd w:id="2"/>
      <w:bookmarkStart w:id="3" w:name="OLE_LINK3"/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 xml:space="preserve"> (AS)</w:t>
      </w:r>
      <w:bookmarkEnd w:id="3"/>
      <w:r>
        <w:rPr>
          <w:rFonts w:hint="eastAsia" w:ascii="Times New Roman" w:hAnsi="Times New Roman" w:eastAsia="宋体" w:cs="Times New Roman"/>
          <w:sz w:val="24"/>
          <w:szCs w:val="22"/>
          <w:lang w:bidi="ar"/>
        </w:rPr>
        <w:t>, and reference vessel area (RA).</w:t>
      </w:r>
    </w:p>
    <w:p w14:paraId="432F0B7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left="420"/>
        <w:textAlignment w:val="auto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:  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Collection of blood samples and detection of Ang2 concentration</w:t>
      </w:r>
    </w:p>
    <w:p w14:paraId="7ED8D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z w:val="24"/>
          <w:szCs w:val="20"/>
          <w:lang w:bidi="ar"/>
        </w:rPr>
      </w:pPr>
      <w:bookmarkStart w:id="4" w:name="OLE_LINK5"/>
      <w:r>
        <w:rPr>
          <w:rFonts w:ascii="Times New Roman" w:hAnsi="Times New Roman" w:eastAsia="宋体" w:cs="Times New Roman"/>
          <w:sz w:val="24"/>
          <w:szCs w:val="20"/>
          <w:lang w:bidi="ar"/>
        </w:rPr>
        <w:t>Prior to CAG, peripheral blood was collected in the catheter chamber utilizing a serum-separating gel as well as a coagulant stimulating tube (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 w:bidi="ar"/>
        </w:rPr>
        <w:t xml:space="preserve">a 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>red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>standard serum-separating tube</w:t>
      </w:r>
      <w:r>
        <w:rPr>
          <w:rFonts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>) through the sheath of the radial artery or the fem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 xml:space="preserve">oral artery. Besides, the serum was separated after standing at room temperature for 2 hours or in the refrigerator at 4 degrees Celsius overnight, and subsequently, the coagulant tubes were placed in the centrifuge, and centrifuged at 3000 RPM at room temperature for 10 minutes. Moreover, the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>serum supernatant</w:t>
      </w:r>
      <w:r>
        <w:rPr>
          <w:rFonts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 xml:space="preserve"> was m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>eticulously absorbed and divided into 2mL EP tubes, and stored in the ultra-low temperature refrigerator at -80 degrees Celsius for subsequent detection of Ang2 concentration, and the storage time was not more than 6 months. Furthermore, using an enzyme-linked immunosorbent assay (Mlbio, YJ023338, China) with a detection range of 0-24ng/mL, the serum Ang2 concentration was determined.</w:t>
      </w:r>
    </w:p>
    <w:p w14:paraId="1F1DB76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0"/>
          <w:lang w:bidi="ar"/>
        </w:rPr>
      </w:pPr>
      <w:r>
        <w:rPr>
          <w:rFonts w:hint="eastAsia" w:ascii="Times New Roman" w:hAnsi="Times New Roman" w:eastAsia="Times New Roman" w:cs="宋体"/>
          <w:i/>
          <w:iCs/>
          <w:sz w:val="24"/>
        </w:rPr>
        <w:t xml:space="preserve">Additional file </w:t>
      </w:r>
      <w:r>
        <w:rPr>
          <w:rFonts w:hint="eastAsia" w:ascii="Times New Roman" w:hAnsi="Times New Roman" w:eastAsia="宋体" w:cs="宋体"/>
          <w:i/>
          <w:iCs/>
          <w:sz w:val="24"/>
          <w:lang w:val="en-US" w:eastAsia="zh-CN"/>
        </w:rPr>
        <w:t>4</w:t>
      </w:r>
      <w:r>
        <w:rPr>
          <w:rFonts w:hint="eastAsia" w:ascii="Times New Roman" w:hAnsi="Times New Roman" w:eastAsia="Times New Roman" w:cs="宋体"/>
          <w:i/>
          <w:iCs/>
          <w:sz w:val="24"/>
        </w:rPr>
        <w:t xml:space="preserve">.1: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 xml:space="preserve"> laboratory examination</w:t>
      </w:r>
    </w:p>
    <w:p w14:paraId="6EEBE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>Preoperative clinical laboratory test results re collectweed,</w:t>
      </w:r>
      <w:r>
        <w:rPr>
          <w:rFonts w:hint="eastAsia" w:ascii="Times New Roman" w:hAnsi="Times New Roman" w:eastAsia="宋体" w:cs="Times New Roman"/>
          <w:sz w:val="24"/>
          <w:szCs w:val="20"/>
          <w:lang w:bidi="ar"/>
        </w:rPr>
        <w:t xml:space="preserve"> including white blood cell count (WBC), neutrophil count, high-sensitivity C-reactive protein (Hs-CRP), blood glucose, hemoglobin A1c (HbA1c), blood lipids (HDL-C, LDL-C, TC, TG), potassium, myoglobin, cardiac troponin T (cTnT), N-terminal pro-B-type natriuretic peptide (NT-proBNP), blood platelet count, D-dimer, and ejection fraction (EF).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0"/>
          <w:lang w:bidi="ar"/>
          <w14:textFill>
            <w14:solidFill>
              <w14:schemeClr w14:val="tx1"/>
            </w14:solidFill>
          </w14:textFill>
        </w:rPr>
        <w:t>The detection methods and instruments are as follows:</w:t>
      </w:r>
    </w:p>
    <w:p w14:paraId="49627F6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Times New Roman" w:hAnsi="Times New Roman" w:eastAsia="宋体" w:cs="Times New Roman"/>
          <w:sz w:val="24"/>
          <w:szCs w:val="20"/>
          <w:lang w:bidi="ar"/>
        </w:rPr>
      </w:pPr>
      <w:r>
        <w:rPr>
          <w:rFonts w:hint="eastAsia" w:ascii="Times New Roman" w:hAnsi="Times New Roman" w:eastAsia="宋体" w:cs="Times New Roman"/>
          <w:sz w:val="24"/>
          <w:szCs w:val="20"/>
          <w:lang w:bidi="ar"/>
        </w:rPr>
        <w:t>1. Biochemical indicators (blood lipids, blood glucose, potassium): Detected by Beckman AU5821 automatic biochemical analyzer (USA);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0"/>
          <w:lang w:bidi="ar"/>
        </w:rPr>
        <w:t>2. Creatinine: Detected by CRE-N enzyme solution method;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0"/>
          <w:lang w:bidi="ar"/>
        </w:rPr>
        <w:t>3. Cardiac markers (cTnT, myoglobin, NT-proBNP): Detected by electrochemiluminescence immunoassay (ECLIA) using Roche Cobas e601 analyzer (Switzerland);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0"/>
          <w:lang w:bidi="ar"/>
        </w:rPr>
        <w:t>4. Hs-CRP, D-dimer: Detected by immunoturbidimetry;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0"/>
          <w:lang w:bidi="ar"/>
        </w:rPr>
        <w:t>5. Blood cell indicators (WBC, neutrophil, blood platelet): Detected by Sysmex XN-9000 automatic hematology analyzer (Japan);6. HbA1c: Detected by high-performance liquid chromatography (HPLC).</w:t>
      </w:r>
      <w:bookmarkEnd w:id="4"/>
      <w:bookmarkStart w:id="5" w:name="OLE_LINK14"/>
    </w:p>
    <w:p w14:paraId="6B233648">
      <w:pPr>
        <w:spacing w:line="360" w:lineRule="auto"/>
        <w:rPr>
          <w:rFonts w:ascii="Times New Roman" w:hAnsi="Times New Roman" w:eastAsia="宋体" w:cs="Times New Roman"/>
          <w:sz w:val="24"/>
          <w:szCs w:val="22"/>
          <w:lang w:bidi="ar"/>
        </w:rPr>
      </w:pPr>
    </w:p>
    <w:p w14:paraId="72DE5BA9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" w:cs="宋体"/>
          <w:i/>
          <w:iCs/>
          <w:color w:val="000000" w:themeColor="text1"/>
          <w:sz w:val="24"/>
          <w14:textFill>
            <w14:solidFill>
              <w14:schemeClr w14:val="tx1"/>
            </w14:solidFill>
          </w14:textFill>
        </w:rPr>
        <w:t>Additional file 4.</w:t>
      </w:r>
      <w:r>
        <w:rPr>
          <w:rFonts w:hint="eastAsia" w:ascii="Times New Roman" w:hAnsi="Times New Roman" w:eastAsia="Times New Roman" w:cs="宋体"/>
          <w:i/>
          <w:i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Times New Roman" w:cs="宋体"/>
          <w:i/>
          <w:i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  <w:t>standard curve</w:t>
      </w:r>
    </w:p>
    <w:p w14:paraId="36676248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2"/>
          <w:lang w:bidi="ar"/>
          <w14:textFill>
            <w14:solidFill>
              <w14:schemeClr w14:val="tx1"/>
            </w14:solidFill>
          </w14:textFill>
        </w:rPr>
      </w:pPr>
    </w:p>
    <w:p w14:paraId="058D8C61">
      <w:pPr>
        <w:spacing w:line="360" w:lineRule="auto"/>
        <w:rPr>
          <w:rFonts w:hint="eastAsia" w:ascii="Times New Roman" w:hAnsi="Times New Roman" w:eastAsia="宋体" w:cs="Times New Roman"/>
          <w:color w:val="FF0000"/>
          <w:sz w:val="24"/>
          <w:szCs w:val="22"/>
          <w:lang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206375</wp:posOffset>
                </wp:positionV>
                <wp:extent cx="1214120" cy="293370"/>
                <wp:effectExtent l="4445" t="4445" r="13335" b="698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02990" y="1144270"/>
                          <a:ext cx="1214120" cy="293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E25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eastAsia="MFKKCL+Arial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standard curve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45pt;margin-top:16.25pt;height:23.1pt;width:95.6pt;z-index:251659264;mso-width-relative:page;mso-height-relative:page;" fillcolor="#FFFFFF [3201]" filled="t" stroked="t" coordsize="21600,21600" o:gfxdata="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iCdENcAAAAJAQAADwAAAAAAAAABACAAAAAiAAAAZHJzL2Rvd25yZXYueG1sUEsBAhQAFAAA&#10;AAgAh07iQEiaW+ViAgAAwwQAAA4AAAAAAAAAAQAgAAAAJg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17E25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eastAsia="MFKKCL+Arial"/>
                          <w:color w:val="000000"/>
                          <w:kern w:val="0"/>
                          <w:sz w:val="24"/>
                          <w:szCs w:val="24"/>
                        </w:rPr>
                        <w:t>standard curve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457700" cy="2686050"/>
            <wp:effectExtent l="4445" t="5080" r="8255" b="13970"/>
            <wp:docPr id="5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A22B92F">
      <w:pPr>
        <w:spacing w:line="360" w:lineRule="auto"/>
        <w:rPr>
          <w:rFonts w:hint="eastAsia" w:ascii="Times New Roman" w:hAnsi="Times New Roman" w:eastAsia="宋体" w:cs="Times New Roman"/>
          <w:sz w:val="24"/>
          <w:szCs w:val="22"/>
          <w:lang w:bidi="ar"/>
        </w:rPr>
      </w:pPr>
    </w:p>
    <w:p w14:paraId="3FDE6D88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800F46E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1EFFEC4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405A5D7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603170F4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1D676F7D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69705BBC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74D2584B">
      <w:pPr>
        <w:spacing w:line="480" w:lineRule="auto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</w:p>
    <w:p w14:paraId="0B62C253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:  Supplementary Tables</w:t>
      </w:r>
      <w:bookmarkEnd w:id="5"/>
    </w:p>
    <w:p w14:paraId="4420141D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 Univariate logistic regression analysiscs for LP</w:t>
      </w:r>
    </w:p>
    <w:tbl>
      <w:tblPr>
        <w:tblStyle w:val="8"/>
        <w:tblW w:w="8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7"/>
        <w:gridCol w:w="3553"/>
        <w:gridCol w:w="2354"/>
      </w:tblGrid>
      <w:tr w14:paraId="2696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57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center"/>
          </w:tcPr>
          <w:p w14:paraId="1DB083CA">
            <w:pPr>
              <w:ind w:firstLine="440" w:firstLineChars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3553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center"/>
          </w:tcPr>
          <w:p w14:paraId="17BC9B66">
            <w:pPr>
              <w:widowControl/>
              <w:ind w:firstLine="442" w:firstLineChars="0"/>
              <w:jc w:val="center"/>
              <w:textAlignment w:val="center"/>
              <w:rPr>
                <w:rStyle w:val="13"/>
                <w:rFonts w:hint="default" w:ascii="Times New Roman" w:hAnsi="Times New Roman"/>
                <w:b/>
                <w:bCs/>
                <w:szCs w:val="18"/>
                <w:lang w:bidi="ar"/>
              </w:rPr>
            </w:pPr>
            <w:r>
              <w:rPr>
                <w:rStyle w:val="13"/>
                <w:rFonts w:hint="default" w:ascii="Times New Roman" w:hAnsi="Times New Roman"/>
                <w:b/>
                <w:bCs/>
                <w:szCs w:val="18"/>
                <w:lang w:bidi="ar"/>
              </w:rPr>
              <w:t>Univariate analysis</w:t>
            </w:r>
          </w:p>
        </w:tc>
        <w:tc>
          <w:tcPr>
            <w:tcW w:w="2354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center"/>
          </w:tcPr>
          <w:p w14:paraId="39A268AE">
            <w:pPr>
              <w:widowControl/>
              <w:ind w:firstLine="440" w:firstLineChars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9EA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center"/>
          </w:tcPr>
          <w:p w14:paraId="7B7C2A1F">
            <w:pPr>
              <w:ind w:firstLine="440" w:firstLineChars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center"/>
          </w:tcPr>
          <w:p w14:paraId="6568D421">
            <w:pPr>
              <w:widowControl/>
              <w:ind w:firstLine="442" w:firstLineChars="0"/>
              <w:jc w:val="center"/>
              <w:textAlignment w:val="center"/>
              <w:rPr>
                <w:rStyle w:val="13"/>
                <w:rFonts w:hint="default" w:ascii="Times New Roman" w:hAnsi="Times New Roman"/>
                <w:b/>
                <w:bCs/>
                <w:szCs w:val="18"/>
                <w:lang w:bidi="ar"/>
              </w:rPr>
            </w:pPr>
            <w:r>
              <w:rPr>
                <w:rStyle w:val="13"/>
                <w:rFonts w:hint="default" w:ascii="Times New Roman" w:hAnsi="Times New Roman"/>
                <w:b/>
                <w:bCs/>
                <w:szCs w:val="18"/>
                <w:lang w:bidi="ar"/>
              </w:rPr>
              <w:t>OR（95%CI）</w:t>
            </w:r>
          </w:p>
        </w:tc>
        <w:tc>
          <w:tcPr>
            <w:tcW w:w="235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center"/>
          </w:tcPr>
          <w:p w14:paraId="019EF359">
            <w:pPr>
              <w:widowControl/>
              <w:ind w:firstLine="442" w:firstLineChars="0"/>
              <w:jc w:val="center"/>
              <w:textAlignment w:val="center"/>
              <w:rPr>
                <w:rStyle w:val="13"/>
                <w:rFonts w:hint="default" w:ascii="Times New Roman" w:hAnsi="Times New Roman"/>
                <w:b/>
                <w:bCs/>
                <w:szCs w:val="18"/>
                <w:lang w:bidi="ar"/>
              </w:rPr>
            </w:pPr>
            <w:r>
              <w:rPr>
                <w:rStyle w:val="13"/>
                <w:rFonts w:hint="default" w:ascii="Times New Roman" w:hAnsi="Times New Roman"/>
                <w:b/>
                <w:bCs/>
                <w:szCs w:val="18"/>
                <w:lang w:bidi="ar"/>
              </w:rPr>
              <w:t>p Value</w:t>
            </w:r>
          </w:p>
        </w:tc>
      </w:tr>
      <w:tr w14:paraId="0987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3C814E81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 xml:space="preserve">Admission event </w:t>
            </w:r>
          </w:p>
        </w:tc>
        <w:tc>
          <w:tcPr>
            <w:tcW w:w="3553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47AD7651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2.533(0.804～7.978)</w:t>
            </w:r>
          </w:p>
        </w:tc>
        <w:tc>
          <w:tcPr>
            <w:tcW w:w="2354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64A0D7E4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0.112</w:t>
            </w:r>
          </w:p>
        </w:tc>
      </w:tr>
      <w:tr w14:paraId="0822D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5DEAF0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HR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0AC073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0.977(0.945～1.101)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85A54A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0.166</w:t>
            </w:r>
          </w:p>
        </w:tc>
      </w:tr>
      <w:tr w14:paraId="45CD4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43210D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Mechanical support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57C5F8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3.588(0.625～20.617)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27132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0.152</w:t>
            </w:r>
          </w:p>
        </w:tc>
      </w:tr>
      <w:tr w14:paraId="2219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DA1AD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Hs-CRP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F06B8C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1.011(0.983～1.04)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AC3E2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0.454</w:t>
            </w:r>
          </w:p>
        </w:tc>
      </w:tr>
      <w:tr w14:paraId="7DDF1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03AC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Ang2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ABCA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1.110(1.015～1.214)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010BE">
            <w:pPr>
              <w:widowControl/>
              <w:ind w:firstLine="440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微软雅黑" w:cs="微软雅黑"/>
                <w:b/>
                <w:bCs/>
                <w:sz w:val="22"/>
                <w:szCs w:val="18"/>
              </w:rPr>
              <w:t>0.022</w:t>
            </w:r>
          </w:p>
        </w:tc>
      </w:tr>
      <w:tr w14:paraId="5CC2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7475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Smoking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5B9BEC">
            <w:pPr>
              <w:widowControl/>
              <w:ind w:firstLine="442" w:firstLineChars="0"/>
              <w:jc w:val="center"/>
              <w:textAlignment w:val="center"/>
              <w:rPr>
                <w:rFonts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0.508(0.217～1.190)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98A79">
            <w:pPr>
              <w:widowControl/>
              <w:ind w:firstLine="442" w:firstLineChars="0"/>
              <w:jc w:val="center"/>
              <w:textAlignment w:val="center"/>
              <w:rPr>
                <w:rFonts w:hint="default" w:ascii="Times New Roman" w:hAnsi="Times New Roman" w:eastAsia="微软雅黑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0.119</w:t>
            </w:r>
          </w:p>
        </w:tc>
      </w:tr>
      <w:tr w14:paraId="4876A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6C101">
            <w:pPr>
              <w:widowControl/>
              <w:ind w:firstLine="442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Dyslipidemia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B1936F">
            <w:pPr>
              <w:widowControl/>
              <w:ind w:firstLine="442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0.508(0.211～1.224)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552C2">
            <w:pPr>
              <w:widowControl/>
              <w:ind w:firstLine="442" w:firstLineChars="0"/>
              <w:jc w:val="center"/>
              <w:textAlignment w:val="center"/>
              <w:rPr>
                <w:rFonts w:hint="eastAsia" w:ascii="Times New Roman" w:hAnsi="Times New Roman" w:eastAsia="微软雅黑" w:cs="微软雅黑"/>
                <w:b/>
                <w:bCs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0.131</w:t>
            </w:r>
          </w:p>
        </w:tc>
      </w:tr>
      <w:tr w14:paraId="115B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577FB">
            <w:pPr>
              <w:widowControl/>
              <w:ind w:firstLine="442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DSB</w:t>
            </w: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E2AA04">
            <w:pPr>
              <w:widowControl/>
              <w:ind w:firstLine="442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  <w:t>0.962(0.930～0.996)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8429">
            <w:pPr>
              <w:widowControl/>
              <w:ind w:firstLine="44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微软雅黑" w:cs="微软雅黑"/>
                <w:b/>
                <w:bCs/>
                <w:color w:val="000000"/>
                <w:kern w:val="0"/>
                <w:sz w:val="22"/>
                <w:szCs w:val="18"/>
                <w:lang w:bidi="ar"/>
              </w:rPr>
              <w:t>0.030</w:t>
            </w:r>
          </w:p>
        </w:tc>
      </w:tr>
      <w:tr w14:paraId="0C2A5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7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77DA2A">
            <w:pPr>
              <w:widowControl/>
              <w:ind w:firstLine="442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000000" w:themeColor="text1"/>
                <w:kern w:val="0"/>
                <w:sz w:val="22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statin</w:t>
            </w:r>
          </w:p>
        </w:tc>
        <w:tc>
          <w:tcPr>
            <w:tcW w:w="355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6D25625">
            <w:pPr>
              <w:widowControl/>
              <w:ind w:firstLine="442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kern w:val="0"/>
                <w:sz w:val="22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kern w:val="0"/>
                <w:sz w:val="22"/>
                <w:szCs w:val="18"/>
                <w:lang w:val="en-US" w:eastAsia="zh-CN" w:bidi="ar"/>
              </w:rPr>
              <w:t>Not estimable</w:t>
            </w:r>
          </w:p>
        </w:tc>
        <w:tc>
          <w:tcPr>
            <w:tcW w:w="235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009331B">
            <w:pPr>
              <w:widowControl/>
              <w:ind w:firstLine="44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sz w:val="22"/>
              </w:rPr>
              <w:t>0.999</w:t>
            </w:r>
          </w:p>
        </w:tc>
      </w:tr>
    </w:tbl>
    <w:p w14:paraId="329EA4A2">
      <w:pPr>
        <w:spacing w:line="360" w:lineRule="auto"/>
        <w:ind w:firstLine="400"/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</w:pPr>
      <w:r>
        <w:rPr>
          <w:rFonts w:ascii="Times New Roman" w:hAnsi="Times New Roman" w:eastAsia="宋体" w:cs="Times New Roman"/>
          <w:sz w:val="20"/>
          <w:szCs w:val="20"/>
          <w:lang w:bidi="ar"/>
        </w:rPr>
        <w:t>HR: Heart rate; Hs-CRP: Hypersensitive c-reactive protein; Ang2: Angiopoietin-2; CI: confidence interval; DSB: Diastolic blood pressure; LP: layered plaque; OR: odds ratio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  <w:t>.</w:t>
      </w:r>
    </w:p>
    <w:p w14:paraId="34F3B3AF">
      <w:pPr>
        <w:spacing w:line="360" w:lineRule="auto"/>
        <w:ind w:firstLine="400"/>
        <w:rPr>
          <w:rFonts w:hint="eastAsia" w:ascii="等线" w:hAnsi="等线" w:eastAsia="等线" w:cs="Times New Roman"/>
          <w:color w:val="000000"/>
          <w:kern w:val="0"/>
          <w:sz w:val="20"/>
          <w:szCs w:val="20"/>
        </w:rPr>
      </w:pPr>
    </w:p>
    <w:p w14:paraId="26847301">
      <w:pPr>
        <w:ind w:firstLine="360"/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6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Supplementary </w:t>
      </w:r>
      <w:r>
        <w:rPr>
          <w:rFonts w:ascii="Times New Roman" w:hAnsi="Times New Roman" w:eastAsia="等线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  <w:t xml:space="preserve"> 3</w:t>
      </w:r>
    </w:p>
    <w:p w14:paraId="2364E74A">
      <w:pPr>
        <w:ind w:firstLine="360"/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sz w:val="20"/>
          <w:szCs w:val="20"/>
          <w:lang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-508000</wp:posOffset>
            </wp:positionH>
            <wp:positionV relativeFrom="paragraph">
              <wp:posOffset>139065</wp:posOffset>
            </wp:positionV>
            <wp:extent cx="5123180" cy="3320415"/>
            <wp:effectExtent l="0" t="0" r="7620" b="6985"/>
            <wp:wrapSquare wrapText="bothSides"/>
            <wp:docPr id="8" name="图片 8" descr="我的通路图_2025112302084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我的通路图_2025112302084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318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D24AB0">
      <w:pPr>
        <w:spacing w:line="360" w:lineRule="auto"/>
        <w:ind w:firstLine="400"/>
        <w:rPr>
          <w:rFonts w:hint="eastAsia" w:ascii="Times New Roman" w:hAnsi="Times New Roman" w:eastAsia="宋体" w:cs="Times New Roman"/>
          <w:sz w:val="20"/>
          <w:szCs w:val="20"/>
          <w:lang w:eastAsia="zh-CN" w:bidi="ar"/>
        </w:rPr>
      </w:pPr>
    </w:p>
    <w:p w14:paraId="4866A23D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5A6FBACC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599A9F3F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75F887C3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0D65A1BE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09ADA522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1B65163A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22387065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52187818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3641BE50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26565155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29A73A5F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373ED31F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3D9BCC0C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0BDDF024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1B6E4E7F">
      <w:pPr>
        <w:ind w:firstLine="400" w:firstLineChars="200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p w14:paraId="6294640F">
      <w:pPr>
        <w:ind w:firstLine="400" w:firstLineChars="200"/>
        <w:rPr>
          <w:rFonts w:hint="eastAsia"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eastAsia="等线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  <w:lang w:val="en-US" w:eastAsia="zh-CN"/>
        </w:rPr>
        <w:t xml:space="preserve"> 3</w:t>
      </w:r>
      <w:r>
        <w:rPr>
          <w:rFonts w:hint="eastAsia" w:ascii="Times New Roman" w:hAnsi="Times New Roman" w:eastAsia="等线" w:cs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 w:eastAsia="等线" w:cs="Times New Roman"/>
          <w:sz w:val="20"/>
          <w:szCs w:val="20"/>
        </w:rPr>
        <w:t>Ang2 Possible Pathway Crosstalk</w:t>
      </w:r>
      <w:r>
        <w:rPr>
          <w:rFonts w:hint="eastAsia" w:ascii="Times New Roman" w:hAnsi="Times New Roman" w:eastAsia="等线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This is a hypothetical model based on the previous literature</w:t>
      </w:r>
      <w:r>
        <w:rPr>
          <w:rFonts w:hint="eastAsia" w:ascii="Times New Roman" w:hAnsi="Times New Roman" w:eastAsia="等线" w:cs="Times New Roman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rather than the path verified by the current experimental results.</w:t>
      </w:r>
      <w:r>
        <w:rPr>
          <w:rFonts w:hint="eastAsia" w:ascii="Times New Roman" w:hAnsi="Times New Roman" w:eastAsia="等线" w:cs="Times New Roman"/>
          <w:sz w:val="20"/>
          <w:szCs w:val="20"/>
        </w:rPr>
        <w:t xml:space="preserve"> In the inflammatory environment, Ang2 release is stimulated, and Tie2 is competitively combined to block Ang1-mediated PI3/Akt, which promotes Foxo1 to transcribe more Ang2 and aggravates the inflammatory response. At the same time, the activation inhibition of NF-kB by ABIN2 was relieved. On this basis, it may activate RAC1/PAK1/ p38 ( enhance matrix degradation) and STAT/NF-κB (drive cytokine release), while inhibiting the IL-10 anti-inflammatory pathway. In addition, IL-23 expression is indirectly up-regulated to further amplify the inflammatory cascade. The PDGF pathway regulated by STAT / NF-κB will promote the abnormal proliferation and migration of vascular smooth muscle cells and interfere with the normal structure of plaque.</w:t>
      </w:r>
    </w:p>
    <w:p w14:paraId="2EECDD0E">
      <w:pPr>
        <w:spacing w:line="360" w:lineRule="auto"/>
        <w:rPr>
          <w:rFonts w:ascii="Times New Roman" w:hAnsi="Times New Roman" w:eastAsia="等线" w:cs="Times New Roman"/>
          <w:b/>
          <w:bCs/>
          <w:sz w:val="20"/>
          <w:szCs w:val="20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FKKCL+Arial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E3E1C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481C8">
                          <w:pPr>
                            <w:pStyle w:val="3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8481C8">
                    <w:pPr>
                      <w:pStyle w:val="3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98DCC9F">
      <w:pPr>
        <w:pStyle w:val="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NzQ4ZWFiZmQ4NTRhOWRkZTk3YTMwMjlmMmZhYmUifQ=="/>
  </w:docVars>
  <w:rsids>
    <w:rsidRoot w:val="00172A27"/>
    <w:rsid w:val="00016A00"/>
    <w:rsid w:val="0010209F"/>
    <w:rsid w:val="00125E2F"/>
    <w:rsid w:val="001E7BDE"/>
    <w:rsid w:val="002A69C3"/>
    <w:rsid w:val="00307380"/>
    <w:rsid w:val="004A3644"/>
    <w:rsid w:val="004A3B86"/>
    <w:rsid w:val="004D1BAA"/>
    <w:rsid w:val="00514446"/>
    <w:rsid w:val="0056773E"/>
    <w:rsid w:val="00573856"/>
    <w:rsid w:val="005B6074"/>
    <w:rsid w:val="0061476B"/>
    <w:rsid w:val="00914E28"/>
    <w:rsid w:val="00AD4AF7"/>
    <w:rsid w:val="00B004A6"/>
    <w:rsid w:val="00B04C69"/>
    <w:rsid w:val="00BF7878"/>
    <w:rsid w:val="00C2392A"/>
    <w:rsid w:val="00C33B6F"/>
    <w:rsid w:val="00CC64CB"/>
    <w:rsid w:val="00CD355A"/>
    <w:rsid w:val="00CE7F14"/>
    <w:rsid w:val="00DA2056"/>
    <w:rsid w:val="00EB0D3D"/>
    <w:rsid w:val="00EF2258"/>
    <w:rsid w:val="00F17196"/>
    <w:rsid w:val="00F40DC3"/>
    <w:rsid w:val="00F66477"/>
    <w:rsid w:val="03A11802"/>
    <w:rsid w:val="06C90C44"/>
    <w:rsid w:val="08981E21"/>
    <w:rsid w:val="0F965E8B"/>
    <w:rsid w:val="177E15D6"/>
    <w:rsid w:val="19AC41D9"/>
    <w:rsid w:val="1CDF48C5"/>
    <w:rsid w:val="1D181B85"/>
    <w:rsid w:val="21667363"/>
    <w:rsid w:val="217001E2"/>
    <w:rsid w:val="2533755C"/>
    <w:rsid w:val="26306192"/>
    <w:rsid w:val="27CA6BD9"/>
    <w:rsid w:val="2A067935"/>
    <w:rsid w:val="2B62325A"/>
    <w:rsid w:val="2BC058C2"/>
    <w:rsid w:val="309B6FF5"/>
    <w:rsid w:val="357340E8"/>
    <w:rsid w:val="3748158D"/>
    <w:rsid w:val="37A97B52"/>
    <w:rsid w:val="39A02410"/>
    <w:rsid w:val="3BB03781"/>
    <w:rsid w:val="3CD92C87"/>
    <w:rsid w:val="3DB37034"/>
    <w:rsid w:val="3DB66CC0"/>
    <w:rsid w:val="408A505C"/>
    <w:rsid w:val="41DC1ED5"/>
    <w:rsid w:val="43432C09"/>
    <w:rsid w:val="45D4339E"/>
    <w:rsid w:val="4665558C"/>
    <w:rsid w:val="4B5A3D78"/>
    <w:rsid w:val="4DCA5A2D"/>
    <w:rsid w:val="50210776"/>
    <w:rsid w:val="50850D04"/>
    <w:rsid w:val="54802DB6"/>
    <w:rsid w:val="57A71411"/>
    <w:rsid w:val="5A9658BC"/>
    <w:rsid w:val="5AB53F94"/>
    <w:rsid w:val="5C341831"/>
    <w:rsid w:val="5D862C78"/>
    <w:rsid w:val="5ED54C05"/>
    <w:rsid w:val="5EE20C60"/>
    <w:rsid w:val="60065292"/>
    <w:rsid w:val="600F2399"/>
    <w:rsid w:val="613A353F"/>
    <w:rsid w:val="62856942"/>
    <w:rsid w:val="635B0CC4"/>
    <w:rsid w:val="636429FB"/>
    <w:rsid w:val="67CB129B"/>
    <w:rsid w:val="68A33FA9"/>
    <w:rsid w:val="69C92E06"/>
    <w:rsid w:val="69F4541D"/>
    <w:rsid w:val="6AC326FD"/>
    <w:rsid w:val="6B013226"/>
    <w:rsid w:val="6DD2174C"/>
    <w:rsid w:val="6FE82825"/>
    <w:rsid w:val="72336FE6"/>
    <w:rsid w:val="734343DB"/>
    <w:rsid w:val="73F05BE5"/>
    <w:rsid w:val="7809403D"/>
    <w:rsid w:val="79993765"/>
    <w:rsid w:val="7A96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rPr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  <w:style w:type="character" w:styleId="11">
    <w:name w:val="annotation reference"/>
    <w:basedOn w:val="9"/>
    <w:qFormat/>
    <w:uiPriority w:val="0"/>
    <w:rPr>
      <w:sz w:val="16"/>
      <w:szCs w:val="16"/>
    </w:rPr>
  </w:style>
  <w:style w:type="character" w:styleId="12">
    <w:name w:val="footnote reference"/>
    <w:basedOn w:val="9"/>
    <w:autoRedefine/>
    <w:qFormat/>
    <w:uiPriority w:val="0"/>
    <w:rPr>
      <w:vertAlign w:val="superscript"/>
    </w:rPr>
  </w:style>
  <w:style w:type="character" w:customStyle="1" w:styleId="13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Comment Text Char"/>
    <w:basedOn w:val="9"/>
    <w:link w:val="2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character" w:customStyle="1" w:styleId="15">
    <w:name w:val="Comment Subject Char"/>
    <w:basedOn w:val="14"/>
    <w:link w:val="6"/>
    <w:qFormat/>
    <w:uiPriority w:val="0"/>
    <w:rPr>
      <w:rFonts w:asciiTheme="minorHAnsi" w:hAnsiTheme="minorHAnsi" w:eastAsiaTheme="minorEastAsia" w:cstheme="minorBidi"/>
      <w:b/>
      <w:bCs/>
      <w:kern w:val="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chart" Target="charts/chart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ean\Downloads\&#25991;&#23011;&#23011;%20%20&#23454;&#39564;&#25253;&#21578;%202023.08.24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44444444444444"/>
          <c:y val="0.0382978723404255"/>
          <c:w val="0.863623529411765"/>
          <c:h val="0.956002604166667"/>
        </c:manualLayout>
      </c:layout>
      <c:scatterChart>
        <c:scatterStyle val="marker"/>
        <c:varyColors val="0"/>
        <c:ser>
          <c:idx val="0"/>
          <c:order val="0"/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5"/>
            <c:spPr>
              <a:solidFill>
                <a:srgbClr val="000080"/>
              </a:solidFill>
              <a:ln w="9525" cap="flat" cmpd="sng" algn="ctr">
                <a:solidFill>
                  <a:srgbClr val="000080"/>
                </a:solidFill>
                <a:prstDash val="solid"/>
                <a:round/>
              </a:ln>
              <a:effectLst/>
            </c:spPr>
          </c:marker>
          <c:dLbls>
            <c:delete val="1"/>
          </c:dLbls>
          <c:trendline>
            <c:spPr>
              <a:ln w="25400" cap="rnd" cmpd="sng" algn="ctr">
                <a:solidFill>
                  <a:srgbClr val="000000"/>
                </a:solidFill>
                <a:prstDash val="solid"/>
                <a:round/>
              </a:ln>
              <a:effectLst/>
            </c:spPr>
            <c:trendlineType val="linear"/>
            <c:forward val="0"/>
            <c:backward val="0"/>
            <c:dispRSqr val="0"/>
            <c:dispEq val="0"/>
          </c:trendline>
          <c:trendline>
            <c:spPr>
              <a:ln w="9525" cap="flat" cmpd="sng" algn="ctr">
                <a:solidFill>
                  <a:srgbClr val="000000">
                    <a:alpha val="100000"/>
                  </a:srgbClr>
                </a:solidFill>
                <a:prstDash val="solid"/>
                <a:round/>
              </a:ln>
              <a:effectLst/>
            </c:spPr>
            <c:trendlineType val="linear"/>
            <c:forward val="0"/>
            <c:backward val="0"/>
            <c:dispRSqr val="0"/>
            <c:dispEq val="0"/>
          </c:trendline>
          <c:trendline>
            <c:spPr>
              <a:ln w="9525" cap="flat" cmpd="sng" algn="ctr">
                <a:solidFill>
                  <a:srgbClr val="000000">
                    <a:alpha val="100000"/>
                  </a:srgbClr>
                </a:solidFill>
                <a:prstDash val="solid"/>
                <a:round/>
              </a:ln>
              <a:effectLst/>
            </c:spPr>
            <c:trendlineType val="linear"/>
            <c:forward val="0"/>
            <c:backward val="0"/>
            <c:dispRSqr val="0"/>
            <c:dispEq val="0"/>
          </c:trendline>
          <c:trendline>
            <c:spPr>
              <a:ln w="9525" cap="flat" cmpd="sng" algn="ctr">
                <a:solidFill>
                  <a:srgbClr val="000000">
                    <a:alpha val="100000"/>
                  </a:srgbClr>
                </a:solidFill>
                <a:prstDash val="solid"/>
                <a:round/>
              </a:ln>
              <a:effectLst/>
            </c:spPr>
            <c:trendlineType val="linear"/>
            <c:forward val="0"/>
            <c:backward val="0"/>
            <c:dispRSqr val="0"/>
            <c:dispEq val="0"/>
          </c:trendline>
          <c:trendline>
            <c:spPr>
              <a:ln w="9525" cap="flat" cmpd="sng" algn="ctr">
                <a:solidFill>
                  <a:srgbClr val="000000">
                    <a:alpha val="100000"/>
                  </a:srgbClr>
                </a:solidFill>
                <a:prstDash val="solid"/>
                <a:round/>
              </a:ln>
              <a:effectLst/>
            </c:spPr>
            <c:trendlineType val="linear"/>
            <c:forward val="0"/>
            <c:backward val="0"/>
            <c:dispRSqr val="1"/>
            <c:dispEq val="1"/>
            <c:trendlineLbl>
              <c:layout>
                <c:manualLayout>
                  <c:x val="-0.111055882581039"/>
                  <c:y val="0.107904292119787"/>
                </c:manualLayout>
              </c:layout>
              <c:numFmt formatCode="General" sourceLinked="0"/>
              <c:spPr>
                <a:noFill/>
                <a:ln w="3175">
                  <a:noFill/>
                </a:ln>
              </c:spPr>
              <c:txPr>
                <a:bodyPr rot="0" spcFirstLastPara="0" vertOverflow="ellipsis" vert="horz" wrap="square" anchor="ctr" anchorCtr="1"/>
                <a:lstStyle/>
                <a:p>
                  <a:pPr>
                    <a:defRPr lang="zh-CN" sz="1225" b="1" i="0" u="none" strike="noStrike" kern="1200" baseline="0">
                      <a:solidFill>
                        <a:srgbClr val="000000">
                          <a:alpha val="100000"/>
                        </a:srgbClr>
                      </a:solidFill>
                      <a:latin typeface="Times New Roman" panose="02020603050405020304" charset="-122"/>
                      <a:ea typeface="Times New Roman" panose="02020603050405020304" charset="-122"/>
                      <a:cs typeface="Times New Roman" panose="02020603050405020304" charset="-122"/>
                    </a:defRPr>
                  </a:pPr>
                </a:p>
              </c:txPr>
            </c:trendlineLbl>
          </c:trendline>
          <c:xVal>
            <c:numRef>
              <c:f>'[文姣姣  实验报告 2023.08.24 (2).xlsx]ANG-2'!$B$8:$G$8</c:f>
              <c:numCache>
                <c:formatCode>General</c:formatCode>
                <c:ptCount val="6"/>
                <c:pt idx="0">
                  <c:v>0.0794</c:v>
                </c:pt>
                <c:pt idx="1">
                  <c:v>0.1834</c:v>
                </c:pt>
                <c:pt idx="2">
                  <c:v>0.2431</c:v>
                </c:pt>
                <c:pt idx="3">
                  <c:v>0.4394</c:v>
                </c:pt>
                <c:pt idx="4">
                  <c:v>0.7479</c:v>
                </c:pt>
                <c:pt idx="5">
                  <c:v>1.5536</c:v>
                </c:pt>
              </c:numCache>
            </c:numRef>
          </c:xVal>
          <c:yVal>
            <c:numRef>
              <c:f>'[文姣姣  实验报告 2023.08.24 (2).xlsx]ANG-2'!$B$9:$G$9</c:f>
              <c:numCache>
                <c:formatCode>General</c:formatCode>
                <c:ptCount val="6"/>
                <c:pt idx="0">
                  <c:v>0</c:v>
                </c:pt>
                <c:pt idx="1">
                  <c:v>1.5</c:v>
                </c:pt>
                <c:pt idx="2">
                  <c:v>3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8477173"/>
        <c:axId val="889352085"/>
      </c:scatterChart>
      <c:valAx>
        <c:axId val="488477173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3175" cap="flat" cmpd="sng" algn="ctr">
            <a:solidFill>
              <a:srgbClr val="000000"/>
            </a:solidFill>
            <a:prstDash val="solid"/>
            <a:round/>
          </a:ln>
          <a:effectLst/>
        </c:spPr>
        <c:txPr>
          <a:bodyPr rot="0" spcFirstLastPara="0" vertOverflow="ellipsis" horzOverflow="overflow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rgbClr val="000000">
                    <a:alpha val="100000"/>
                  </a:srgbClr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</a:defRPr>
            </a:pPr>
          </a:p>
        </c:txPr>
        <c:crossAx val="889352085"/>
        <c:crosses val="autoZero"/>
        <c:crossBetween val="midCat"/>
      </c:valAx>
      <c:valAx>
        <c:axId val="889352085"/>
        <c:scaling>
          <c:orientation val="minMax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3175" cap="flat" cmpd="sng" algn="ctr">
            <a:solidFill>
              <a:srgbClr val="000000"/>
            </a:solidFill>
            <a:prstDash val="solid"/>
            <a:round/>
          </a:ln>
          <a:effectLst/>
        </c:spPr>
        <c:txPr>
          <a:bodyPr rot="0" spcFirstLastPara="0" vertOverflow="ellipsis" horzOverflow="overflow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rgbClr val="000000">
                    <a:alpha val="100000"/>
                  </a:srgbClr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</a:defRPr>
            </a:pPr>
          </a:p>
        </c:txPr>
        <c:crossAx val="488477173"/>
        <c:crosses val="autoZero"/>
        <c:crossBetween val="midCat"/>
      </c:valAx>
      <c:spPr>
        <a:noFill/>
        <a:ln w="3175">
          <a:noFill/>
          <a:prstDash val="solid"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92499a2-e9cb-445b-8de1-c13180ec6f8f}"/>
      </c:ext>
    </c:extLst>
  </c:chart>
  <c:spPr>
    <a:solidFill>
      <a:srgbClr val="FFFFFF"/>
    </a:solidFill>
    <a:ln w="3175" cap="flat" cmpd="sng" algn="ctr">
      <a:solidFill>
        <a:srgbClr val="000000"/>
      </a:solidFill>
      <a:prstDash val="solid"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 sz="1225" b="0" i="0" u="none" strike="noStrike" baseline="0">
          <a:solidFill>
            <a:srgbClr val="000000">
              <a:alpha val="100000"/>
            </a:srgbClr>
          </a:solidFill>
          <a:latin typeface="宋体" panose="02010600030101010101" charset="-122"/>
          <a:ea typeface="宋体" panose="02010600030101010101" charset="-122"/>
          <a:cs typeface="宋体" panose="02010600030101010101" charset="-122"/>
        </a:defRPr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761</Words>
  <Characters>5045</Characters>
  <Lines>35</Lines>
  <Paragraphs>10</Paragraphs>
  <TotalTime>1</TotalTime>
  <ScaleCrop>false</ScaleCrop>
  <LinksUpToDate>false</LinksUpToDate>
  <CharactersWithSpaces>5775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2025-03-05T10:27:00Z</dcterms:created>
  <dc:creator>Jean</dc:creator>
  <cp:lastModifiedBy>Hope</cp:lastModifiedBy>
  <dcterms:modified xsi:type="dcterms:W3CDTF">2026-04-28T15:31:19Z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EAF2128F310D4B8486BFC2BB9CA10F94_13</vt:lpwstr>
  </property>
  <property fmtid="{D5CDD505-2E9C-101B-9397-08002B2CF9AE}" pid="4" name="KSOTemplateDocerSaveRecord">
    <vt:lpwstr>eyJoZGlkIjoiYzZkNzQ4ZWFiZmQ4NTRhOWRkZTk3YTMwMjlmMmZhYmUiLCJ1c2VySWQiOiIyNzk1NTAxNzAifQ==</vt:lpwstr>
  </property>
</Properties>
</file>