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AC3" w:rsidRPr="00D43D61" w:rsidRDefault="00BD7AC3" w:rsidP="00BD7AC3">
      <w:pPr>
        <w:spacing w:line="360" w:lineRule="auto"/>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Materials:</w:t>
      </w:r>
    </w:p>
    <w:p w:rsidR="00BD7AC3" w:rsidRPr="00D43D61" w:rsidRDefault="00BD7AC3" w:rsidP="00BD7AC3">
      <w:pPr>
        <w:spacing w:line="360" w:lineRule="auto"/>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Tables:</w:t>
      </w:r>
    </w:p>
    <w:p w:rsidR="00BD7AC3" w:rsidRPr="00D43D61" w:rsidRDefault="00BD7AC3" w:rsidP="00BD7AC3">
      <w:pPr>
        <w:spacing w:line="360" w:lineRule="auto"/>
        <w:jc w:val="center"/>
        <w:rPr>
          <w:rFonts w:ascii="Times New Roman" w:hAnsi="Times New Roman" w:cs="Times New Roman"/>
          <w:b/>
          <w:bCs/>
          <w:color w:val="000000" w:themeColor="text1"/>
          <w:sz w:val="21"/>
        </w:rPr>
      </w:pPr>
      <w:r w:rsidRPr="00D43D61">
        <w:rPr>
          <w:rFonts w:ascii="Times New Roman" w:hAnsi="Times New Roman" w:cs="Times New Roman"/>
          <w:b/>
          <w:bCs/>
          <w:color w:val="000000" w:themeColor="text1"/>
          <w:sz w:val="21"/>
        </w:rPr>
        <w:t>Supplementary Table S1. Sample cleaning and missing-data profile in the clinical and MIMIC-IV cohorts</w:t>
      </w:r>
    </w:p>
    <w:p w:rsidR="00BD7AC3" w:rsidRPr="00D43D61" w:rsidRDefault="00BD7AC3" w:rsidP="00BD7AC3">
      <w:pPr>
        <w:spacing w:line="360" w:lineRule="auto"/>
        <w:rPr>
          <w:rFonts w:ascii="Times New Roman" w:hAnsi="Times New Roman" w:cs="Times New Roman"/>
          <w:b/>
          <w:bCs/>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Table S1.1 Sample cleaning and missing-data handling in the clinical cohort</w:t>
      </w:r>
    </w:p>
    <w:tbl>
      <w:tblPr>
        <w:tblStyle w:val="a"/>
        <w:tblW w:w="0" w:type="auto"/>
        <w:tblLook w:val="04A0" w:firstRow="1" w:lastRow="0" w:firstColumn="1" w:lastColumn="0" w:noHBand="0" w:noVBand="1"/>
      </w:tblPr>
      <w:tblGrid>
        <w:gridCol w:w="1704"/>
        <w:gridCol w:w="741"/>
        <w:gridCol w:w="5867"/>
      </w:tblGrid>
      <w:tr w:rsidR="00BD7AC3" w:rsidRPr="00D43D61" w:rsidTr="00DC6685">
        <w:trPr>
          <w:cnfStyle w:val="100000000000" w:firstRow="1" w:lastRow="0" w:firstColumn="0" w:lastColumn="0" w:oddVBand="0" w:evenVBand="0" w:oddHBand="0" w:evenHBand="0" w:firstRowFirstColumn="0" w:firstRowLastColumn="0" w:lastRowFirstColumn="0" w:lastRowLastColumn="0"/>
        </w:trPr>
        <w:tc>
          <w:tcPr>
            <w:tcW w:w="0" w:type="auto"/>
            <w:vAlign w:val="center"/>
            <w:hideMark/>
          </w:tcPr>
          <w:p w:rsidR="00BD7AC3" w:rsidRPr="00D43D61" w:rsidRDefault="00BD7AC3" w:rsidP="00DC6685">
            <w:pPr>
              <w:spacing w:line="360" w:lineRule="auto"/>
              <w:rPr>
                <w:rFonts w:cs="Times New Roman"/>
                <w:b/>
                <w:bCs/>
                <w:color w:val="000000" w:themeColor="text1"/>
                <w:szCs w:val="21"/>
              </w:rPr>
            </w:pPr>
            <w:r w:rsidRPr="00D43D61">
              <w:rPr>
                <w:rFonts w:cs="Times New Roman"/>
                <w:b/>
                <w:bCs/>
                <w:color w:val="000000" w:themeColor="text1"/>
                <w:szCs w:val="21"/>
              </w:rPr>
              <w:t>Item</w:t>
            </w:r>
          </w:p>
        </w:tc>
        <w:tc>
          <w:tcPr>
            <w:tcW w:w="0" w:type="auto"/>
            <w:vAlign w:val="center"/>
            <w:hideMark/>
          </w:tcPr>
          <w:p w:rsidR="00BD7AC3" w:rsidRPr="00D43D61" w:rsidRDefault="00BD7AC3" w:rsidP="00DC6685">
            <w:pPr>
              <w:spacing w:line="360" w:lineRule="auto"/>
              <w:rPr>
                <w:rFonts w:cs="Times New Roman"/>
                <w:b/>
                <w:bCs/>
                <w:color w:val="000000" w:themeColor="text1"/>
                <w:szCs w:val="21"/>
              </w:rPr>
            </w:pPr>
            <w:r w:rsidRPr="00D43D61">
              <w:rPr>
                <w:rFonts w:cs="Times New Roman"/>
                <w:b/>
                <w:bCs/>
                <w:color w:val="000000" w:themeColor="text1"/>
                <w:szCs w:val="21"/>
              </w:rPr>
              <w:t>Value</w:t>
            </w:r>
          </w:p>
        </w:tc>
        <w:tc>
          <w:tcPr>
            <w:tcW w:w="0" w:type="auto"/>
            <w:vAlign w:val="center"/>
            <w:hideMark/>
          </w:tcPr>
          <w:p w:rsidR="00BD7AC3" w:rsidRPr="00D43D61" w:rsidRDefault="00BD7AC3" w:rsidP="00DC6685">
            <w:pPr>
              <w:spacing w:line="360" w:lineRule="auto"/>
              <w:rPr>
                <w:rFonts w:cs="Times New Roman"/>
                <w:b/>
                <w:bCs/>
                <w:color w:val="000000" w:themeColor="text1"/>
                <w:szCs w:val="21"/>
              </w:rPr>
            </w:pPr>
            <w:r w:rsidRPr="00D43D61">
              <w:rPr>
                <w:rFonts w:cs="Times New Roman"/>
                <w:b/>
                <w:bCs/>
                <w:color w:val="000000" w:themeColor="text1"/>
                <w:szCs w:val="21"/>
              </w:rPr>
              <w:t>Description</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Raw admission records before cleaning</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Initial un-imputed clinical database</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Repeated admission records removed</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34</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Repeated admission records were removed to retain one index admission per patient</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Unique records after duplicate removal</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4,256</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Cleaned clinical records after duplicate removal</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Records lacking valid follow-up time or endpoint date</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89</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Records without valid end_date or time_days were excluded from the final survival analysis</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Final clinical cohort for 365-day analysis</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4,167</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Patients included in Cox, Kaplan–Meier, and regression analyses</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Missing-data handling</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Missingness was assessed before imputation. Variables retained for analysis were imputed using a random forest-based method. Derived variables, including SI, Hb–SI phenotype, CKD status, GRACE score, and CRUSADE score, were calculated after data cleaning/imputation where applicable</w:t>
            </w:r>
          </w:p>
        </w:tc>
      </w:tr>
    </w:tbl>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Table S1.2 Missing-data profile in the clinical cohort</w:t>
      </w:r>
    </w:p>
    <w:tbl>
      <w:tblPr>
        <w:tblStyle w:val="a"/>
        <w:tblW w:w="8480" w:type="dxa"/>
        <w:tblLook w:val="04A0" w:firstRow="1" w:lastRow="0" w:firstColumn="1" w:lastColumn="0" w:noHBand="0" w:noVBand="1"/>
      </w:tblPr>
      <w:tblGrid>
        <w:gridCol w:w="4024"/>
        <w:gridCol w:w="872"/>
        <w:gridCol w:w="1744"/>
        <w:gridCol w:w="1840"/>
      </w:tblGrid>
      <w:tr w:rsidR="00BD7AC3" w:rsidRPr="00D43D61" w:rsidTr="00DC6685">
        <w:trPr>
          <w:cnfStyle w:val="100000000000" w:firstRow="1" w:lastRow="0" w:firstColumn="0" w:lastColumn="0" w:oddVBand="0" w:evenVBand="0" w:oddHBand="0" w:evenHBand="0" w:firstRowFirstColumn="0" w:firstRowLastColumn="0" w:lastRowFirstColumn="0" w:lastRowLastColumn="0"/>
          <w:trHeight w:val="336"/>
        </w:trPr>
        <w:tc>
          <w:tcPr>
            <w:tcW w:w="4024" w:type="dxa"/>
            <w:noWrap/>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Variable</w:t>
            </w:r>
          </w:p>
        </w:tc>
        <w:tc>
          <w:tcPr>
            <w:tcW w:w="872" w:type="dxa"/>
            <w:noWrap/>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Raw N</w:t>
            </w:r>
          </w:p>
        </w:tc>
        <w:tc>
          <w:tcPr>
            <w:tcW w:w="1744" w:type="dxa"/>
            <w:noWrap/>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Raw missing n</w:t>
            </w:r>
          </w:p>
        </w:tc>
        <w:tc>
          <w:tcPr>
            <w:tcW w:w="1840" w:type="dxa"/>
            <w:noWrap/>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Raw missing %</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lastRenderedPageBreak/>
              <w:t>admission_id</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admit_date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0.21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discharge_date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0.49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height_cm</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179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4.17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weight_kg</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196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4.57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heart_rate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0.82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sbp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0.58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dbp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0.72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age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0.93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sex</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stemi</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mi_anterior_wall</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298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6.95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mi_extensive_anterior</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297</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6.92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mi_anteroseptal</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298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6.95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mi_lateral_wall</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298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6.95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mi_inferior_wall</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296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mi_posterior_wall</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3885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90.56</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mi_inferior_rv</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3851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89.77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nstemi</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mi_location_code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300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6.99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lm_occlusion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lad_occlusion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lcx_occlusion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rca_occlusion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rheumatic_heart_disease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cpr</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ventricular_fibrillation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prior_mi</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prior_stroke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acute_stroke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pneumonia</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atrial_fibrillation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cancer_type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cancer_any</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4250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99.07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rheumatic_disease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hematologic_disease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third_degree_av_block</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lbbb</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lastRenderedPageBreak/>
              <w:t>acute_left_heart_failure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cardiogenic_shock</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chronic_kidney_disease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4218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98.32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renal_anemia</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copd</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peripheral_vascular_disease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hyperlipidemia</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3446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80.33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cardiac_rupture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mitral_valve_prolapse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4288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99.95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smoking</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1362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31.75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alcohol_use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1369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31.91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hypertension_grade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diabetes</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renal_insufficiency</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3575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83.33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prior_pci</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3199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74.57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prior_cabg</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3199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74.57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killip_class</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2.66</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cmr_done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339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nuclear_imaging_done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805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18.76</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ck_mb</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971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22.63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ck</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450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10.49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alp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1130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26.34</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ldh</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474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11.05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hbdh</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474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11.05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alt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431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10.05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ast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430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10.02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ggt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444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10.35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total_bilirubin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444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10.35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direct_bilirubin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445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10.37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indirect_bilirubin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444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10.35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prealbumin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1108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25.83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total_protein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437</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10.19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albumin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462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10.77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globulin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1130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26.34</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albumin_globulin_ratio</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1133</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26.41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creatinine_enzymatic</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451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10.51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bun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9.79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uric_acid</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445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10.37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lastRenderedPageBreak/>
              <w:t>homocysteine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803</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18.72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hdl_c</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458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10.68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ldl_c</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455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10.61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apoa1</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474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11.05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apob</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474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11.05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triglycerides</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432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10.07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total_cholesterol</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432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10.07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total_bile_acid</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472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glucose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9.81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hba1c</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708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16.5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tsh</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512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11.93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t3</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511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11.91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free_t3</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513</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11.96</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free_t4</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512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11.93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il6</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917</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21.38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hs_crp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1264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29.46</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wbc</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9.35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monocyte_count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9.37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neutrophil_count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9.32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eosinophil_count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743</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17.32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basophil_count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488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11.38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lymphocyte_count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1081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25.2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rbc</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9.35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hemoglobin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403</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9.39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hematocrit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9.46</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mcv</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9.42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mch</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1084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25.27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mchc</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1084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25.27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rdw</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9.46</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platelet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404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9.42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plateletcrit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415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9.67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mpv</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415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9.67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pdw</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416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aptt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468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10.91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465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10.84</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475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11.07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prothrombin_activity</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1148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26.76</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fibrinogen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458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10.68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lastRenderedPageBreak/>
              <w:t>inr</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464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10.82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d_dimer</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514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11.98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chloride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1145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26.69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phosphorus</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772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calcium</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1127</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26.27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sodium</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1119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26.08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potassium</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837</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19.51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stent_any</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lm_stent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lad_stent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lcx_stent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rca_stent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om_stent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stent_count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2025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47.2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multisite_stent</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staged_pci</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cabg_performed</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drug_coated_balloon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complete_occlusion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collateral_circulation</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4255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99.18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ivus</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aortic_sinus_diameter_baseline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559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13.03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left_atrium_diameter_baseline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549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aortic_valve_opening_baseline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572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13.33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lvot_diameter_baseline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594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13.85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ivs_thickness_baseline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547</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12.75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lvidd_baseline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544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12.68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lvpw_thickness_baseline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545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lvef_baseline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547</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12.75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lvedv_baseline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546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12.73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stroke_volume_baseline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571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13.31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pulmonary_valve_velocity_baseline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594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13.85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aortic_valve_velocity_baseline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565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13.17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mitral_e_velocity_baseline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548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12.77</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mitral_a_velocity_baseline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697</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16.25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mitral_ea_ratio_baseline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700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16.32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tricuspid_e_velocity_baseline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570</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13.29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tricuspid_a_velocity_baseline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703</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16.39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lastRenderedPageBreak/>
              <w:t>tricuspid_ea_ratio_baseline</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712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16.6</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aortic_sinus_diameter_followup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2736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63.78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left_atrium_diameter_followup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2735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63.75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aortic_valve_opening_followup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2789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65.01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lvot_diameter_followup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2794</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65.13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ivs_thickness_followup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2735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63.75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lvidd_followup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2736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63.78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lvpw_thickness_followup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2735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63.75</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lvef_followup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2738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63.82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lvedv_followup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2738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63.82</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stroke_volume_followup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2745</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63.99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pulmonary_valve_velocity_followup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2751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64.13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aortic_valve_velocity_followup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2746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64.01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mitral_e_velocity_followup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2746</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64.01</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mitral_a_velocity_followup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2792</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65.08</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mitral_ea_ratio_followup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2799</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65.24</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tricuspid_e_velocity_followup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2751</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64.13</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tricuspid_a_velocity_followup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2788</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64.99</w:t>
            </w:r>
          </w:p>
        </w:tc>
      </w:tr>
      <w:tr w:rsidR="00BD7AC3" w:rsidRPr="00D43D61" w:rsidTr="00DC6685">
        <w:trPr>
          <w:trHeight w:val="336"/>
        </w:trPr>
        <w:tc>
          <w:tcPr>
            <w:tcW w:w="402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tricuspid_ea_ratio_followup</w:t>
            </w:r>
          </w:p>
        </w:tc>
        <w:tc>
          <w:tcPr>
            <w:tcW w:w="872"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4290</w:t>
            </w:r>
          </w:p>
        </w:tc>
        <w:tc>
          <w:tcPr>
            <w:tcW w:w="1744"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2803</w:t>
            </w:r>
          </w:p>
        </w:tc>
        <w:tc>
          <w:tcPr>
            <w:tcW w:w="1840" w:type="dxa"/>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65.34</w:t>
            </w:r>
          </w:p>
        </w:tc>
      </w:tr>
    </w:tbl>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Table S1.3 Sample cleaning and missing-data handling in the MIMIC-IV cohort</w:t>
      </w:r>
    </w:p>
    <w:tbl>
      <w:tblPr>
        <w:tblStyle w:val="a"/>
        <w:tblW w:w="0" w:type="auto"/>
        <w:tblLook w:val="04A0" w:firstRow="1" w:lastRow="0" w:firstColumn="1" w:lastColumn="0" w:noHBand="0" w:noVBand="1"/>
      </w:tblPr>
      <w:tblGrid>
        <w:gridCol w:w="2452"/>
        <w:gridCol w:w="741"/>
        <w:gridCol w:w="5119"/>
      </w:tblGrid>
      <w:tr w:rsidR="00BD7AC3" w:rsidRPr="00D43D61" w:rsidTr="00DC6685">
        <w:trPr>
          <w:cnfStyle w:val="100000000000" w:firstRow="1" w:lastRow="0" w:firstColumn="0" w:lastColumn="0" w:oddVBand="0" w:evenVBand="0" w:oddHBand="0" w:evenHBand="0" w:firstRowFirstColumn="0" w:firstRowLastColumn="0" w:lastRowFirstColumn="0" w:lastRowLastColumn="0"/>
        </w:trPr>
        <w:tc>
          <w:tcPr>
            <w:tcW w:w="0" w:type="auto"/>
            <w:vAlign w:val="center"/>
            <w:hideMark/>
          </w:tcPr>
          <w:p w:rsidR="00BD7AC3" w:rsidRPr="00D43D61" w:rsidRDefault="00BD7AC3" w:rsidP="00DC6685">
            <w:pPr>
              <w:spacing w:line="360" w:lineRule="auto"/>
              <w:rPr>
                <w:rFonts w:cs="Times New Roman"/>
                <w:b/>
                <w:bCs/>
                <w:color w:val="000000" w:themeColor="text1"/>
                <w:szCs w:val="21"/>
              </w:rPr>
            </w:pPr>
            <w:r w:rsidRPr="00D43D61">
              <w:rPr>
                <w:rFonts w:cs="Times New Roman"/>
                <w:b/>
                <w:bCs/>
                <w:color w:val="000000" w:themeColor="text1"/>
                <w:szCs w:val="21"/>
              </w:rPr>
              <w:t>Item</w:t>
            </w:r>
          </w:p>
        </w:tc>
        <w:tc>
          <w:tcPr>
            <w:tcW w:w="0" w:type="auto"/>
            <w:vAlign w:val="center"/>
            <w:hideMark/>
          </w:tcPr>
          <w:p w:rsidR="00BD7AC3" w:rsidRPr="00D43D61" w:rsidRDefault="00BD7AC3" w:rsidP="00DC6685">
            <w:pPr>
              <w:spacing w:line="360" w:lineRule="auto"/>
              <w:rPr>
                <w:rFonts w:cs="Times New Roman"/>
                <w:b/>
                <w:bCs/>
                <w:color w:val="000000" w:themeColor="text1"/>
                <w:szCs w:val="21"/>
              </w:rPr>
            </w:pPr>
            <w:r w:rsidRPr="00D43D61">
              <w:rPr>
                <w:rFonts w:cs="Times New Roman"/>
                <w:b/>
                <w:bCs/>
                <w:color w:val="000000" w:themeColor="text1"/>
                <w:szCs w:val="21"/>
              </w:rPr>
              <w:t>Value</w:t>
            </w:r>
          </w:p>
        </w:tc>
        <w:tc>
          <w:tcPr>
            <w:tcW w:w="0" w:type="auto"/>
            <w:vAlign w:val="center"/>
            <w:hideMark/>
          </w:tcPr>
          <w:p w:rsidR="00BD7AC3" w:rsidRPr="00D43D61" w:rsidRDefault="00BD7AC3" w:rsidP="00DC6685">
            <w:pPr>
              <w:spacing w:line="360" w:lineRule="auto"/>
              <w:rPr>
                <w:rFonts w:cs="Times New Roman"/>
                <w:b/>
                <w:bCs/>
                <w:color w:val="000000" w:themeColor="text1"/>
                <w:szCs w:val="21"/>
              </w:rPr>
            </w:pPr>
            <w:r w:rsidRPr="00D43D61">
              <w:rPr>
                <w:rFonts w:cs="Times New Roman"/>
                <w:b/>
                <w:bCs/>
                <w:color w:val="000000" w:themeColor="text1"/>
                <w:szCs w:val="21"/>
              </w:rPr>
              <w:t>Description</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Initial MIMIC-IV analytic cohort</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Patients included after predefined cohort construction</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Records after cleaning</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Index ICU admission / first ICU stay retained according to cohort construction</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Records excluded because of missing Hb, SI components, or 365-day mortality status</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 heart rate, SBP, SI phenotype, and 365-day mortality status had no missingness</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lastRenderedPageBreak/>
              <w:t>Final MIMIC-IV cohort for 365-day analysis</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Patients included in Cox, Kaplan–Meier, and regression analyses</w:t>
            </w:r>
          </w:p>
        </w:tc>
      </w:tr>
      <w:tr w:rsidR="00BD7AC3" w:rsidRPr="00D43D61" w:rsidTr="00DC6685">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Missing-data handling</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c>
          <w:tcPr>
            <w:tcW w:w="0" w:type="auto"/>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Variables with substantial missingness were excluded before imputation. Remaining variables with low missingness were imputed using missForest2. Hb, SI components, Hb–SI phenotype, SOFA score, and 365-day mortality status had no missingness</w:t>
            </w:r>
          </w:p>
        </w:tc>
      </w:tr>
    </w:tbl>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Table S1.4 Missing-data profile in the MIMIC-IV cohort</w:t>
      </w:r>
    </w:p>
    <w:tbl>
      <w:tblPr>
        <w:tblStyle w:val="a"/>
        <w:tblW w:w="5000" w:type="pct"/>
        <w:jc w:val="center"/>
        <w:tblLook w:val="04A0" w:firstRow="1" w:lastRow="0" w:firstColumn="1" w:lastColumn="0" w:noHBand="0" w:noVBand="1"/>
      </w:tblPr>
      <w:tblGrid>
        <w:gridCol w:w="2802"/>
        <w:gridCol w:w="1820"/>
        <w:gridCol w:w="1820"/>
        <w:gridCol w:w="1870"/>
      </w:tblGrid>
      <w:tr w:rsidR="00BD7AC3" w:rsidRPr="00D43D61" w:rsidTr="00DC6685">
        <w:trPr>
          <w:cnfStyle w:val="100000000000" w:firstRow="1" w:lastRow="0" w:firstColumn="0" w:lastColumn="0" w:oddVBand="0" w:evenVBand="0" w:oddHBand="0" w:evenHBand="0" w:firstRowFirstColumn="0" w:firstRowLastColumn="0" w:lastRowFirstColumn="0" w:lastRowLastColumn="0"/>
          <w:trHeight w:val="336"/>
          <w:jc w:val="center"/>
        </w:trPr>
        <w:tc>
          <w:tcPr>
            <w:tcW w:w="1685" w:type="pct"/>
            <w:noWrap/>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Variable</w:t>
            </w:r>
          </w:p>
        </w:tc>
        <w:tc>
          <w:tcPr>
            <w:tcW w:w="1095" w:type="pct"/>
            <w:noWrap/>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Total N</w:t>
            </w:r>
          </w:p>
        </w:tc>
        <w:tc>
          <w:tcPr>
            <w:tcW w:w="1095" w:type="pct"/>
            <w:noWrap/>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Missing n</w:t>
            </w:r>
          </w:p>
        </w:tc>
        <w:tc>
          <w:tcPr>
            <w:tcW w:w="1125" w:type="pct"/>
            <w:noWrap/>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Missing %</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subject_id</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hadm_id</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stay_id</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sex</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age</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los_hospital_day</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first_hosp_stay</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intime</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outtime</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los_icu_day</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first_icu_stay</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time30</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death30_yn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death30_01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time90</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death90_yn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death90_01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time180</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death180_yn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death180_01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time365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death365_yn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death365_01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hostime30</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lastRenderedPageBreak/>
              <w:t>hosdeath30_yn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hosdeath30_01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hostime90</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hosdeath90_yn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hosdeath90_01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hostime180</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hosdeath180_yn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hosdeath180_01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hostime365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hosdeath365_yn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hosdeath365_01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BMI</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1523</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30.13</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height</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1517</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30.01</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weight</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47</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0.93</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heart_rate</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sbp</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dbp</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AMI</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PCI</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CHF</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STEMI</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DM</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AF</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CVD</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CPD</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PVD</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HTN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TG</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3985</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78.83</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TC</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4163</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82.35</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LDL</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4226</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83.6</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HDL</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4186</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82.81</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CRP</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4863</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96.2</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GLU</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28</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0.55</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HbA1c</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3990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78.93</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PLT</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0.22</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RBC</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0.22</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WBC</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0.2</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lastRenderedPageBreak/>
              <w:t>BUN</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58</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1.15</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Cr</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57</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1.13</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Na</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75</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1.48</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K</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67</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1.33</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ALT</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1754</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34.7</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AST</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1729</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34.2</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D_dimer</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4988</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98.67</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INR</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143</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2.83</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LDH</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2622</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51.87</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TnT</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1596</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31.57</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CK_MB</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1755</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34.72</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NT_proBNP</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4330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85.66</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hs_crp</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lvef</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2784</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55.07</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sofa</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aps3</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sapsii</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oasis</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GCS</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0.02</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CCI</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vasoactive</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ECMO</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IABP</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CRRT</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stent1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stent2</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stent3</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stent4</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vessel1</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vessel2</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vessel3</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r w:rsidR="00BD7AC3" w:rsidRPr="00D43D61" w:rsidTr="00DC6685">
        <w:trPr>
          <w:trHeight w:val="336"/>
          <w:jc w:val="center"/>
        </w:trPr>
        <w:tc>
          <w:tcPr>
            <w:tcW w:w="168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vessel4</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5055</w:t>
            </w:r>
          </w:p>
        </w:tc>
        <w:tc>
          <w:tcPr>
            <w:tcW w:w="109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c>
          <w:tcPr>
            <w:tcW w:w="1125" w:type="pct"/>
            <w:noWrap/>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w:t>
            </w:r>
          </w:p>
        </w:tc>
      </w:tr>
    </w:tbl>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 xml:space="preserve">Values are presented as the number and percentage of missing observations before imputation. In the clinical cohort, the raw database contained 4,290 admission records. After removing repeated admission records, 4,256 unique records remained; 89 records without valid endpoint date or follow-up time were excluded from the final 365-day survival analysis. Variables retained for analysis were imputed using a random forest-based method. In the MIMIC-IV cohort, variables </w:t>
      </w:r>
      <w:r w:rsidRPr="00D43D61">
        <w:rPr>
          <w:rFonts w:ascii="Times New Roman" w:hAnsi="Times New Roman" w:cs="Times New Roman"/>
          <w:color w:val="000000" w:themeColor="text1"/>
          <w:sz w:val="21"/>
          <w:szCs w:val="21"/>
        </w:rPr>
        <w:lastRenderedPageBreak/>
        <w:t>with substantial missingness were excluded before imputation, and remaining low-missingness variables were imputed using missForest. NA indicates derived, newly recoded, or post-cleaning variables for which raw missingness was not directly applicable in the original table.</w:t>
      </w: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Table S2. Full Cox proportional hazards models for 365-day all-cause mortality according to Hb–SI phenotype</w:t>
      </w:r>
    </w:p>
    <w:tbl>
      <w:tblPr>
        <w:tblStyle w:val="a"/>
        <w:tblW w:w="6645" w:type="pct"/>
        <w:tblInd w:w="-1560" w:type="dxa"/>
        <w:tblLayout w:type="fixed"/>
        <w:tblLook w:val="04A0" w:firstRow="1" w:lastRow="0" w:firstColumn="1" w:lastColumn="0" w:noHBand="0" w:noVBand="1"/>
      </w:tblPr>
      <w:tblGrid>
        <w:gridCol w:w="995"/>
        <w:gridCol w:w="1131"/>
        <w:gridCol w:w="1067"/>
        <w:gridCol w:w="1275"/>
        <w:gridCol w:w="647"/>
        <w:gridCol w:w="1264"/>
        <w:gridCol w:w="716"/>
        <w:gridCol w:w="1067"/>
        <w:gridCol w:w="912"/>
        <w:gridCol w:w="1067"/>
        <w:gridCol w:w="906"/>
      </w:tblGrid>
      <w:tr w:rsidR="00BD7AC3" w:rsidRPr="00D43D61" w:rsidTr="00DC6685">
        <w:trPr>
          <w:cnfStyle w:val="100000000000" w:firstRow="1" w:lastRow="0" w:firstColumn="0" w:lastColumn="0" w:oddVBand="0" w:evenVBand="0" w:oddHBand="0" w:evenHBand="0" w:firstRowFirstColumn="0" w:firstRowLastColumn="0" w:lastRowFirstColumn="0" w:lastRowLastColumn="0"/>
        </w:trPr>
        <w:tc>
          <w:tcPr>
            <w:tcW w:w="450"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Cohort</w:t>
            </w:r>
          </w:p>
        </w:tc>
        <w:tc>
          <w:tcPr>
            <w:tcW w:w="512"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Hb–SI phenotype</w:t>
            </w:r>
          </w:p>
        </w:tc>
        <w:tc>
          <w:tcPr>
            <w:tcW w:w="483"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Mortality rate, %</w:t>
            </w:r>
          </w:p>
        </w:tc>
        <w:tc>
          <w:tcPr>
            <w:tcW w:w="577"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Crude HR (95% CI)</w:t>
            </w:r>
          </w:p>
        </w:tc>
        <w:tc>
          <w:tcPr>
            <w:tcW w:w="293"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P</w:t>
            </w:r>
          </w:p>
        </w:tc>
        <w:tc>
          <w:tcPr>
            <w:tcW w:w="572"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Model 1 HR (95% CI)</w:t>
            </w:r>
          </w:p>
        </w:tc>
        <w:tc>
          <w:tcPr>
            <w:tcW w:w="324"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P</w:t>
            </w:r>
          </w:p>
        </w:tc>
        <w:tc>
          <w:tcPr>
            <w:tcW w:w="483"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Model 2 HR (95% CI)</w:t>
            </w:r>
          </w:p>
        </w:tc>
        <w:tc>
          <w:tcPr>
            <w:tcW w:w="413"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P</w:t>
            </w:r>
          </w:p>
        </w:tc>
        <w:tc>
          <w:tcPr>
            <w:tcW w:w="483"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Model 3 HR (95% CI)</w:t>
            </w:r>
          </w:p>
        </w:tc>
        <w:tc>
          <w:tcPr>
            <w:tcW w:w="410"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P</w:t>
            </w:r>
          </w:p>
        </w:tc>
      </w:tr>
      <w:tr w:rsidR="00BD7AC3" w:rsidRPr="00D43D61" w:rsidTr="00DC6685">
        <w:tc>
          <w:tcPr>
            <w:tcW w:w="450" w:type="pct"/>
            <w:vAlign w:val="center"/>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Clinical cohort</w:t>
            </w:r>
          </w:p>
        </w:tc>
        <w:tc>
          <w:tcPr>
            <w:tcW w:w="512"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8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577"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29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572"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324"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8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1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8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10" w:type="pct"/>
            <w:vAlign w:val="center"/>
          </w:tcPr>
          <w:p w:rsidR="00BD7AC3" w:rsidRPr="00D43D61" w:rsidRDefault="00BD7AC3" w:rsidP="00DC6685">
            <w:pPr>
              <w:spacing w:line="360" w:lineRule="auto"/>
              <w:jc w:val="center"/>
              <w:rPr>
                <w:rFonts w:cs="Times New Roman"/>
                <w:color w:val="000000" w:themeColor="text1"/>
                <w:sz w:val="21"/>
                <w:szCs w:val="21"/>
              </w:rPr>
            </w:pPr>
          </w:p>
        </w:tc>
      </w:tr>
      <w:tr w:rsidR="00BD7AC3" w:rsidRPr="00D43D61" w:rsidTr="00DC6685">
        <w:tc>
          <w:tcPr>
            <w:tcW w:w="450"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5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Stable</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3.33</w:t>
            </w:r>
          </w:p>
        </w:tc>
        <w:tc>
          <w:tcPr>
            <w:tcW w:w="57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29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c>
          <w:tcPr>
            <w:tcW w:w="5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324"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41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41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r>
      <w:tr w:rsidR="00BD7AC3" w:rsidRPr="00D43D61" w:rsidTr="00DC6685">
        <w:tc>
          <w:tcPr>
            <w:tcW w:w="450"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5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High-drive</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23.13</w:t>
            </w:r>
          </w:p>
        </w:tc>
        <w:tc>
          <w:tcPr>
            <w:tcW w:w="57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7.77 (5.24–11.51)</w:t>
            </w:r>
          </w:p>
        </w:tc>
        <w:tc>
          <w:tcPr>
            <w:tcW w:w="29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5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6.40 (4.30–9.52)</w:t>
            </w:r>
          </w:p>
        </w:tc>
        <w:tc>
          <w:tcPr>
            <w:tcW w:w="324"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5.40 (3.61–8.08)</w:t>
            </w:r>
          </w:p>
        </w:tc>
        <w:tc>
          <w:tcPr>
            <w:tcW w:w="41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1.82 (1.18–2.83)</w:t>
            </w:r>
          </w:p>
        </w:tc>
        <w:tc>
          <w:tcPr>
            <w:tcW w:w="41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0.0073</w:t>
            </w:r>
          </w:p>
        </w:tc>
      </w:tr>
      <w:tr w:rsidR="00BD7AC3" w:rsidRPr="00D43D61" w:rsidTr="00DC6685">
        <w:tc>
          <w:tcPr>
            <w:tcW w:w="450"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5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Low-reserve</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13.18</w:t>
            </w:r>
          </w:p>
        </w:tc>
        <w:tc>
          <w:tcPr>
            <w:tcW w:w="57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4.12 (2.82–6.02)</w:t>
            </w:r>
          </w:p>
        </w:tc>
        <w:tc>
          <w:tcPr>
            <w:tcW w:w="29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5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2.63 (1.77–3.91)</w:t>
            </w:r>
          </w:p>
        </w:tc>
        <w:tc>
          <w:tcPr>
            <w:tcW w:w="324"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1.99 (1.33–2.97)</w:t>
            </w:r>
          </w:p>
        </w:tc>
        <w:tc>
          <w:tcPr>
            <w:tcW w:w="41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0.0008</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1.65 (1.10–2.46)</w:t>
            </w:r>
          </w:p>
        </w:tc>
        <w:tc>
          <w:tcPr>
            <w:tcW w:w="41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0.0144</w:t>
            </w:r>
          </w:p>
        </w:tc>
      </w:tr>
      <w:tr w:rsidR="00BD7AC3" w:rsidRPr="00D43D61" w:rsidTr="00DC6685">
        <w:tc>
          <w:tcPr>
            <w:tcW w:w="450"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5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Double-constraint</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30.00</w:t>
            </w:r>
          </w:p>
        </w:tc>
        <w:tc>
          <w:tcPr>
            <w:tcW w:w="57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10.87 (4.79–24.67)</w:t>
            </w:r>
          </w:p>
        </w:tc>
        <w:tc>
          <w:tcPr>
            <w:tcW w:w="29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5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7.30 (3.20–16.68)</w:t>
            </w:r>
          </w:p>
        </w:tc>
        <w:tc>
          <w:tcPr>
            <w:tcW w:w="324"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4.72 (2.03–10.99)</w:t>
            </w:r>
          </w:p>
        </w:tc>
        <w:tc>
          <w:tcPr>
            <w:tcW w:w="41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0.0003</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1.75 (0.71–4.31)</w:t>
            </w:r>
          </w:p>
        </w:tc>
        <w:tc>
          <w:tcPr>
            <w:tcW w:w="41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0.2216</w:t>
            </w:r>
          </w:p>
        </w:tc>
      </w:tr>
      <w:tr w:rsidR="00BD7AC3" w:rsidRPr="00D43D61" w:rsidTr="00DC6685">
        <w:tc>
          <w:tcPr>
            <w:tcW w:w="450" w:type="pct"/>
            <w:vAlign w:val="center"/>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MIMIC-IV cohort</w:t>
            </w:r>
          </w:p>
        </w:tc>
        <w:tc>
          <w:tcPr>
            <w:tcW w:w="512"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8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577"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29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572"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324"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8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1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83"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10" w:type="pct"/>
            <w:vAlign w:val="center"/>
          </w:tcPr>
          <w:p w:rsidR="00BD7AC3" w:rsidRPr="00D43D61" w:rsidRDefault="00BD7AC3" w:rsidP="00DC6685">
            <w:pPr>
              <w:spacing w:line="360" w:lineRule="auto"/>
              <w:jc w:val="center"/>
              <w:rPr>
                <w:rFonts w:cs="Times New Roman"/>
                <w:color w:val="000000" w:themeColor="text1"/>
                <w:sz w:val="21"/>
                <w:szCs w:val="21"/>
              </w:rPr>
            </w:pPr>
          </w:p>
        </w:tc>
      </w:tr>
      <w:tr w:rsidR="00BD7AC3" w:rsidRPr="00D43D61" w:rsidTr="00DC6685">
        <w:tc>
          <w:tcPr>
            <w:tcW w:w="450"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5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Stable</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8.04</w:t>
            </w:r>
          </w:p>
        </w:tc>
        <w:tc>
          <w:tcPr>
            <w:tcW w:w="57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29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c>
          <w:tcPr>
            <w:tcW w:w="5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324"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41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41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r>
      <w:tr w:rsidR="00BD7AC3" w:rsidRPr="00D43D61" w:rsidTr="00DC6685">
        <w:tc>
          <w:tcPr>
            <w:tcW w:w="4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MIMIC-IV cohort</w:t>
            </w:r>
          </w:p>
        </w:tc>
        <w:tc>
          <w:tcPr>
            <w:tcW w:w="5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High-drive</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20.48</w:t>
            </w:r>
          </w:p>
        </w:tc>
        <w:tc>
          <w:tcPr>
            <w:tcW w:w="57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2.76 (2.05–3.72)</w:t>
            </w:r>
          </w:p>
        </w:tc>
        <w:tc>
          <w:tcPr>
            <w:tcW w:w="29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5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2.79 (2.07–3.77)</w:t>
            </w:r>
          </w:p>
        </w:tc>
        <w:tc>
          <w:tcPr>
            <w:tcW w:w="324"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1.98 (1.46–2.67)</w:t>
            </w:r>
          </w:p>
        </w:tc>
        <w:tc>
          <w:tcPr>
            <w:tcW w:w="41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1.36 (1.00–1.86)</w:t>
            </w:r>
          </w:p>
        </w:tc>
        <w:tc>
          <w:tcPr>
            <w:tcW w:w="41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0.0516</w:t>
            </w:r>
          </w:p>
        </w:tc>
      </w:tr>
      <w:tr w:rsidR="00BD7AC3" w:rsidRPr="00D43D61" w:rsidTr="00DC6685">
        <w:tc>
          <w:tcPr>
            <w:tcW w:w="4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MIMIC-IV cohort</w:t>
            </w:r>
          </w:p>
        </w:tc>
        <w:tc>
          <w:tcPr>
            <w:tcW w:w="5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Low-reserve</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7.58</w:t>
            </w:r>
          </w:p>
        </w:tc>
        <w:tc>
          <w:tcPr>
            <w:tcW w:w="57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0.94 (0.76–1.16)</w:t>
            </w:r>
          </w:p>
        </w:tc>
        <w:tc>
          <w:tcPr>
            <w:tcW w:w="29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0.5534</w:t>
            </w:r>
          </w:p>
        </w:tc>
        <w:tc>
          <w:tcPr>
            <w:tcW w:w="5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0.85 (0.68–1.06)</w:t>
            </w:r>
          </w:p>
        </w:tc>
        <w:tc>
          <w:tcPr>
            <w:tcW w:w="324"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0.1449</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0.67 (0.54–0.84)</w:t>
            </w:r>
          </w:p>
        </w:tc>
        <w:tc>
          <w:tcPr>
            <w:tcW w:w="41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0.0004</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0.59 (0.48–0.74)</w:t>
            </w:r>
          </w:p>
        </w:tc>
        <w:tc>
          <w:tcPr>
            <w:tcW w:w="41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4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lastRenderedPageBreak/>
              <w:t>MIMIC-IV cohort</w:t>
            </w:r>
          </w:p>
        </w:tc>
        <w:tc>
          <w:tcPr>
            <w:tcW w:w="5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Double-constraint</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22.98</w:t>
            </w:r>
          </w:p>
        </w:tc>
        <w:tc>
          <w:tcPr>
            <w:tcW w:w="57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3.16 (2.47–4.05)</w:t>
            </w:r>
          </w:p>
        </w:tc>
        <w:tc>
          <w:tcPr>
            <w:tcW w:w="29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5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2.99 (2.33–3.83)</w:t>
            </w:r>
          </w:p>
        </w:tc>
        <w:tc>
          <w:tcPr>
            <w:tcW w:w="324"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2.11 (1.64–2.71)</w:t>
            </w:r>
          </w:p>
        </w:tc>
        <w:tc>
          <w:tcPr>
            <w:tcW w:w="41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1.51 (1.17–1.95)</w:t>
            </w:r>
          </w:p>
        </w:tc>
        <w:tc>
          <w:tcPr>
            <w:tcW w:w="41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0.0016</w:t>
            </w:r>
          </w:p>
        </w:tc>
      </w:tr>
    </w:tbl>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Supplementary Table S2. Full Cox proportional hazards models for 365-day all-cause mortality according to Hb–SI phenotype.</w:t>
      </w:r>
      <w:r w:rsidRPr="00D43D61">
        <w:rPr>
          <w:rFonts w:ascii="Times New Roman" w:hAnsi="Times New Roman" w:cs="Times New Roman"/>
          <w:color w:val="000000" w:themeColor="text1"/>
        </w:rPr>
        <w:t xml:space="preserve"> </w:t>
      </w:r>
      <w:r w:rsidRPr="00D43D61">
        <w:rPr>
          <w:rFonts w:ascii="Times New Roman" w:hAnsi="Times New Roman" w:cs="Times New Roman"/>
          <w:color w:val="000000" w:themeColor="text1"/>
          <w:sz w:val="21"/>
          <w:szCs w:val="21"/>
        </w:rPr>
        <w:t>The Stable phenotype was used as the reference group. The crude model included Hb–SI phenotype only. Model 1 was adjusted for age and sex. Model 2 was further adjusted for diabetes mellitus, hypertension, and chronic kidney disease. Model 3 was additionally adjusted for STEMI, PCI, atrial fibrillation, chronic pulmonary disease, and peripheral vascular disease; Killip class was additionally included in the clinical cohort, and SOFA score was additionally included in the MIMIC-IV cohort. HR, hazard ratio; CI, confidence interval; Hb–SI, hemoglobin–shock index; STEMI, ST-segment elevation myocardial infarction; PCI, percutaneous coronary intervention; SOFA, Sequential Organ Failure Assessment.</w:t>
      </w: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Table S3. Proportional hazards assumption tests for Cox models</w:t>
      </w:r>
    </w:p>
    <w:tbl>
      <w:tblPr>
        <w:tblStyle w:val="a"/>
        <w:tblW w:w="6140" w:type="pct"/>
        <w:tblInd w:w="-851" w:type="dxa"/>
        <w:tblLook w:val="04A0" w:firstRow="1" w:lastRow="0" w:firstColumn="1" w:lastColumn="0" w:noHBand="0" w:noVBand="1"/>
      </w:tblPr>
      <w:tblGrid>
        <w:gridCol w:w="2087"/>
        <w:gridCol w:w="1034"/>
        <w:gridCol w:w="1985"/>
        <w:gridCol w:w="849"/>
        <w:gridCol w:w="4252"/>
      </w:tblGrid>
      <w:tr w:rsidR="00BD7AC3" w:rsidRPr="00D43D61" w:rsidTr="00DC6685">
        <w:trPr>
          <w:cnfStyle w:val="100000000000" w:firstRow="1" w:lastRow="0" w:firstColumn="0" w:lastColumn="0" w:oddVBand="0" w:evenVBand="0" w:oddHBand="0" w:evenHBand="0" w:firstRowFirstColumn="0" w:firstRowLastColumn="0" w:lastRowFirstColumn="0" w:lastRowLastColumn="0"/>
        </w:trPr>
        <w:tc>
          <w:tcPr>
            <w:tcW w:w="1022"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Cohort</w:t>
            </w:r>
          </w:p>
        </w:tc>
        <w:tc>
          <w:tcPr>
            <w:tcW w:w="506"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Model</w:t>
            </w:r>
          </w:p>
        </w:tc>
        <w:tc>
          <w:tcPr>
            <w:tcW w:w="972"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Hb–SI phenotype P value</w:t>
            </w:r>
          </w:p>
        </w:tc>
        <w:tc>
          <w:tcPr>
            <w:tcW w:w="416"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Global P value</w:t>
            </w:r>
          </w:p>
        </w:tc>
        <w:tc>
          <w:tcPr>
            <w:tcW w:w="2083"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Interpretation</w:t>
            </w:r>
          </w:p>
        </w:tc>
      </w:tr>
      <w:tr w:rsidR="00BD7AC3" w:rsidRPr="00D43D61" w:rsidTr="00DC6685">
        <w:tc>
          <w:tcPr>
            <w:tcW w:w="1022" w:type="pct"/>
            <w:vAlign w:val="center"/>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Clinical cohort</w:t>
            </w:r>
          </w:p>
        </w:tc>
        <w:tc>
          <w:tcPr>
            <w:tcW w:w="506"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972"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16"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2083" w:type="pct"/>
            <w:vAlign w:val="center"/>
          </w:tcPr>
          <w:p w:rsidR="00BD7AC3" w:rsidRPr="00D43D61" w:rsidRDefault="00BD7AC3" w:rsidP="00DC6685">
            <w:pPr>
              <w:spacing w:line="360" w:lineRule="auto"/>
              <w:jc w:val="center"/>
              <w:rPr>
                <w:rFonts w:cs="Times New Roman"/>
                <w:color w:val="000000" w:themeColor="text1"/>
                <w:sz w:val="21"/>
                <w:szCs w:val="21"/>
              </w:rPr>
            </w:pPr>
          </w:p>
        </w:tc>
      </w:tr>
      <w:tr w:rsidR="00BD7AC3" w:rsidRPr="00D43D61" w:rsidTr="00DC6685">
        <w:tc>
          <w:tcPr>
            <w:tcW w:w="1022"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50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Model 2</w:t>
            </w:r>
          </w:p>
        </w:tc>
        <w:tc>
          <w:tcPr>
            <w:tcW w:w="9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0.3300</w:t>
            </w:r>
          </w:p>
        </w:tc>
        <w:tc>
          <w:tcPr>
            <w:tcW w:w="4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0.7900</w:t>
            </w:r>
          </w:p>
        </w:tc>
        <w:tc>
          <w:tcPr>
            <w:tcW w:w="20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No evidence of violation</w:t>
            </w:r>
          </w:p>
        </w:tc>
      </w:tr>
      <w:tr w:rsidR="00BD7AC3" w:rsidRPr="00D43D61" w:rsidTr="00DC6685">
        <w:tc>
          <w:tcPr>
            <w:tcW w:w="1022"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50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Model 3</w:t>
            </w:r>
          </w:p>
        </w:tc>
        <w:tc>
          <w:tcPr>
            <w:tcW w:w="9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0.2890</w:t>
            </w:r>
          </w:p>
        </w:tc>
        <w:tc>
          <w:tcPr>
            <w:tcW w:w="4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0.3480</w:t>
            </w:r>
          </w:p>
        </w:tc>
        <w:tc>
          <w:tcPr>
            <w:tcW w:w="20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No evidence of violation</w:t>
            </w:r>
          </w:p>
        </w:tc>
      </w:tr>
      <w:tr w:rsidR="00BD7AC3" w:rsidRPr="00D43D61" w:rsidTr="00DC6685">
        <w:tc>
          <w:tcPr>
            <w:tcW w:w="1022" w:type="pct"/>
            <w:vAlign w:val="center"/>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MIMIC-IV cohort</w:t>
            </w:r>
          </w:p>
        </w:tc>
        <w:tc>
          <w:tcPr>
            <w:tcW w:w="506"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972"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16"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2083" w:type="pct"/>
            <w:vAlign w:val="center"/>
          </w:tcPr>
          <w:p w:rsidR="00BD7AC3" w:rsidRPr="00D43D61" w:rsidRDefault="00BD7AC3" w:rsidP="00DC6685">
            <w:pPr>
              <w:spacing w:line="360" w:lineRule="auto"/>
              <w:jc w:val="center"/>
              <w:rPr>
                <w:rFonts w:cs="Times New Roman"/>
                <w:color w:val="000000" w:themeColor="text1"/>
                <w:sz w:val="21"/>
                <w:szCs w:val="21"/>
              </w:rPr>
            </w:pPr>
          </w:p>
        </w:tc>
      </w:tr>
      <w:tr w:rsidR="00BD7AC3" w:rsidRPr="00D43D61" w:rsidTr="00DC6685">
        <w:tc>
          <w:tcPr>
            <w:tcW w:w="1022"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50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Model 2</w:t>
            </w:r>
          </w:p>
        </w:tc>
        <w:tc>
          <w:tcPr>
            <w:tcW w:w="9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0.0220</w:t>
            </w:r>
          </w:p>
        </w:tc>
        <w:tc>
          <w:tcPr>
            <w:tcW w:w="4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0.0520</w:t>
            </w:r>
          </w:p>
        </w:tc>
        <w:tc>
          <w:tcPr>
            <w:tcW w:w="20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Possible time-varying effect for phenotype; global test borderline</w:t>
            </w:r>
          </w:p>
        </w:tc>
      </w:tr>
      <w:tr w:rsidR="00BD7AC3" w:rsidRPr="00D43D61" w:rsidTr="00DC6685">
        <w:tc>
          <w:tcPr>
            <w:tcW w:w="1022"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50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Model 3</w:t>
            </w:r>
          </w:p>
        </w:tc>
        <w:tc>
          <w:tcPr>
            <w:tcW w:w="97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0.0668</w:t>
            </w:r>
          </w:p>
        </w:tc>
        <w:tc>
          <w:tcPr>
            <w:tcW w:w="4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0.0106</w:t>
            </w:r>
          </w:p>
        </w:tc>
        <w:tc>
          <w:tcPr>
            <w:tcW w:w="20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Phenotype term acceptable; global violation mainly driven by non-phenotype covariates</w:t>
            </w:r>
          </w:p>
        </w:tc>
      </w:tr>
    </w:tbl>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 xml:space="preserve">Supplementary Table S3. Proportional hazards assumption tests for Cox models. The proportional hazards assumption was assessed using Schoenfeld residuals. P values are shown for the Hb–SI phenotype term and for the global model test. Model 2 was adjusted for age, sex, diabetes mellitus, hypertension, and chronic kidney disease. Model 3 was additionally adjusted for STEMI, PCI, atrial fibrillation, chronic pulmonary disease, and peripheral vascular disease; Killip class was additionally included in the clinical cohort, and SOFA score was additionally included in the </w:t>
      </w:r>
      <w:r w:rsidRPr="00D43D61">
        <w:rPr>
          <w:rFonts w:ascii="Times New Roman" w:hAnsi="Times New Roman" w:cs="Times New Roman"/>
          <w:color w:val="000000" w:themeColor="text1"/>
          <w:sz w:val="21"/>
          <w:szCs w:val="21"/>
        </w:rPr>
        <w:lastRenderedPageBreak/>
        <w:t>MIMIC-IV cohort. Hb–SI, hemoglobin–shock index; STEMI, ST-segment elevation myocardial infarction; PCI, percutaneous coronary intervention; SOFA, Sequential Organ Failure Assessment.</w:t>
      </w: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Table S4. Firth penalized logistic regression for 365-day mortality in the clinical cohort</w:t>
      </w:r>
    </w:p>
    <w:tbl>
      <w:tblPr>
        <w:tblStyle w:val="a"/>
        <w:tblW w:w="5000" w:type="pct"/>
        <w:tblLook w:val="04A0" w:firstRow="1" w:lastRow="0" w:firstColumn="1" w:lastColumn="0" w:noHBand="0" w:noVBand="1"/>
      </w:tblPr>
      <w:tblGrid>
        <w:gridCol w:w="1884"/>
        <w:gridCol w:w="2287"/>
        <w:gridCol w:w="991"/>
        <w:gridCol w:w="2287"/>
        <w:gridCol w:w="863"/>
      </w:tblGrid>
      <w:tr w:rsidR="00BD7AC3" w:rsidRPr="00D43D61" w:rsidTr="00DC6685">
        <w:trPr>
          <w:cnfStyle w:val="100000000000" w:firstRow="1" w:lastRow="0" w:firstColumn="0" w:lastColumn="0" w:oddVBand="0" w:evenVBand="0" w:oddHBand="0" w:evenHBand="0" w:firstRowFirstColumn="0" w:firstRowLastColumn="0" w:lastRowFirstColumn="0" w:lastRowLastColumn="0"/>
        </w:trPr>
        <w:tc>
          <w:tcPr>
            <w:tcW w:w="1133"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Hb–SI phenotype</w:t>
            </w:r>
          </w:p>
        </w:tc>
        <w:tc>
          <w:tcPr>
            <w:tcW w:w="1376"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 xml:space="preserve">Model 2 OR </w:t>
            </w:r>
          </w:p>
        </w:tc>
        <w:tc>
          <w:tcPr>
            <w:tcW w:w="596"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P</w:t>
            </w:r>
          </w:p>
        </w:tc>
        <w:tc>
          <w:tcPr>
            <w:tcW w:w="1376"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 xml:space="preserve">Model 3 OR </w:t>
            </w:r>
          </w:p>
        </w:tc>
        <w:tc>
          <w:tcPr>
            <w:tcW w:w="519"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P</w:t>
            </w:r>
          </w:p>
        </w:tc>
      </w:tr>
      <w:tr w:rsidR="00BD7AC3" w:rsidRPr="00D43D61" w:rsidTr="00DC6685">
        <w:tc>
          <w:tcPr>
            <w:tcW w:w="113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Stable</w:t>
            </w:r>
          </w:p>
        </w:tc>
        <w:tc>
          <w:tcPr>
            <w:tcW w:w="137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59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c>
          <w:tcPr>
            <w:tcW w:w="137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519"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r>
      <w:tr w:rsidR="00BD7AC3" w:rsidRPr="00D43D61" w:rsidTr="00DC6685">
        <w:tc>
          <w:tcPr>
            <w:tcW w:w="113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High-drive</w:t>
            </w:r>
          </w:p>
        </w:tc>
        <w:tc>
          <w:tcPr>
            <w:tcW w:w="137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6.53</w:t>
            </w:r>
          </w:p>
        </w:tc>
        <w:tc>
          <w:tcPr>
            <w:tcW w:w="59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c>
          <w:tcPr>
            <w:tcW w:w="137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2.01</w:t>
            </w:r>
          </w:p>
        </w:tc>
        <w:tc>
          <w:tcPr>
            <w:tcW w:w="519"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0.0190</w:t>
            </w:r>
          </w:p>
        </w:tc>
      </w:tr>
      <w:tr w:rsidR="00BD7AC3" w:rsidRPr="00D43D61" w:rsidTr="00DC6685">
        <w:tc>
          <w:tcPr>
            <w:tcW w:w="113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Low-reserve</w:t>
            </w:r>
          </w:p>
        </w:tc>
        <w:tc>
          <w:tcPr>
            <w:tcW w:w="137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2.15</w:t>
            </w:r>
          </w:p>
        </w:tc>
        <w:tc>
          <w:tcPr>
            <w:tcW w:w="59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0.0010</w:t>
            </w:r>
          </w:p>
        </w:tc>
        <w:tc>
          <w:tcPr>
            <w:tcW w:w="137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1.87</w:t>
            </w:r>
          </w:p>
        </w:tc>
        <w:tc>
          <w:tcPr>
            <w:tcW w:w="519"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0.0107</w:t>
            </w:r>
          </w:p>
        </w:tc>
      </w:tr>
      <w:tr w:rsidR="00BD7AC3" w:rsidRPr="00D43D61" w:rsidTr="00DC6685">
        <w:tc>
          <w:tcPr>
            <w:tcW w:w="113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Double-constraint</w:t>
            </w:r>
          </w:p>
        </w:tc>
        <w:tc>
          <w:tcPr>
            <w:tcW w:w="137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5.85</w:t>
            </w:r>
          </w:p>
        </w:tc>
        <w:tc>
          <w:tcPr>
            <w:tcW w:w="59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0.0027</w:t>
            </w:r>
          </w:p>
        </w:tc>
        <w:tc>
          <w:tcPr>
            <w:tcW w:w="137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3.06</w:t>
            </w:r>
          </w:p>
        </w:tc>
        <w:tc>
          <w:tcPr>
            <w:tcW w:w="519"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0.1229</w:t>
            </w:r>
          </w:p>
        </w:tc>
      </w:tr>
    </w:tbl>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Supplementary Table S4. Firth penalized logistic regression for 365-day mortality in the clinical cohort. Firth penalized logistic regression was performed as a small-sample sensitivity analysis for fixed 365-day mortality in the clinical cohort. The Stable phenotype was used as the reference group. Model 2 was adjusted for age, sex, diabetes mellitus, hypertension, and chronic kidney disease. Model 3 was additionally adjusted for STEMI, Killip class, PCI status, atrial fibrillation, chronic obstructive pulmonary disease, and peripheral vascular disease. OR, odds ratio; Hb–SI, hemoglobin–shock index; STEMI, ST-segment elevation myocardial infarction; PCI, percutaneous coronary intervention.</w:t>
      </w: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Table S5. Discrimination of the GRACE score with and without Hb–SI phenotype</w:t>
      </w:r>
    </w:p>
    <w:tbl>
      <w:tblPr>
        <w:tblStyle w:val="a"/>
        <w:tblW w:w="5000" w:type="pct"/>
        <w:tblLook w:val="04A0" w:firstRow="1" w:lastRow="0" w:firstColumn="1" w:lastColumn="0" w:noHBand="0" w:noVBand="1"/>
      </w:tblPr>
      <w:tblGrid>
        <w:gridCol w:w="4004"/>
        <w:gridCol w:w="1923"/>
        <w:gridCol w:w="1368"/>
        <w:gridCol w:w="1017"/>
      </w:tblGrid>
      <w:tr w:rsidR="00BD7AC3" w:rsidRPr="00D43D61" w:rsidTr="00DC6685">
        <w:trPr>
          <w:cnfStyle w:val="100000000000" w:firstRow="1" w:lastRow="0" w:firstColumn="0" w:lastColumn="0" w:oddVBand="0" w:evenVBand="0" w:oddHBand="0" w:evenHBand="0" w:firstRowFirstColumn="0" w:firstRowLastColumn="0" w:lastRowFirstColumn="0" w:lastRowLastColumn="0"/>
        </w:trPr>
        <w:tc>
          <w:tcPr>
            <w:tcW w:w="2408"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Model</w:t>
            </w:r>
          </w:p>
        </w:tc>
        <w:tc>
          <w:tcPr>
            <w:tcW w:w="1157"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AUC</w:t>
            </w:r>
          </w:p>
        </w:tc>
        <w:tc>
          <w:tcPr>
            <w:tcW w:w="823"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ΔAUC</w:t>
            </w:r>
          </w:p>
        </w:tc>
        <w:tc>
          <w:tcPr>
            <w:tcW w:w="612"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P</w:t>
            </w:r>
          </w:p>
        </w:tc>
      </w:tr>
      <w:tr w:rsidR="00BD7AC3" w:rsidRPr="00D43D61" w:rsidTr="00DC6685">
        <w:tc>
          <w:tcPr>
            <w:tcW w:w="2408"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GRACE score</w:t>
            </w:r>
          </w:p>
        </w:tc>
        <w:tc>
          <w:tcPr>
            <w:tcW w:w="115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0.863</w:t>
            </w:r>
          </w:p>
        </w:tc>
        <w:tc>
          <w:tcPr>
            <w:tcW w:w="82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Reference</w:t>
            </w:r>
          </w:p>
        </w:tc>
        <w:tc>
          <w:tcPr>
            <w:tcW w:w="6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w:t>
            </w:r>
          </w:p>
        </w:tc>
      </w:tr>
      <w:tr w:rsidR="00BD7AC3" w:rsidRPr="00D43D61" w:rsidTr="00DC6685">
        <w:tc>
          <w:tcPr>
            <w:tcW w:w="2408"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GRACE score + Hb–SI phenotype</w:t>
            </w:r>
          </w:p>
        </w:tc>
        <w:tc>
          <w:tcPr>
            <w:tcW w:w="1157"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0.869</w:t>
            </w:r>
          </w:p>
        </w:tc>
        <w:tc>
          <w:tcPr>
            <w:tcW w:w="82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0.006</w:t>
            </w:r>
          </w:p>
        </w:tc>
        <w:tc>
          <w:tcPr>
            <w:tcW w:w="612"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0.0187</w:t>
            </w:r>
          </w:p>
        </w:tc>
      </w:tr>
    </w:tbl>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Supplementary Table S5. Discrimination of the GRACE score with and without Hb–SI phenotype. AUCs were compared using the DeLong test in the clinical cohort. The Hb–SI phenotype produced a statistically significant but numerically small increase in discrimination beyond the GRACE score. AUC, area under the receiver operating characteristic curve; Hb–SI, hemoglobin–shock index; GRACE, Global Registry of Acute Coronary Events.</w:t>
      </w: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Supplementary Table S6. Univariable Cox regression analyses for 365-day all-cause mortality</w:t>
      </w:r>
    </w:p>
    <w:tbl>
      <w:tblPr>
        <w:tblStyle w:val="a"/>
        <w:tblW w:w="5682" w:type="pct"/>
        <w:tblInd w:w="-1134" w:type="dxa"/>
        <w:tblLook w:val="04A0" w:firstRow="1" w:lastRow="0" w:firstColumn="1" w:lastColumn="0" w:noHBand="0" w:noVBand="1"/>
      </w:tblPr>
      <w:tblGrid>
        <w:gridCol w:w="1560"/>
        <w:gridCol w:w="2127"/>
        <w:gridCol w:w="2550"/>
        <w:gridCol w:w="2297"/>
        <w:gridCol w:w="912"/>
      </w:tblGrid>
      <w:tr w:rsidR="00BD7AC3" w:rsidRPr="00D43D61" w:rsidTr="00DC6685">
        <w:trPr>
          <w:cnfStyle w:val="100000000000" w:firstRow="1" w:lastRow="0" w:firstColumn="0" w:lastColumn="0" w:oddVBand="0" w:evenVBand="0" w:oddHBand="0" w:evenHBand="0" w:firstRowFirstColumn="0" w:firstRowLastColumn="0" w:lastRowFirstColumn="0" w:lastRowLastColumn="0"/>
        </w:trPr>
        <w:tc>
          <w:tcPr>
            <w:tcW w:w="826"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Cohort</w:t>
            </w:r>
          </w:p>
        </w:tc>
        <w:tc>
          <w:tcPr>
            <w:tcW w:w="1126"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Variable</w:t>
            </w:r>
          </w:p>
        </w:tc>
        <w:tc>
          <w:tcPr>
            <w:tcW w:w="1350"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Level / comparison</w:t>
            </w:r>
          </w:p>
        </w:tc>
        <w:tc>
          <w:tcPr>
            <w:tcW w:w="1216"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HR (95% CI)</w:t>
            </w:r>
          </w:p>
        </w:tc>
        <w:tc>
          <w:tcPr>
            <w:tcW w:w="483" w:type="pct"/>
            <w:vAlign w:val="center"/>
            <w:hideMark/>
          </w:tcPr>
          <w:p w:rsidR="00BD7AC3" w:rsidRPr="00D43D61" w:rsidRDefault="00BD7AC3" w:rsidP="00DC6685">
            <w:pPr>
              <w:spacing w:line="360" w:lineRule="auto"/>
              <w:rPr>
                <w:rFonts w:cs="Times New Roman"/>
                <w:color w:val="000000" w:themeColor="text1"/>
                <w:szCs w:val="21"/>
              </w:rPr>
            </w:pPr>
            <w:r w:rsidRPr="00D43D61">
              <w:rPr>
                <w:rFonts w:cs="Times New Roman"/>
                <w:color w:val="000000" w:themeColor="text1"/>
                <w:szCs w:val="21"/>
              </w:rPr>
              <w:t xml:space="preserve">P </w:t>
            </w:r>
          </w:p>
        </w:tc>
      </w:tr>
      <w:tr w:rsidR="00BD7AC3" w:rsidRPr="00D43D61" w:rsidTr="00DC6685">
        <w:tc>
          <w:tcPr>
            <w:tcW w:w="826" w:type="pct"/>
            <w:vAlign w:val="center"/>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Clinical cohort</w:t>
            </w:r>
          </w:p>
        </w:tc>
        <w:tc>
          <w:tcPr>
            <w:tcW w:w="1126"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1350"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1216"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83" w:type="pct"/>
            <w:vAlign w:val="center"/>
          </w:tcPr>
          <w:p w:rsidR="00BD7AC3" w:rsidRPr="00D43D61" w:rsidRDefault="00BD7AC3" w:rsidP="00DC6685">
            <w:pPr>
              <w:spacing w:line="360" w:lineRule="auto"/>
              <w:jc w:val="center"/>
              <w:rPr>
                <w:rFonts w:cs="Times New Roman"/>
                <w:color w:val="000000" w:themeColor="text1"/>
                <w:sz w:val="21"/>
                <w:szCs w:val="21"/>
              </w:rPr>
            </w:pP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Hb–SI phenotype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High-drive vs Stable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7.77 (5.24, 11.51)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Hb–SI phenotype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Low-reserve vs Stable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4.12 (2.82, 6.02)</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Hb–SI phenotype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Double-constraint vs Stable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10.87 (4.79, 24.67)</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Age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Per 1-year increase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1.07 (1.05, 1.08)</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Male sex</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Male vs female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0.50 (0.37, 0.67)</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Diabetes mellitus</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1.85 (1.40, 2.45)</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Hypertension</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1.64 (1.20, 2.23)</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0.0017</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Chronic kidney disease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5.42 (4.08, 7.21)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STEMI</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1.63 (1.18, 2.25)</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0.0028</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Killip class</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Killip II vs I</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4.60 (3.01, 7.02)</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Killip class</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Killip III vs I</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13.74 (8.84, 21.37)</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Killip class</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Killip IV vs I</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59.77 (38.66, 92.41)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PCI</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0.29 (0.22, 0.39)</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Atrial fibrillation</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5.15 (3.49, 7.60)</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Chronic pulmonary disease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8.12 (3.60, 18.31)</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Peripheral vascular disease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7.74 (3.43, 17.45)</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MIMIC-IV cohort</w:t>
            </w:r>
          </w:p>
        </w:tc>
        <w:tc>
          <w:tcPr>
            <w:tcW w:w="1126"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1350"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1216" w:type="pct"/>
            <w:vAlign w:val="center"/>
          </w:tcPr>
          <w:p w:rsidR="00BD7AC3" w:rsidRPr="00D43D61" w:rsidRDefault="00BD7AC3" w:rsidP="00DC6685">
            <w:pPr>
              <w:spacing w:line="360" w:lineRule="auto"/>
              <w:jc w:val="center"/>
              <w:rPr>
                <w:rFonts w:cs="Times New Roman"/>
                <w:color w:val="000000" w:themeColor="text1"/>
                <w:sz w:val="21"/>
                <w:szCs w:val="21"/>
              </w:rPr>
            </w:pPr>
          </w:p>
        </w:tc>
        <w:tc>
          <w:tcPr>
            <w:tcW w:w="483" w:type="pct"/>
            <w:vAlign w:val="center"/>
          </w:tcPr>
          <w:p w:rsidR="00BD7AC3" w:rsidRPr="00D43D61" w:rsidRDefault="00BD7AC3" w:rsidP="00DC6685">
            <w:pPr>
              <w:spacing w:line="360" w:lineRule="auto"/>
              <w:jc w:val="center"/>
              <w:rPr>
                <w:rFonts w:cs="Times New Roman"/>
                <w:color w:val="000000" w:themeColor="text1"/>
                <w:sz w:val="21"/>
                <w:szCs w:val="21"/>
              </w:rPr>
            </w:pP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Hb–SI phenotype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High-drive vs Stable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2.76 (2.05, 3.72)</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Hb–SI phenotype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Low-reserve vs Stable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0.94 (0.76, 1.16)</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0.5534</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Hb–SI phenotype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Double-constraint vs Stable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3.16 (2.47, 4.05)</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Age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Per 1-year increase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1.02 (1.01, 1.02)</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Male sex</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Male vs female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0.81 (0.68, 0.97)</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0.0213</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Diabetes mellitus</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0.98 (0.82, 1.17)</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0.8100</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Hypertension</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0.82 (0.67, 1.00)</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0.0488</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Chronic kidney disease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4.87 (3.89, 6.10)</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STEMI</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0.98 (0.82, 1.17)</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0.8158</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PCI</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0.55 (0.46, 0.66)</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Atrial fibrillation</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1.07 (0.89, 1.28)</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0.4825</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Chronic pulmonary disease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1.44 (1.19, 1.74)</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0.0002</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Peripheral vascular disease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Yes vs no</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1.27 (1.02, 1.59)</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0.0340</w:t>
            </w:r>
          </w:p>
        </w:tc>
      </w:tr>
      <w:tr w:rsidR="00BD7AC3" w:rsidRPr="00D43D61" w:rsidTr="00DC6685">
        <w:tc>
          <w:tcPr>
            <w:tcW w:w="826" w:type="pct"/>
            <w:vAlign w:val="center"/>
            <w:hideMark/>
          </w:tcPr>
          <w:p w:rsidR="00BD7AC3" w:rsidRPr="00D43D61" w:rsidRDefault="00BD7AC3" w:rsidP="00DC6685">
            <w:pPr>
              <w:spacing w:line="360" w:lineRule="auto"/>
              <w:jc w:val="center"/>
              <w:rPr>
                <w:rFonts w:cs="Times New Roman"/>
                <w:color w:val="000000" w:themeColor="text1"/>
                <w:sz w:val="21"/>
                <w:szCs w:val="21"/>
              </w:rPr>
            </w:pPr>
          </w:p>
        </w:tc>
        <w:tc>
          <w:tcPr>
            <w:tcW w:w="112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SOFA score</w:t>
            </w:r>
          </w:p>
        </w:tc>
        <w:tc>
          <w:tcPr>
            <w:tcW w:w="1350"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Per 1-point increase</w:t>
            </w:r>
          </w:p>
        </w:tc>
        <w:tc>
          <w:tcPr>
            <w:tcW w:w="1216"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1.28 (1.25, 1.30)</w:t>
            </w:r>
          </w:p>
        </w:tc>
        <w:tc>
          <w:tcPr>
            <w:tcW w:w="483" w:type="pct"/>
            <w:vAlign w:val="center"/>
            <w:hideMark/>
          </w:tcPr>
          <w:p w:rsidR="00BD7AC3" w:rsidRPr="00D43D61" w:rsidRDefault="00BD7AC3" w:rsidP="00DC6685">
            <w:pPr>
              <w:spacing w:line="360" w:lineRule="auto"/>
              <w:jc w:val="center"/>
              <w:rPr>
                <w:rFonts w:cs="Times New Roman"/>
                <w:color w:val="000000" w:themeColor="text1"/>
                <w:sz w:val="21"/>
                <w:szCs w:val="21"/>
              </w:rPr>
            </w:pPr>
            <w:r w:rsidRPr="00D43D61">
              <w:rPr>
                <w:rFonts w:cs="Times New Roman"/>
                <w:color w:val="000000" w:themeColor="text1"/>
                <w:sz w:val="21"/>
                <w:szCs w:val="21"/>
              </w:rPr>
              <w:t>&lt;0.0001</w:t>
            </w:r>
          </w:p>
        </w:tc>
      </w:tr>
    </w:tbl>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Supplementary Table S6. Univariable Cox regression analyses for 365-day all-cause mortality. Univariable Cox proportional hazards models were fitted separately in the clinical and MIMIC-IV cohorts to evaluate the associations between baseline variables and 365-day all-cause mortality. Hazard ratios are presented with 95% confidence intervals. The reference categories were Stable phenotype for Hb–SI phenotype, female sex for sex, no for binary variables, and Killip class I for Killip class. Age was modeled per 1-year increase, and SOFA score was modeled per 1-point increase. HR, hazard ratio; CI, confidence interval; Hb–SI, hemoglobin–shock index; MIMIC-IV, Medical Information Mart for Intensive Care IV; PCI, percutaneous coronary intervention; SOFA, Sequential Organ Failure Assessment; STEMI, ST-segment elevation myocardial infarction.</w:t>
      </w: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bookmarkStart w:id="0" w:name="OLE_LINK4"/>
      <w:r w:rsidRPr="00D43D61">
        <w:rPr>
          <w:rFonts w:ascii="Times New Roman" w:hAnsi="Times New Roman" w:cs="Times New Roman"/>
          <w:b/>
          <w:bCs/>
          <w:color w:val="000000" w:themeColor="text1"/>
          <w:sz w:val="21"/>
          <w:szCs w:val="21"/>
        </w:rPr>
        <w:t>Supplementary Table 7. Temporal distribution of 365-day mortality by Hb-SI phenotype in both cohorts</w:t>
      </w:r>
    </w:p>
    <w:tbl>
      <w:tblPr>
        <w:tblStyle w:val="a"/>
        <w:tblW w:w="5426" w:type="pct"/>
        <w:tblInd w:w="-709" w:type="dxa"/>
        <w:tblLook w:val="04A0" w:firstRow="1" w:lastRow="0" w:firstColumn="1" w:lastColumn="0" w:noHBand="0" w:noVBand="1"/>
      </w:tblPr>
      <w:tblGrid>
        <w:gridCol w:w="1931"/>
        <w:gridCol w:w="1826"/>
        <w:gridCol w:w="669"/>
        <w:gridCol w:w="1149"/>
        <w:gridCol w:w="1149"/>
        <w:gridCol w:w="1149"/>
        <w:gridCol w:w="1147"/>
      </w:tblGrid>
      <w:tr w:rsidR="00BD7AC3" w:rsidRPr="00D43D61" w:rsidTr="00DC6685">
        <w:trPr>
          <w:cnfStyle w:val="100000000000" w:firstRow="1" w:lastRow="0" w:firstColumn="0" w:lastColumn="0" w:oddVBand="0" w:evenVBand="0" w:oddHBand="0" w:evenHBand="0" w:firstRowFirstColumn="0" w:firstRowLastColumn="0" w:lastRowFirstColumn="0" w:lastRowLastColumn="0"/>
        </w:trPr>
        <w:tc>
          <w:tcPr>
            <w:tcW w:w="1070"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Cohort</w:t>
            </w:r>
          </w:p>
        </w:tc>
        <w:tc>
          <w:tcPr>
            <w:tcW w:w="1012"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Phenotype</w:t>
            </w:r>
          </w:p>
        </w:tc>
        <w:tc>
          <w:tcPr>
            <w:tcW w:w="371"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N</w:t>
            </w:r>
          </w:p>
        </w:tc>
        <w:tc>
          <w:tcPr>
            <w:tcW w:w="637"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30-day</w:t>
            </w:r>
          </w:p>
        </w:tc>
        <w:tc>
          <w:tcPr>
            <w:tcW w:w="637"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90-day</w:t>
            </w:r>
          </w:p>
        </w:tc>
        <w:tc>
          <w:tcPr>
            <w:tcW w:w="637"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180-day</w:t>
            </w:r>
          </w:p>
        </w:tc>
        <w:tc>
          <w:tcPr>
            <w:tcW w:w="636"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365-day</w:t>
            </w:r>
          </w:p>
        </w:tc>
      </w:tr>
      <w:tr w:rsidR="00BD7AC3" w:rsidRPr="00D43D61" w:rsidTr="00DC6685">
        <w:tc>
          <w:tcPr>
            <w:tcW w:w="1070" w:type="pct"/>
            <w:vAlign w:val="center"/>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Clinical cohort</w:t>
            </w:r>
          </w:p>
        </w:tc>
        <w:tc>
          <w:tcPr>
            <w:tcW w:w="1012"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371"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637"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637"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637"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636" w:type="pct"/>
            <w:vAlign w:val="center"/>
          </w:tcPr>
          <w:p w:rsidR="00BD7AC3" w:rsidRPr="00D43D61" w:rsidRDefault="00BD7AC3" w:rsidP="00DC6685">
            <w:pPr>
              <w:spacing w:line="375" w:lineRule="atLeast"/>
              <w:jc w:val="center"/>
              <w:rPr>
                <w:rFonts w:cs="Times New Roman"/>
                <w:color w:val="000000" w:themeColor="text1"/>
                <w:sz w:val="21"/>
                <w:szCs w:val="21"/>
              </w:rPr>
            </w:pPr>
          </w:p>
        </w:tc>
      </w:tr>
      <w:tr w:rsidR="00BD7AC3" w:rsidRPr="00D43D61" w:rsidTr="00DC6685">
        <w:tc>
          <w:tcPr>
            <w:tcW w:w="1070" w:type="pct"/>
            <w:vAlign w:val="center"/>
            <w:hideMark/>
          </w:tcPr>
          <w:p w:rsidR="00BD7AC3" w:rsidRPr="00D43D61" w:rsidRDefault="00BD7AC3" w:rsidP="00DC6685">
            <w:pPr>
              <w:spacing w:line="375" w:lineRule="atLeast"/>
              <w:jc w:val="center"/>
              <w:rPr>
                <w:rFonts w:cs="Times New Roman"/>
                <w:color w:val="000000" w:themeColor="text1"/>
                <w:sz w:val="21"/>
                <w:szCs w:val="21"/>
              </w:rPr>
            </w:pPr>
          </w:p>
        </w:tc>
        <w:tc>
          <w:tcPr>
            <w:tcW w:w="1012"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Stable</w:t>
            </w:r>
          </w:p>
        </w:tc>
        <w:tc>
          <w:tcPr>
            <w:tcW w:w="37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3755</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90 (2.4)</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102 (2.7)</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107 (2.8)</w:t>
            </w:r>
          </w:p>
        </w:tc>
        <w:tc>
          <w:tcPr>
            <w:tcW w:w="636"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125 (3.3)</w:t>
            </w:r>
          </w:p>
        </w:tc>
      </w:tr>
      <w:tr w:rsidR="00BD7AC3" w:rsidRPr="00D43D61" w:rsidTr="00DC6685">
        <w:tc>
          <w:tcPr>
            <w:tcW w:w="1070" w:type="pct"/>
            <w:vAlign w:val="center"/>
            <w:hideMark/>
          </w:tcPr>
          <w:p w:rsidR="00BD7AC3" w:rsidRPr="00D43D61" w:rsidRDefault="00BD7AC3" w:rsidP="00DC6685">
            <w:pPr>
              <w:spacing w:line="375" w:lineRule="atLeast"/>
              <w:jc w:val="center"/>
              <w:rPr>
                <w:rFonts w:cs="Times New Roman"/>
                <w:color w:val="000000" w:themeColor="text1"/>
                <w:sz w:val="21"/>
                <w:szCs w:val="21"/>
              </w:rPr>
            </w:pPr>
          </w:p>
        </w:tc>
        <w:tc>
          <w:tcPr>
            <w:tcW w:w="1012"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High-drive</w:t>
            </w:r>
          </w:p>
        </w:tc>
        <w:tc>
          <w:tcPr>
            <w:tcW w:w="37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134</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23 (17.2)</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25 (18.7)</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28 (20.9)</w:t>
            </w:r>
          </w:p>
        </w:tc>
        <w:tc>
          <w:tcPr>
            <w:tcW w:w="636"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31 (23.1)</w:t>
            </w:r>
          </w:p>
        </w:tc>
      </w:tr>
      <w:tr w:rsidR="00BD7AC3" w:rsidRPr="00D43D61" w:rsidTr="00DC6685">
        <w:tc>
          <w:tcPr>
            <w:tcW w:w="1070" w:type="pct"/>
            <w:vAlign w:val="center"/>
            <w:hideMark/>
          </w:tcPr>
          <w:p w:rsidR="00BD7AC3" w:rsidRPr="00D43D61" w:rsidRDefault="00BD7AC3" w:rsidP="00DC6685">
            <w:pPr>
              <w:spacing w:line="375" w:lineRule="atLeast"/>
              <w:jc w:val="center"/>
              <w:rPr>
                <w:rFonts w:cs="Times New Roman"/>
                <w:color w:val="000000" w:themeColor="text1"/>
                <w:sz w:val="21"/>
                <w:szCs w:val="21"/>
              </w:rPr>
            </w:pPr>
          </w:p>
        </w:tc>
        <w:tc>
          <w:tcPr>
            <w:tcW w:w="1012"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Low-reserve</w:t>
            </w:r>
          </w:p>
        </w:tc>
        <w:tc>
          <w:tcPr>
            <w:tcW w:w="37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258</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19 (7.4)</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25 (9.7)</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30 (11.6)</w:t>
            </w:r>
          </w:p>
        </w:tc>
        <w:tc>
          <w:tcPr>
            <w:tcW w:w="636"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34 (13.2)</w:t>
            </w:r>
          </w:p>
        </w:tc>
      </w:tr>
      <w:tr w:rsidR="00BD7AC3" w:rsidRPr="00D43D61" w:rsidTr="00DC6685">
        <w:tc>
          <w:tcPr>
            <w:tcW w:w="1070" w:type="pct"/>
            <w:vAlign w:val="center"/>
            <w:hideMark/>
          </w:tcPr>
          <w:p w:rsidR="00BD7AC3" w:rsidRPr="00D43D61" w:rsidRDefault="00BD7AC3" w:rsidP="00DC6685">
            <w:pPr>
              <w:spacing w:line="375" w:lineRule="atLeast"/>
              <w:jc w:val="center"/>
              <w:rPr>
                <w:rFonts w:cs="Times New Roman"/>
                <w:color w:val="000000" w:themeColor="text1"/>
                <w:sz w:val="21"/>
                <w:szCs w:val="21"/>
              </w:rPr>
            </w:pPr>
          </w:p>
        </w:tc>
        <w:tc>
          <w:tcPr>
            <w:tcW w:w="1012"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Double-constraint</w:t>
            </w:r>
          </w:p>
        </w:tc>
        <w:tc>
          <w:tcPr>
            <w:tcW w:w="37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20</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6 (30.0)</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6 (30.0)</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6 (30.0)</w:t>
            </w:r>
          </w:p>
        </w:tc>
        <w:tc>
          <w:tcPr>
            <w:tcW w:w="636"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6 (30.0)</w:t>
            </w:r>
          </w:p>
        </w:tc>
      </w:tr>
      <w:tr w:rsidR="00BD7AC3" w:rsidRPr="00D43D61" w:rsidTr="00DC6685">
        <w:tc>
          <w:tcPr>
            <w:tcW w:w="1070" w:type="pct"/>
            <w:vAlign w:val="center"/>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MIMIC-IV</w:t>
            </w:r>
            <w:r w:rsidRPr="00D43D61">
              <w:rPr>
                <w:rFonts w:cs="Times New Roman" w:hint="eastAsia"/>
                <w:color w:val="000000" w:themeColor="text1"/>
                <w:sz w:val="21"/>
                <w:szCs w:val="21"/>
              </w:rPr>
              <w:t xml:space="preserve"> </w:t>
            </w:r>
            <w:r w:rsidRPr="00D43D61">
              <w:rPr>
                <w:rFonts w:cs="Times New Roman"/>
                <w:color w:val="000000" w:themeColor="text1"/>
                <w:sz w:val="21"/>
                <w:szCs w:val="21"/>
              </w:rPr>
              <w:t>cohort</w:t>
            </w:r>
          </w:p>
        </w:tc>
        <w:tc>
          <w:tcPr>
            <w:tcW w:w="1012"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371"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637"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637"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637" w:type="pct"/>
            <w:vAlign w:val="center"/>
          </w:tcPr>
          <w:p w:rsidR="00BD7AC3" w:rsidRPr="00D43D61" w:rsidRDefault="00BD7AC3" w:rsidP="00DC6685">
            <w:pPr>
              <w:spacing w:line="375" w:lineRule="atLeast"/>
              <w:jc w:val="center"/>
              <w:rPr>
                <w:rFonts w:cs="Times New Roman"/>
                <w:color w:val="000000" w:themeColor="text1"/>
                <w:sz w:val="21"/>
                <w:szCs w:val="21"/>
              </w:rPr>
            </w:pPr>
          </w:p>
        </w:tc>
        <w:tc>
          <w:tcPr>
            <w:tcW w:w="636" w:type="pct"/>
            <w:vAlign w:val="center"/>
          </w:tcPr>
          <w:p w:rsidR="00BD7AC3" w:rsidRPr="00D43D61" w:rsidRDefault="00BD7AC3" w:rsidP="00DC6685">
            <w:pPr>
              <w:spacing w:line="375" w:lineRule="atLeast"/>
              <w:jc w:val="center"/>
              <w:rPr>
                <w:rFonts w:cs="Times New Roman"/>
                <w:color w:val="000000" w:themeColor="text1"/>
                <w:sz w:val="21"/>
                <w:szCs w:val="21"/>
              </w:rPr>
            </w:pPr>
          </w:p>
        </w:tc>
      </w:tr>
      <w:tr w:rsidR="00BD7AC3" w:rsidRPr="00D43D61" w:rsidTr="00DC6685">
        <w:tc>
          <w:tcPr>
            <w:tcW w:w="1070" w:type="pct"/>
            <w:vAlign w:val="center"/>
            <w:hideMark/>
          </w:tcPr>
          <w:p w:rsidR="00BD7AC3" w:rsidRPr="00D43D61" w:rsidRDefault="00BD7AC3" w:rsidP="00DC6685">
            <w:pPr>
              <w:spacing w:line="375" w:lineRule="atLeast"/>
              <w:jc w:val="center"/>
              <w:rPr>
                <w:rFonts w:cs="Times New Roman"/>
                <w:color w:val="000000" w:themeColor="text1"/>
                <w:sz w:val="21"/>
                <w:szCs w:val="21"/>
              </w:rPr>
            </w:pPr>
          </w:p>
        </w:tc>
        <w:tc>
          <w:tcPr>
            <w:tcW w:w="1012"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Stable</w:t>
            </w:r>
          </w:p>
        </w:tc>
        <w:tc>
          <w:tcPr>
            <w:tcW w:w="37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1890</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149 (7.9)</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152 (8.0)</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152 (8.0)</w:t>
            </w:r>
          </w:p>
        </w:tc>
        <w:tc>
          <w:tcPr>
            <w:tcW w:w="636"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152 (8.0)</w:t>
            </w:r>
          </w:p>
        </w:tc>
      </w:tr>
      <w:tr w:rsidR="00BD7AC3" w:rsidRPr="00D43D61" w:rsidTr="00DC6685">
        <w:tc>
          <w:tcPr>
            <w:tcW w:w="1070" w:type="pct"/>
            <w:vAlign w:val="center"/>
            <w:hideMark/>
          </w:tcPr>
          <w:p w:rsidR="00BD7AC3" w:rsidRPr="00D43D61" w:rsidRDefault="00BD7AC3" w:rsidP="00DC6685">
            <w:pPr>
              <w:spacing w:line="375" w:lineRule="atLeast"/>
              <w:jc w:val="center"/>
              <w:rPr>
                <w:rFonts w:cs="Times New Roman"/>
                <w:color w:val="000000" w:themeColor="text1"/>
                <w:sz w:val="21"/>
                <w:szCs w:val="21"/>
              </w:rPr>
            </w:pPr>
          </w:p>
        </w:tc>
        <w:tc>
          <w:tcPr>
            <w:tcW w:w="1012"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High-drive</w:t>
            </w:r>
          </w:p>
        </w:tc>
        <w:tc>
          <w:tcPr>
            <w:tcW w:w="37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293</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60 (20.5)</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60 (20.5)</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60 (20.5)</w:t>
            </w:r>
          </w:p>
        </w:tc>
        <w:tc>
          <w:tcPr>
            <w:tcW w:w="636"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60 (20.5)</w:t>
            </w:r>
          </w:p>
        </w:tc>
      </w:tr>
      <w:tr w:rsidR="00BD7AC3" w:rsidRPr="00D43D61" w:rsidTr="00DC6685">
        <w:tc>
          <w:tcPr>
            <w:tcW w:w="1070" w:type="pct"/>
            <w:vAlign w:val="center"/>
            <w:hideMark/>
          </w:tcPr>
          <w:p w:rsidR="00BD7AC3" w:rsidRPr="00D43D61" w:rsidRDefault="00BD7AC3" w:rsidP="00DC6685">
            <w:pPr>
              <w:spacing w:line="375" w:lineRule="atLeast"/>
              <w:jc w:val="center"/>
              <w:rPr>
                <w:rFonts w:cs="Times New Roman"/>
                <w:color w:val="000000" w:themeColor="text1"/>
                <w:sz w:val="21"/>
                <w:szCs w:val="21"/>
              </w:rPr>
            </w:pPr>
          </w:p>
        </w:tc>
        <w:tc>
          <w:tcPr>
            <w:tcW w:w="1012"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Low-reserve</w:t>
            </w:r>
          </w:p>
        </w:tc>
        <w:tc>
          <w:tcPr>
            <w:tcW w:w="37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2402</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178 (7.4)</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182 (7.6)</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182 (7.6)</w:t>
            </w:r>
          </w:p>
        </w:tc>
        <w:tc>
          <w:tcPr>
            <w:tcW w:w="636"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182 (7.6)</w:t>
            </w:r>
          </w:p>
        </w:tc>
      </w:tr>
      <w:tr w:rsidR="00BD7AC3" w:rsidRPr="00D43D61" w:rsidTr="00DC6685">
        <w:tc>
          <w:tcPr>
            <w:tcW w:w="1070" w:type="pct"/>
            <w:vAlign w:val="center"/>
            <w:hideMark/>
          </w:tcPr>
          <w:p w:rsidR="00BD7AC3" w:rsidRPr="00D43D61" w:rsidRDefault="00BD7AC3" w:rsidP="00DC6685">
            <w:pPr>
              <w:spacing w:line="375" w:lineRule="atLeast"/>
              <w:jc w:val="center"/>
              <w:rPr>
                <w:rFonts w:cs="Times New Roman"/>
                <w:color w:val="000000" w:themeColor="text1"/>
                <w:sz w:val="21"/>
                <w:szCs w:val="21"/>
              </w:rPr>
            </w:pPr>
          </w:p>
        </w:tc>
        <w:tc>
          <w:tcPr>
            <w:tcW w:w="1012"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Double-constraint</w:t>
            </w:r>
          </w:p>
        </w:tc>
        <w:tc>
          <w:tcPr>
            <w:tcW w:w="37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470</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106 (22.6)</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108 (23.0)</w:t>
            </w:r>
          </w:p>
        </w:tc>
        <w:tc>
          <w:tcPr>
            <w:tcW w:w="637"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108 (23.0)</w:t>
            </w:r>
          </w:p>
        </w:tc>
        <w:tc>
          <w:tcPr>
            <w:tcW w:w="636"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108 (23.0)</w:t>
            </w:r>
          </w:p>
        </w:tc>
      </w:tr>
    </w:tbl>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 xml:space="preserve">Supplementary Table 7. Temporal distribution of 365-day mortality by Hb-SI phenotype. Values are presented as n (cumulative mortality rate, %). Hb–SI phenotypes were defined by Hb (11 g/dL) and SI (0.9) thresholds. SI = heart rate/systolic blood pressure. Cumulative mortality rates </w:t>
      </w:r>
      <w:r w:rsidRPr="00D43D61">
        <w:rPr>
          <w:rFonts w:ascii="Times New Roman" w:hAnsi="Times New Roman" w:cs="Times New Roman"/>
          <w:color w:val="000000" w:themeColor="text1"/>
          <w:sz w:val="21"/>
          <w:szCs w:val="21"/>
        </w:rPr>
        <w:lastRenderedPageBreak/>
        <w:t>are shown; identical numbers across adjacent time points indicate no additional deaths occurred during that interval.</w:t>
      </w:r>
    </w:p>
    <w:bookmarkEnd w:id="0"/>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Table 8. Incremental prognostic value of Hb-SI phenotype beyond Killip class and PCI in the clinical cohort</w:t>
      </w:r>
    </w:p>
    <w:tbl>
      <w:tblPr>
        <w:tblStyle w:val="a"/>
        <w:tblW w:w="5512" w:type="pct"/>
        <w:tblInd w:w="-851" w:type="dxa"/>
        <w:tblLook w:val="04A0" w:firstRow="1" w:lastRow="0" w:firstColumn="1" w:lastColumn="0" w:noHBand="0" w:noVBand="1"/>
      </w:tblPr>
      <w:tblGrid>
        <w:gridCol w:w="3945"/>
        <w:gridCol w:w="1395"/>
        <w:gridCol w:w="1545"/>
        <w:gridCol w:w="1089"/>
        <w:gridCol w:w="1189"/>
      </w:tblGrid>
      <w:tr w:rsidR="00BD7AC3" w:rsidRPr="00D43D61" w:rsidTr="00DC6685">
        <w:trPr>
          <w:cnfStyle w:val="100000000000" w:firstRow="1" w:lastRow="0" w:firstColumn="0" w:lastColumn="0" w:oddVBand="0" w:evenVBand="0" w:oddHBand="0" w:evenHBand="0" w:firstRowFirstColumn="0" w:firstRowLastColumn="0" w:lastRowFirstColumn="0" w:lastRowLastColumn="0"/>
        </w:trPr>
        <w:tc>
          <w:tcPr>
            <w:tcW w:w="2153"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Model</w:t>
            </w:r>
          </w:p>
        </w:tc>
        <w:tc>
          <w:tcPr>
            <w:tcW w:w="761"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Log-likelihood</w:t>
            </w:r>
          </w:p>
        </w:tc>
        <w:tc>
          <w:tcPr>
            <w:tcW w:w="843"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 xml:space="preserve">C-index </w:t>
            </w:r>
          </w:p>
        </w:tc>
        <w:tc>
          <w:tcPr>
            <w:tcW w:w="594"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LRT χ² (df)</w:t>
            </w:r>
          </w:p>
        </w:tc>
        <w:tc>
          <w:tcPr>
            <w:tcW w:w="649" w:type="pct"/>
            <w:vAlign w:val="center"/>
            <w:hideMark/>
          </w:tcPr>
          <w:p w:rsidR="00BD7AC3" w:rsidRPr="00D43D61" w:rsidRDefault="00BD7AC3" w:rsidP="00DC6685">
            <w:pPr>
              <w:spacing w:line="375" w:lineRule="atLeast"/>
              <w:rPr>
                <w:rFonts w:cs="Times New Roman"/>
                <w:color w:val="000000" w:themeColor="text1"/>
                <w:szCs w:val="21"/>
              </w:rPr>
            </w:pPr>
            <w:r w:rsidRPr="00D43D61">
              <w:rPr>
                <w:rFonts w:cs="Times New Roman"/>
                <w:color w:val="000000" w:themeColor="text1"/>
                <w:szCs w:val="21"/>
              </w:rPr>
              <w:t>LRT P value</w:t>
            </w:r>
          </w:p>
        </w:tc>
      </w:tr>
      <w:tr w:rsidR="00BD7AC3" w:rsidRPr="00D43D61" w:rsidTr="00DC6685">
        <w:tc>
          <w:tcPr>
            <w:tcW w:w="2153"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Model A: age + sex + Killip class + PCI</w:t>
            </w:r>
          </w:p>
        </w:tc>
        <w:tc>
          <w:tcPr>
            <w:tcW w:w="76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-1422.9</w:t>
            </w:r>
          </w:p>
        </w:tc>
        <w:tc>
          <w:tcPr>
            <w:tcW w:w="843"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0.8572</w:t>
            </w:r>
          </w:p>
        </w:tc>
        <w:tc>
          <w:tcPr>
            <w:tcW w:w="594"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w:t>
            </w:r>
          </w:p>
        </w:tc>
        <w:tc>
          <w:tcPr>
            <w:tcW w:w="649"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w:t>
            </w:r>
          </w:p>
        </w:tc>
      </w:tr>
      <w:tr w:rsidR="00BD7AC3" w:rsidRPr="00D43D61" w:rsidTr="00DC6685">
        <w:tc>
          <w:tcPr>
            <w:tcW w:w="2153"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Model B: Model A + Hb-SI phenotype</w:t>
            </w:r>
          </w:p>
        </w:tc>
        <w:tc>
          <w:tcPr>
            <w:tcW w:w="761"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-1416.0</w:t>
            </w:r>
          </w:p>
        </w:tc>
        <w:tc>
          <w:tcPr>
            <w:tcW w:w="843"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0.8651</w:t>
            </w:r>
          </w:p>
        </w:tc>
        <w:tc>
          <w:tcPr>
            <w:tcW w:w="594"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Fonts w:cs="Times New Roman"/>
                <w:color w:val="000000" w:themeColor="text1"/>
                <w:sz w:val="21"/>
                <w:szCs w:val="21"/>
              </w:rPr>
              <w:t>13.85 (3)</w:t>
            </w:r>
          </w:p>
        </w:tc>
        <w:tc>
          <w:tcPr>
            <w:tcW w:w="649" w:type="pct"/>
            <w:vAlign w:val="center"/>
            <w:hideMark/>
          </w:tcPr>
          <w:p w:rsidR="00BD7AC3" w:rsidRPr="00D43D61" w:rsidRDefault="00BD7AC3" w:rsidP="00DC6685">
            <w:pPr>
              <w:spacing w:line="375" w:lineRule="atLeast"/>
              <w:jc w:val="center"/>
              <w:rPr>
                <w:rFonts w:cs="Times New Roman"/>
                <w:color w:val="000000" w:themeColor="text1"/>
                <w:sz w:val="21"/>
                <w:szCs w:val="21"/>
              </w:rPr>
            </w:pPr>
            <w:r w:rsidRPr="00D43D61">
              <w:rPr>
                <w:rStyle w:val="Strong"/>
                <w:rFonts w:cs="Times New Roman"/>
                <w:color w:val="000000" w:themeColor="text1"/>
                <w:sz w:val="21"/>
                <w:szCs w:val="21"/>
              </w:rPr>
              <w:t>0.0031</w:t>
            </w:r>
          </w:p>
        </w:tc>
      </w:tr>
    </w:tbl>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Supplementary Table 8. Incremental prognostic value of Hb-SI phenotype beyond Killip class and PCI in the clinical cohort. Model A and Model B were compared using the likelihood ratio test. Hb-SI phenotypes were defined by Hb (11 g/dL) and SI (0.9) thresholds. C-index was calculated using concordance analysis.</w:t>
      </w:r>
      <w:r w:rsidRPr="00D43D61">
        <w:rPr>
          <w:color w:val="000000" w:themeColor="text1"/>
        </w:rPr>
        <w:t xml:space="preserve"> </w:t>
      </w:r>
      <w:r w:rsidRPr="00D43D61">
        <w:rPr>
          <w:rFonts w:ascii="Times New Roman" w:hAnsi="Times New Roman" w:cs="Times New Roman"/>
          <w:color w:val="000000" w:themeColor="text1"/>
          <w:sz w:val="21"/>
          <w:szCs w:val="21"/>
        </w:rPr>
        <w:t>PCI, percutaneous coronary intervention; LRT, likelihood ratio test.</w:t>
      </w: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rPr>
          <w:rFonts w:ascii="Times New Roman" w:hAnsi="Times New Roman" w:cs="Times New Roman"/>
          <w:color w:val="000000" w:themeColor="text1"/>
          <w:sz w:val="21"/>
          <w:szCs w:val="21"/>
        </w:rPr>
      </w:pPr>
    </w:p>
    <w:p w:rsidR="00BD7AC3" w:rsidRPr="00D43D61" w:rsidRDefault="00BD7AC3" w:rsidP="00BD7AC3">
      <w:pPr>
        <w:spacing w:line="360" w:lineRule="auto"/>
        <w:rPr>
          <w:rFonts w:ascii="Times New Roman" w:hAnsi="Times New Roman" w:cs="Times New Roman"/>
          <w:b/>
          <w:bCs/>
          <w:color w:val="000000" w:themeColor="text1"/>
          <w:sz w:val="21"/>
          <w:szCs w:val="21"/>
        </w:rPr>
      </w:pPr>
    </w:p>
    <w:p w:rsidR="00BD7AC3" w:rsidRPr="00D43D61" w:rsidRDefault="00BD7AC3" w:rsidP="00BD7AC3">
      <w:pPr>
        <w:spacing w:line="360" w:lineRule="auto"/>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Figures</w:t>
      </w:r>
      <w:r w:rsidRPr="00D43D61">
        <w:rPr>
          <w:rFonts w:ascii="Times New Roman" w:hAnsi="Times New Roman" w:cs="Times New Roman"/>
          <w:b/>
          <w:bCs/>
          <w:color w:val="000000" w:themeColor="text1"/>
          <w:sz w:val="21"/>
          <w:szCs w:val="21"/>
        </w:rPr>
        <w:t>：</w:t>
      </w:r>
    </w:p>
    <w:p w:rsidR="00BD7AC3" w:rsidRPr="00D43D61" w:rsidRDefault="00BD7AC3" w:rsidP="00BD7AC3">
      <w:pPr>
        <w:spacing w:line="360" w:lineRule="auto"/>
        <w:jc w:val="center"/>
        <w:rPr>
          <w:rFonts w:ascii="Times New Roman" w:hAnsi="Times New Roman" w:cs="Times New Roman"/>
          <w:b/>
          <w:bCs/>
          <w:color w:val="000000" w:themeColor="text1"/>
          <w:sz w:val="21"/>
          <w:szCs w:val="21"/>
        </w:rPr>
      </w:pPr>
      <w:r w:rsidRPr="00D43D61">
        <w:rPr>
          <w:rFonts w:ascii="Times New Roman" w:hAnsi="Times New Roman" w:cs="Times New Roman"/>
          <w:b/>
          <w:bCs/>
          <w:color w:val="000000" w:themeColor="text1"/>
          <w:sz w:val="21"/>
          <w:szCs w:val="21"/>
        </w:rPr>
        <w:t>Supplementary Figure S1. Unadjusted 365-day mortality across Hb–SI phenotypes</w:t>
      </w:r>
    </w:p>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noProof/>
          <w:color w:val="000000" w:themeColor="text1"/>
          <w:lang w:eastAsia="en-IN"/>
        </w:rPr>
        <w:lastRenderedPageBreak/>
        <w:drawing>
          <wp:inline distT="0" distB="0" distL="0" distR="0" wp14:anchorId="264BCBE9" wp14:editId="44DA7C84">
            <wp:extent cx="5274310" cy="2965450"/>
            <wp:effectExtent l="0" t="0" r="0" b="6350"/>
            <wp:docPr id="203139820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98209" name="图片 203139820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2965450"/>
                    </a:xfrm>
                    <a:prstGeom prst="rect">
                      <a:avLst/>
                    </a:prstGeom>
                  </pic:spPr>
                </pic:pic>
              </a:graphicData>
            </a:graphic>
          </wp:inline>
        </w:drawing>
      </w:r>
    </w:p>
    <w:p w:rsidR="00BD7AC3" w:rsidRPr="00D43D61" w:rsidRDefault="00BD7AC3" w:rsidP="00BD7AC3">
      <w:pPr>
        <w:spacing w:line="360" w:lineRule="auto"/>
        <w:rPr>
          <w:rFonts w:ascii="Times New Roman" w:hAnsi="Times New Roman" w:cs="Times New Roman"/>
          <w:color w:val="000000" w:themeColor="text1"/>
          <w:sz w:val="21"/>
          <w:szCs w:val="21"/>
        </w:rPr>
      </w:pPr>
      <w:r w:rsidRPr="00D43D61">
        <w:rPr>
          <w:rFonts w:ascii="Times New Roman" w:hAnsi="Times New Roman" w:cs="Times New Roman"/>
          <w:color w:val="000000" w:themeColor="text1"/>
          <w:sz w:val="21"/>
          <w:szCs w:val="21"/>
        </w:rPr>
        <w:t>Supplementary Figure S1. Unadjusted 365-day mortality across Hb–SI phenotypes. Unadjusted 365-day mortality across Hb–SI phenotypes in the clinical cohort (A) and MIMIC-IV cohort (B). Points indicate mortality rates, and horizontal lines indicate 95% confidence intervals. Deaths/sample size and mortality rates are shown for each phenotype.</w:t>
      </w:r>
    </w:p>
    <w:p w:rsidR="0058502F" w:rsidRDefault="0058502F">
      <w:bookmarkStart w:id="1" w:name="_GoBack"/>
      <w:bookmarkEnd w:id="1"/>
    </w:p>
    <w:sectPr w:rsidR="0058502F" w:rsidSect="001571F1">
      <w:footerReference w:type="even" r:id="rId5"/>
      <w:footerReference w:type="default" r:id="rId6"/>
      <w:pgSz w:w="11906" w:h="16838"/>
      <w:pgMar w:top="1440" w:right="1797" w:bottom="1440" w:left="1797"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Microsoft YaHei">
    <w:altName w:val="微软雅黑"/>
    <w:panose1 w:val="020B0503020204020204"/>
    <w:charset w:val="86"/>
    <w:family w:val="swiss"/>
    <w:pitch w:val="variable"/>
    <w:sig w:usb0="80000287" w:usb1="2ACF3C50" w:usb2="00000016" w:usb3="00000000" w:csb0="0004001F" w:csb1="00000000"/>
  </w:font>
  <w:font w:name="Carlito">
    <w:altName w:val="Cambria"/>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50520062"/>
      <w:docPartObj>
        <w:docPartGallery w:val="Page Numbers (Bottom of Page)"/>
        <w:docPartUnique/>
      </w:docPartObj>
    </w:sdtPr>
    <w:sdtEndPr>
      <w:rPr>
        <w:rStyle w:val="PageNumber"/>
      </w:rPr>
    </w:sdtEndPr>
    <w:sdtContent>
      <w:p w:rsidR="00FC6295" w:rsidRDefault="00BD7AC3" w:rsidP="009250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rsidR="00FC6295" w:rsidRDefault="00BD7AC3" w:rsidP="00FC62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41120288"/>
      <w:docPartObj>
        <w:docPartGallery w:val="Page Numbers (Bottom of Page)"/>
        <w:docPartUnique/>
      </w:docPartObj>
    </w:sdtPr>
    <w:sdtEndPr>
      <w:rPr>
        <w:rStyle w:val="PageNumber"/>
      </w:rPr>
    </w:sdtEndPr>
    <w:sdtContent>
      <w:p w:rsidR="00FC6295" w:rsidRDefault="00BD7AC3" w:rsidP="009250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rsidR="00FC6295" w:rsidRDefault="00BD7AC3" w:rsidP="00FC6295">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AC3"/>
    <w:rsid w:val="00001380"/>
    <w:rsid w:val="00003E70"/>
    <w:rsid w:val="00010054"/>
    <w:rsid w:val="00011D81"/>
    <w:rsid w:val="00012C8F"/>
    <w:rsid w:val="000163DA"/>
    <w:rsid w:val="00017895"/>
    <w:rsid w:val="000179D3"/>
    <w:rsid w:val="00023B26"/>
    <w:rsid w:val="00024F06"/>
    <w:rsid w:val="00026C79"/>
    <w:rsid w:val="0003439C"/>
    <w:rsid w:val="00051344"/>
    <w:rsid w:val="000575AF"/>
    <w:rsid w:val="000651E2"/>
    <w:rsid w:val="00070755"/>
    <w:rsid w:val="00075B00"/>
    <w:rsid w:val="000804FB"/>
    <w:rsid w:val="0008123F"/>
    <w:rsid w:val="00083848"/>
    <w:rsid w:val="00084F39"/>
    <w:rsid w:val="00092A9A"/>
    <w:rsid w:val="0009340C"/>
    <w:rsid w:val="000966D0"/>
    <w:rsid w:val="00097E0C"/>
    <w:rsid w:val="00097E20"/>
    <w:rsid w:val="000A5F21"/>
    <w:rsid w:val="000B5E81"/>
    <w:rsid w:val="000B628B"/>
    <w:rsid w:val="000C6BA5"/>
    <w:rsid w:val="000D19B6"/>
    <w:rsid w:val="000D2E4F"/>
    <w:rsid w:val="000D57F6"/>
    <w:rsid w:val="000E2BC5"/>
    <w:rsid w:val="000F3A08"/>
    <w:rsid w:val="000F5E41"/>
    <w:rsid w:val="000F5F1C"/>
    <w:rsid w:val="000F697C"/>
    <w:rsid w:val="00100647"/>
    <w:rsid w:val="001038CD"/>
    <w:rsid w:val="001053E6"/>
    <w:rsid w:val="001077AA"/>
    <w:rsid w:val="00107808"/>
    <w:rsid w:val="00110EA6"/>
    <w:rsid w:val="001131F8"/>
    <w:rsid w:val="001137FF"/>
    <w:rsid w:val="001138DF"/>
    <w:rsid w:val="00115FB7"/>
    <w:rsid w:val="001205C7"/>
    <w:rsid w:val="00124336"/>
    <w:rsid w:val="00125FA6"/>
    <w:rsid w:val="0012713F"/>
    <w:rsid w:val="00127761"/>
    <w:rsid w:val="001343A6"/>
    <w:rsid w:val="00136631"/>
    <w:rsid w:val="00137F1A"/>
    <w:rsid w:val="00144DA4"/>
    <w:rsid w:val="00145A9D"/>
    <w:rsid w:val="00146FC4"/>
    <w:rsid w:val="001513BF"/>
    <w:rsid w:val="00162369"/>
    <w:rsid w:val="001628D2"/>
    <w:rsid w:val="00164B36"/>
    <w:rsid w:val="00170618"/>
    <w:rsid w:val="00171613"/>
    <w:rsid w:val="00171983"/>
    <w:rsid w:val="00173D4F"/>
    <w:rsid w:val="001774E4"/>
    <w:rsid w:val="001824CF"/>
    <w:rsid w:val="0018467F"/>
    <w:rsid w:val="0018710B"/>
    <w:rsid w:val="00191C23"/>
    <w:rsid w:val="00193075"/>
    <w:rsid w:val="0019534A"/>
    <w:rsid w:val="001A0C13"/>
    <w:rsid w:val="001A3D77"/>
    <w:rsid w:val="001A47B2"/>
    <w:rsid w:val="001A73E8"/>
    <w:rsid w:val="001B380B"/>
    <w:rsid w:val="001C4F12"/>
    <w:rsid w:val="001C68DA"/>
    <w:rsid w:val="001C74D3"/>
    <w:rsid w:val="001D25BF"/>
    <w:rsid w:val="001D6109"/>
    <w:rsid w:val="001D7796"/>
    <w:rsid w:val="001E187E"/>
    <w:rsid w:val="001E1A38"/>
    <w:rsid w:val="001E396A"/>
    <w:rsid w:val="001F1544"/>
    <w:rsid w:val="001F50FD"/>
    <w:rsid w:val="001F624D"/>
    <w:rsid w:val="001F7297"/>
    <w:rsid w:val="00204510"/>
    <w:rsid w:val="00207219"/>
    <w:rsid w:val="00220F69"/>
    <w:rsid w:val="0022194D"/>
    <w:rsid w:val="00223E4E"/>
    <w:rsid w:val="00225DBA"/>
    <w:rsid w:val="00226C2D"/>
    <w:rsid w:val="00233C52"/>
    <w:rsid w:val="00236EE8"/>
    <w:rsid w:val="002455B6"/>
    <w:rsid w:val="002460B0"/>
    <w:rsid w:val="002475F6"/>
    <w:rsid w:val="00247790"/>
    <w:rsid w:val="002478FB"/>
    <w:rsid w:val="00254CF5"/>
    <w:rsid w:val="00255381"/>
    <w:rsid w:val="002624F7"/>
    <w:rsid w:val="002715CF"/>
    <w:rsid w:val="00276E7E"/>
    <w:rsid w:val="00276F7E"/>
    <w:rsid w:val="00283027"/>
    <w:rsid w:val="00293ADD"/>
    <w:rsid w:val="0029685E"/>
    <w:rsid w:val="002A3AD3"/>
    <w:rsid w:val="002A7C4E"/>
    <w:rsid w:val="002B04B4"/>
    <w:rsid w:val="002B28BA"/>
    <w:rsid w:val="002B3D94"/>
    <w:rsid w:val="002B6771"/>
    <w:rsid w:val="002B6C32"/>
    <w:rsid w:val="002C1C9F"/>
    <w:rsid w:val="002C4368"/>
    <w:rsid w:val="002C5CA2"/>
    <w:rsid w:val="002E0B9D"/>
    <w:rsid w:val="002E15B4"/>
    <w:rsid w:val="002F0703"/>
    <w:rsid w:val="002F116B"/>
    <w:rsid w:val="002F32D7"/>
    <w:rsid w:val="002F6763"/>
    <w:rsid w:val="003036AA"/>
    <w:rsid w:val="003046B8"/>
    <w:rsid w:val="003073AB"/>
    <w:rsid w:val="003116F6"/>
    <w:rsid w:val="00311F24"/>
    <w:rsid w:val="00312274"/>
    <w:rsid w:val="00314CED"/>
    <w:rsid w:val="003162F1"/>
    <w:rsid w:val="00322BA4"/>
    <w:rsid w:val="0032457E"/>
    <w:rsid w:val="003277D7"/>
    <w:rsid w:val="00330612"/>
    <w:rsid w:val="00335E23"/>
    <w:rsid w:val="00335F75"/>
    <w:rsid w:val="003406C6"/>
    <w:rsid w:val="00342EA6"/>
    <w:rsid w:val="0034362F"/>
    <w:rsid w:val="00346D45"/>
    <w:rsid w:val="00347B48"/>
    <w:rsid w:val="003523B7"/>
    <w:rsid w:val="00354647"/>
    <w:rsid w:val="00354699"/>
    <w:rsid w:val="00356543"/>
    <w:rsid w:val="003622E2"/>
    <w:rsid w:val="003647DD"/>
    <w:rsid w:val="0036549D"/>
    <w:rsid w:val="00367B34"/>
    <w:rsid w:val="00371550"/>
    <w:rsid w:val="00372C64"/>
    <w:rsid w:val="00372D09"/>
    <w:rsid w:val="003742A8"/>
    <w:rsid w:val="003745CD"/>
    <w:rsid w:val="003770C8"/>
    <w:rsid w:val="00384C8E"/>
    <w:rsid w:val="0039008A"/>
    <w:rsid w:val="00391285"/>
    <w:rsid w:val="00391721"/>
    <w:rsid w:val="00393D0C"/>
    <w:rsid w:val="003940D9"/>
    <w:rsid w:val="00397B94"/>
    <w:rsid w:val="003A2477"/>
    <w:rsid w:val="003A4C7F"/>
    <w:rsid w:val="003A773E"/>
    <w:rsid w:val="003B12A8"/>
    <w:rsid w:val="003B5205"/>
    <w:rsid w:val="003E3D4D"/>
    <w:rsid w:val="003F1C57"/>
    <w:rsid w:val="003F29FC"/>
    <w:rsid w:val="003F432D"/>
    <w:rsid w:val="003F445F"/>
    <w:rsid w:val="003F5941"/>
    <w:rsid w:val="003F7F6E"/>
    <w:rsid w:val="00402C00"/>
    <w:rsid w:val="0040305E"/>
    <w:rsid w:val="00405862"/>
    <w:rsid w:val="0040620A"/>
    <w:rsid w:val="00412B59"/>
    <w:rsid w:val="00413FF4"/>
    <w:rsid w:val="004143A3"/>
    <w:rsid w:val="00422AF7"/>
    <w:rsid w:val="00423EB1"/>
    <w:rsid w:val="00424309"/>
    <w:rsid w:val="00424595"/>
    <w:rsid w:val="0042488A"/>
    <w:rsid w:val="0042682D"/>
    <w:rsid w:val="00440661"/>
    <w:rsid w:val="00445F49"/>
    <w:rsid w:val="004471F1"/>
    <w:rsid w:val="00450081"/>
    <w:rsid w:val="0045238A"/>
    <w:rsid w:val="00454BD6"/>
    <w:rsid w:val="004608EB"/>
    <w:rsid w:val="00463B43"/>
    <w:rsid w:val="00464121"/>
    <w:rsid w:val="00470B5B"/>
    <w:rsid w:val="00471606"/>
    <w:rsid w:val="00472495"/>
    <w:rsid w:val="00476A84"/>
    <w:rsid w:val="00481D23"/>
    <w:rsid w:val="00484161"/>
    <w:rsid w:val="004873E4"/>
    <w:rsid w:val="004876FB"/>
    <w:rsid w:val="004A079B"/>
    <w:rsid w:val="004A36F3"/>
    <w:rsid w:val="004A6581"/>
    <w:rsid w:val="004A7FC2"/>
    <w:rsid w:val="004B1F10"/>
    <w:rsid w:val="004B3A78"/>
    <w:rsid w:val="004B684B"/>
    <w:rsid w:val="004B6B58"/>
    <w:rsid w:val="004B6BA6"/>
    <w:rsid w:val="004C166C"/>
    <w:rsid w:val="004C1761"/>
    <w:rsid w:val="004C38D8"/>
    <w:rsid w:val="004C3BCB"/>
    <w:rsid w:val="004C5025"/>
    <w:rsid w:val="004D2BB0"/>
    <w:rsid w:val="004D6C68"/>
    <w:rsid w:val="004E2D90"/>
    <w:rsid w:val="004E4434"/>
    <w:rsid w:val="004F37E9"/>
    <w:rsid w:val="004F7968"/>
    <w:rsid w:val="00507446"/>
    <w:rsid w:val="00507FA6"/>
    <w:rsid w:val="00510571"/>
    <w:rsid w:val="00511CE6"/>
    <w:rsid w:val="005139FD"/>
    <w:rsid w:val="00520D33"/>
    <w:rsid w:val="00525BC8"/>
    <w:rsid w:val="00525DD7"/>
    <w:rsid w:val="00526392"/>
    <w:rsid w:val="0052697B"/>
    <w:rsid w:val="00527AEA"/>
    <w:rsid w:val="00531728"/>
    <w:rsid w:val="00533BE9"/>
    <w:rsid w:val="00542166"/>
    <w:rsid w:val="00543C10"/>
    <w:rsid w:val="00546852"/>
    <w:rsid w:val="0056204E"/>
    <w:rsid w:val="00576936"/>
    <w:rsid w:val="00577443"/>
    <w:rsid w:val="005777D9"/>
    <w:rsid w:val="0057799E"/>
    <w:rsid w:val="0058097B"/>
    <w:rsid w:val="005814CE"/>
    <w:rsid w:val="0058502F"/>
    <w:rsid w:val="00586335"/>
    <w:rsid w:val="0058680C"/>
    <w:rsid w:val="00591CB5"/>
    <w:rsid w:val="005966FC"/>
    <w:rsid w:val="00596A03"/>
    <w:rsid w:val="00597CF5"/>
    <w:rsid w:val="005A3DCD"/>
    <w:rsid w:val="005A42FB"/>
    <w:rsid w:val="005B572D"/>
    <w:rsid w:val="005C1170"/>
    <w:rsid w:val="005C4A55"/>
    <w:rsid w:val="005C4CFB"/>
    <w:rsid w:val="005C58A0"/>
    <w:rsid w:val="005C6F77"/>
    <w:rsid w:val="005C729C"/>
    <w:rsid w:val="005C77A0"/>
    <w:rsid w:val="005D28D1"/>
    <w:rsid w:val="005D42EB"/>
    <w:rsid w:val="005E348E"/>
    <w:rsid w:val="005E3AA1"/>
    <w:rsid w:val="005E4A6A"/>
    <w:rsid w:val="005E578C"/>
    <w:rsid w:val="005E5D8C"/>
    <w:rsid w:val="005E63B7"/>
    <w:rsid w:val="005E6508"/>
    <w:rsid w:val="005E6A91"/>
    <w:rsid w:val="005F1047"/>
    <w:rsid w:val="00600001"/>
    <w:rsid w:val="00610CFC"/>
    <w:rsid w:val="00612A10"/>
    <w:rsid w:val="006176F0"/>
    <w:rsid w:val="00617BB2"/>
    <w:rsid w:val="00617E1D"/>
    <w:rsid w:val="00626D61"/>
    <w:rsid w:val="00635E2A"/>
    <w:rsid w:val="00644CBE"/>
    <w:rsid w:val="00645CFF"/>
    <w:rsid w:val="006476D8"/>
    <w:rsid w:val="006479B6"/>
    <w:rsid w:val="006526D4"/>
    <w:rsid w:val="006562C5"/>
    <w:rsid w:val="0065739E"/>
    <w:rsid w:val="00665590"/>
    <w:rsid w:val="0066573A"/>
    <w:rsid w:val="00666B8F"/>
    <w:rsid w:val="006673AC"/>
    <w:rsid w:val="00673C28"/>
    <w:rsid w:val="006773F8"/>
    <w:rsid w:val="0068171D"/>
    <w:rsid w:val="006843FC"/>
    <w:rsid w:val="00684943"/>
    <w:rsid w:val="00685251"/>
    <w:rsid w:val="00690CC2"/>
    <w:rsid w:val="00690EFC"/>
    <w:rsid w:val="0069222A"/>
    <w:rsid w:val="00692CC2"/>
    <w:rsid w:val="00695278"/>
    <w:rsid w:val="006A1B35"/>
    <w:rsid w:val="006A7358"/>
    <w:rsid w:val="006B1567"/>
    <w:rsid w:val="006B2A4C"/>
    <w:rsid w:val="006B4BBE"/>
    <w:rsid w:val="006B63AC"/>
    <w:rsid w:val="006B7A19"/>
    <w:rsid w:val="006B7E8E"/>
    <w:rsid w:val="006C17A4"/>
    <w:rsid w:val="006C4D06"/>
    <w:rsid w:val="006C6225"/>
    <w:rsid w:val="006C643F"/>
    <w:rsid w:val="006C6B02"/>
    <w:rsid w:val="006D066E"/>
    <w:rsid w:val="006D1E2B"/>
    <w:rsid w:val="006D6225"/>
    <w:rsid w:val="006E2A00"/>
    <w:rsid w:val="006E5D18"/>
    <w:rsid w:val="006F1053"/>
    <w:rsid w:val="006F22C8"/>
    <w:rsid w:val="006F2AE0"/>
    <w:rsid w:val="006F2FEE"/>
    <w:rsid w:val="006F5C20"/>
    <w:rsid w:val="00703C3E"/>
    <w:rsid w:val="0070712B"/>
    <w:rsid w:val="00710D69"/>
    <w:rsid w:val="00710EAF"/>
    <w:rsid w:val="00722598"/>
    <w:rsid w:val="00724372"/>
    <w:rsid w:val="00725FE8"/>
    <w:rsid w:val="0073246C"/>
    <w:rsid w:val="00733423"/>
    <w:rsid w:val="00735313"/>
    <w:rsid w:val="007366D5"/>
    <w:rsid w:val="007427F5"/>
    <w:rsid w:val="00745330"/>
    <w:rsid w:val="00747694"/>
    <w:rsid w:val="0075030A"/>
    <w:rsid w:val="0075124F"/>
    <w:rsid w:val="00752656"/>
    <w:rsid w:val="00752E95"/>
    <w:rsid w:val="007531E5"/>
    <w:rsid w:val="00753937"/>
    <w:rsid w:val="0076058D"/>
    <w:rsid w:val="00760C5E"/>
    <w:rsid w:val="00763C6D"/>
    <w:rsid w:val="00782C05"/>
    <w:rsid w:val="00783A5F"/>
    <w:rsid w:val="00784210"/>
    <w:rsid w:val="00786F59"/>
    <w:rsid w:val="007870AD"/>
    <w:rsid w:val="007874EC"/>
    <w:rsid w:val="00791A45"/>
    <w:rsid w:val="00796C09"/>
    <w:rsid w:val="007A3D7B"/>
    <w:rsid w:val="007A4289"/>
    <w:rsid w:val="007B1613"/>
    <w:rsid w:val="007B366E"/>
    <w:rsid w:val="007B4676"/>
    <w:rsid w:val="007B7819"/>
    <w:rsid w:val="007C118F"/>
    <w:rsid w:val="007D1329"/>
    <w:rsid w:val="007D15CD"/>
    <w:rsid w:val="007D1945"/>
    <w:rsid w:val="007D6FB2"/>
    <w:rsid w:val="007E1F0B"/>
    <w:rsid w:val="007E30AB"/>
    <w:rsid w:val="007E5DBB"/>
    <w:rsid w:val="007E5F71"/>
    <w:rsid w:val="007E7D62"/>
    <w:rsid w:val="007F12C4"/>
    <w:rsid w:val="00801257"/>
    <w:rsid w:val="008019E1"/>
    <w:rsid w:val="00802E62"/>
    <w:rsid w:val="00805779"/>
    <w:rsid w:val="008068C0"/>
    <w:rsid w:val="00807331"/>
    <w:rsid w:val="00811852"/>
    <w:rsid w:val="00814084"/>
    <w:rsid w:val="00820F6B"/>
    <w:rsid w:val="0082207E"/>
    <w:rsid w:val="00823A9B"/>
    <w:rsid w:val="00826A9A"/>
    <w:rsid w:val="00827AB8"/>
    <w:rsid w:val="008353A7"/>
    <w:rsid w:val="00835862"/>
    <w:rsid w:val="00840044"/>
    <w:rsid w:val="00841A41"/>
    <w:rsid w:val="00842B61"/>
    <w:rsid w:val="008458F5"/>
    <w:rsid w:val="008459F0"/>
    <w:rsid w:val="00847216"/>
    <w:rsid w:val="008508AE"/>
    <w:rsid w:val="00850E87"/>
    <w:rsid w:val="008517B9"/>
    <w:rsid w:val="00853308"/>
    <w:rsid w:val="0085435C"/>
    <w:rsid w:val="00855B1D"/>
    <w:rsid w:val="00855B2D"/>
    <w:rsid w:val="00856604"/>
    <w:rsid w:val="0085798A"/>
    <w:rsid w:val="00870960"/>
    <w:rsid w:val="00874C69"/>
    <w:rsid w:val="00876897"/>
    <w:rsid w:val="00877D9E"/>
    <w:rsid w:val="008801C4"/>
    <w:rsid w:val="00883CD8"/>
    <w:rsid w:val="008841F5"/>
    <w:rsid w:val="00885A23"/>
    <w:rsid w:val="00893322"/>
    <w:rsid w:val="008A0062"/>
    <w:rsid w:val="008A28A5"/>
    <w:rsid w:val="008A3631"/>
    <w:rsid w:val="008A65FF"/>
    <w:rsid w:val="008B38B5"/>
    <w:rsid w:val="008B7872"/>
    <w:rsid w:val="008C08EB"/>
    <w:rsid w:val="008C0D9D"/>
    <w:rsid w:val="008C229B"/>
    <w:rsid w:val="008C5EF2"/>
    <w:rsid w:val="008C6031"/>
    <w:rsid w:val="008D1140"/>
    <w:rsid w:val="008D18A0"/>
    <w:rsid w:val="008D2960"/>
    <w:rsid w:val="008E349D"/>
    <w:rsid w:val="008E40EC"/>
    <w:rsid w:val="008E6829"/>
    <w:rsid w:val="008E7DC7"/>
    <w:rsid w:val="008F03F4"/>
    <w:rsid w:val="008F101D"/>
    <w:rsid w:val="008F389A"/>
    <w:rsid w:val="0090161D"/>
    <w:rsid w:val="00904B1E"/>
    <w:rsid w:val="009067ED"/>
    <w:rsid w:val="00915BDC"/>
    <w:rsid w:val="00920BC6"/>
    <w:rsid w:val="00920D61"/>
    <w:rsid w:val="00926699"/>
    <w:rsid w:val="00932126"/>
    <w:rsid w:val="0093315B"/>
    <w:rsid w:val="0093321F"/>
    <w:rsid w:val="009347C6"/>
    <w:rsid w:val="00935E07"/>
    <w:rsid w:val="00942C31"/>
    <w:rsid w:val="00942D8B"/>
    <w:rsid w:val="009440DE"/>
    <w:rsid w:val="009473DF"/>
    <w:rsid w:val="00956D8C"/>
    <w:rsid w:val="00957CE3"/>
    <w:rsid w:val="009624E6"/>
    <w:rsid w:val="00963232"/>
    <w:rsid w:val="009636C7"/>
    <w:rsid w:val="00963C3B"/>
    <w:rsid w:val="009649AD"/>
    <w:rsid w:val="00964F8F"/>
    <w:rsid w:val="0096629D"/>
    <w:rsid w:val="00973C71"/>
    <w:rsid w:val="00975380"/>
    <w:rsid w:val="009807E5"/>
    <w:rsid w:val="00984544"/>
    <w:rsid w:val="00994A9C"/>
    <w:rsid w:val="00995ADC"/>
    <w:rsid w:val="0099605B"/>
    <w:rsid w:val="009A2E50"/>
    <w:rsid w:val="009A30C1"/>
    <w:rsid w:val="009A6AF3"/>
    <w:rsid w:val="009B040A"/>
    <w:rsid w:val="009B56FA"/>
    <w:rsid w:val="009B7331"/>
    <w:rsid w:val="009C058B"/>
    <w:rsid w:val="009C528A"/>
    <w:rsid w:val="009C6501"/>
    <w:rsid w:val="009C79B3"/>
    <w:rsid w:val="009D1E17"/>
    <w:rsid w:val="009D6166"/>
    <w:rsid w:val="009D6B03"/>
    <w:rsid w:val="009E22EC"/>
    <w:rsid w:val="009E25EA"/>
    <w:rsid w:val="009E4B81"/>
    <w:rsid w:val="009E7214"/>
    <w:rsid w:val="009F1125"/>
    <w:rsid w:val="009F1B62"/>
    <w:rsid w:val="009F3116"/>
    <w:rsid w:val="009F5703"/>
    <w:rsid w:val="009F7303"/>
    <w:rsid w:val="00A01D35"/>
    <w:rsid w:val="00A0438A"/>
    <w:rsid w:val="00A07136"/>
    <w:rsid w:val="00A10883"/>
    <w:rsid w:val="00A1405A"/>
    <w:rsid w:val="00A158CD"/>
    <w:rsid w:val="00A1609F"/>
    <w:rsid w:val="00A244A8"/>
    <w:rsid w:val="00A30946"/>
    <w:rsid w:val="00A309D8"/>
    <w:rsid w:val="00A354F1"/>
    <w:rsid w:val="00A36DCD"/>
    <w:rsid w:val="00A3774B"/>
    <w:rsid w:val="00A45895"/>
    <w:rsid w:val="00A4796C"/>
    <w:rsid w:val="00A5092C"/>
    <w:rsid w:val="00A52AD2"/>
    <w:rsid w:val="00A52DD1"/>
    <w:rsid w:val="00A63DA8"/>
    <w:rsid w:val="00A6530C"/>
    <w:rsid w:val="00A7359A"/>
    <w:rsid w:val="00A75C34"/>
    <w:rsid w:val="00A800E7"/>
    <w:rsid w:val="00A80575"/>
    <w:rsid w:val="00A80DF4"/>
    <w:rsid w:val="00A81DFF"/>
    <w:rsid w:val="00A84FD5"/>
    <w:rsid w:val="00A9684C"/>
    <w:rsid w:val="00A97AC3"/>
    <w:rsid w:val="00AA50E5"/>
    <w:rsid w:val="00AA5B13"/>
    <w:rsid w:val="00AA60ED"/>
    <w:rsid w:val="00AA6FAE"/>
    <w:rsid w:val="00AB2261"/>
    <w:rsid w:val="00AB3AF9"/>
    <w:rsid w:val="00AC3FC8"/>
    <w:rsid w:val="00AC608E"/>
    <w:rsid w:val="00AD0B41"/>
    <w:rsid w:val="00AD1E27"/>
    <w:rsid w:val="00AD34FE"/>
    <w:rsid w:val="00AD78B2"/>
    <w:rsid w:val="00AE11E3"/>
    <w:rsid w:val="00AE5BBC"/>
    <w:rsid w:val="00AF1DAA"/>
    <w:rsid w:val="00B0349E"/>
    <w:rsid w:val="00B04DB5"/>
    <w:rsid w:val="00B0712C"/>
    <w:rsid w:val="00B11B5C"/>
    <w:rsid w:val="00B16920"/>
    <w:rsid w:val="00B16F49"/>
    <w:rsid w:val="00B24D20"/>
    <w:rsid w:val="00B24E86"/>
    <w:rsid w:val="00B27BBB"/>
    <w:rsid w:val="00B310C1"/>
    <w:rsid w:val="00B3144B"/>
    <w:rsid w:val="00B36E50"/>
    <w:rsid w:val="00B41872"/>
    <w:rsid w:val="00B42F5B"/>
    <w:rsid w:val="00B436B9"/>
    <w:rsid w:val="00B43EAC"/>
    <w:rsid w:val="00B47577"/>
    <w:rsid w:val="00B6189F"/>
    <w:rsid w:val="00B662E8"/>
    <w:rsid w:val="00B821DF"/>
    <w:rsid w:val="00B82409"/>
    <w:rsid w:val="00B84929"/>
    <w:rsid w:val="00B84988"/>
    <w:rsid w:val="00B86113"/>
    <w:rsid w:val="00B93FCD"/>
    <w:rsid w:val="00B94035"/>
    <w:rsid w:val="00BA18FA"/>
    <w:rsid w:val="00BA5156"/>
    <w:rsid w:val="00BA58AF"/>
    <w:rsid w:val="00BA7123"/>
    <w:rsid w:val="00BA774B"/>
    <w:rsid w:val="00BB0162"/>
    <w:rsid w:val="00BB26F5"/>
    <w:rsid w:val="00BB459D"/>
    <w:rsid w:val="00BB52EA"/>
    <w:rsid w:val="00BB5709"/>
    <w:rsid w:val="00BB646E"/>
    <w:rsid w:val="00BB7267"/>
    <w:rsid w:val="00BB73B4"/>
    <w:rsid w:val="00BB78CB"/>
    <w:rsid w:val="00BC1753"/>
    <w:rsid w:val="00BD2896"/>
    <w:rsid w:val="00BD676A"/>
    <w:rsid w:val="00BD7166"/>
    <w:rsid w:val="00BD7AC3"/>
    <w:rsid w:val="00BE4281"/>
    <w:rsid w:val="00BE5783"/>
    <w:rsid w:val="00BE69E4"/>
    <w:rsid w:val="00BF1271"/>
    <w:rsid w:val="00BF4B23"/>
    <w:rsid w:val="00BF68CA"/>
    <w:rsid w:val="00C0183C"/>
    <w:rsid w:val="00C03601"/>
    <w:rsid w:val="00C03F9A"/>
    <w:rsid w:val="00C0438C"/>
    <w:rsid w:val="00C0462B"/>
    <w:rsid w:val="00C10D1D"/>
    <w:rsid w:val="00C14243"/>
    <w:rsid w:val="00C14D05"/>
    <w:rsid w:val="00C17EA1"/>
    <w:rsid w:val="00C21FF8"/>
    <w:rsid w:val="00C24A7D"/>
    <w:rsid w:val="00C3290B"/>
    <w:rsid w:val="00C40935"/>
    <w:rsid w:val="00C41B3A"/>
    <w:rsid w:val="00C43069"/>
    <w:rsid w:val="00C54701"/>
    <w:rsid w:val="00C64158"/>
    <w:rsid w:val="00C641B3"/>
    <w:rsid w:val="00C65970"/>
    <w:rsid w:val="00C66ECD"/>
    <w:rsid w:val="00C6759C"/>
    <w:rsid w:val="00C67903"/>
    <w:rsid w:val="00C7187B"/>
    <w:rsid w:val="00C720E6"/>
    <w:rsid w:val="00C76C80"/>
    <w:rsid w:val="00C8291C"/>
    <w:rsid w:val="00C82DB5"/>
    <w:rsid w:val="00C85457"/>
    <w:rsid w:val="00C97780"/>
    <w:rsid w:val="00CA2E4B"/>
    <w:rsid w:val="00CA3AEC"/>
    <w:rsid w:val="00CA4146"/>
    <w:rsid w:val="00CB032E"/>
    <w:rsid w:val="00CB24BC"/>
    <w:rsid w:val="00CB3F82"/>
    <w:rsid w:val="00CB7061"/>
    <w:rsid w:val="00CB758A"/>
    <w:rsid w:val="00CC26E0"/>
    <w:rsid w:val="00CC40E6"/>
    <w:rsid w:val="00CC7BDC"/>
    <w:rsid w:val="00CC7FF3"/>
    <w:rsid w:val="00CE63A9"/>
    <w:rsid w:val="00CF2AA9"/>
    <w:rsid w:val="00D029FA"/>
    <w:rsid w:val="00D02AA3"/>
    <w:rsid w:val="00D0332C"/>
    <w:rsid w:val="00D033F2"/>
    <w:rsid w:val="00D03F52"/>
    <w:rsid w:val="00D0730D"/>
    <w:rsid w:val="00D12CA1"/>
    <w:rsid w:val="00D15BBF"/>
    <w:rsid w:val="00D20DC1"/>
    <w:rsid w:val="00D22C5E"/>
    <w:rsid w:val="00D22DBF"/>
    <w:rsid w:val="00D3028B"/>
    <w:rsid w:val="00D35769"/>
    <w:rsid w:val="00D44A28"/>
    <w:rsid w:val="00D461A2"/>
    <w:rsid w:val="00D5460D"/>
    <w:rsid w:val="00D57945"/>
    <w:rsid w:val="00D67D5C"/>
    <w:rsid w:val="00D74ABC"/>
    <w:rsid w:val="00D8069F"/>
    <w:rsid w:val="00D82BFB"/>
    <w:rsid w:val="00D85566"/>
    <w:rsid w:val="00D86605"/>
    <w:rsid w:val="00D902B4"/>
    <w:rsid w:val="00D950A5"/>
    <w:rsid w:val="00D96C40"/>
    <w:rsid w:val="00DA0752"/>
    <w:rsid w:val="00DA0C98"/>
    <w:rsid w:val="00DA500B"/>
    <w:rsid w:val="00DB443E"/>
    <w:rsid w:val="00DB4B81"/>
    <w:rsid w:val="00DC277A"/>
    <w:rsid w:val="00DC2BA3"/>
    <w:rsid w:val="00DC5939"/>
    <w:rsid w:val="00DD2924"/>
    <w:rsid w:val="00DD30B2"/>
    <w:rsid w:val="00DD7250"/>
    <w:rsid w:val="00DD725C"/>
    <w:rsid w:val="00DE310E"/>
    <w:rsid w:val="00DF5523"/>
    <w:rsid w:val="00E01616"/>
    <w:rsid w:val="00E026B0"/>
    <w:rsid w:val="00E03B60"/>
    <w:rsid w:val="00E068E7"/>
    <w:rsid w:val="00E10DC3"/>
    <w:rsid w:val="00E1273D"/>
    <w:rsid w:val="00E12BEC"/>
    <w:rsid w:val="00E1320D"/>
    <w:rsid w:val="00E1498E"/>
    <w:rsid w:val="00E16388"/>
    <w:rsid w:val="00E17990"/>
    <w:rsid w:val="00E276D7"/>
    <w:rsid w:val="00E331EF"/>
    <w:rsid w:val="00E5067F"/>
    <w:rsid w:val="00E51923"/>
    <w:rsid w:val="00E51B4D"/>
    <w:rsid w:val="00E57052"/>
    <w:rsid w:val="00E571F7"/>
    <w:rsid w:val="00E61753"/>
    <w:rsid w:val="00E6496A"/>
    <w:rsid w:val="00E65985"/>
    <w:rsid w:val="00E65DEE"/>
    <w:rsid w:val="00E66421"/>
    <w:rsid w:val="00E75ED1"/>
    <w:rsid w:val="00E76932"/>
    <w:rsid w:val="00E813E4"/>
    <w:rsid w:val="00E825FC"/>
    <w:rsid w:val="00E82CFC"/>
    <w:rsid w:val="00E91266"/>
    <w:rsid w:val="00EA0218"/>
    <w:rsid w:val="00EA1C2F"/>
    <w:rsid w:val="00EA4EB3"/>
    <w:rsid w:val="00EA5236"/>
    <w:rsid w:val="00EA5F87"/>
    <w:rsid w:val="00EB0EAF"/>
    <w:rsid w:val="00EB503D"/>
    <w:rsid w:val="00EB558D"/>
    <w:rsid w:val="00EC356F"/>
    <w:rsid w:val="00EC3A59"/>
    <w:rsid w:val="00ED342E"/>
    <w:rsid w:val="00ED4F89"/>
    <w:rsid w:val="00EF040B"/>
    <w:rsid w:val="00EF452D"/>
    <w:rsid w:val="00EF4F8C"/>
    <w:rsid w:val="00F0058D"/>
    <w:rsid w:val="00F009CD"/>
    <w:rsid w:val="00F035CB"/>
    <w:rsid w:val="00F03C97"/>
    <w:rsid w:val="00F105BA"/>
    <w:rsid w:val="00F26C51"/>
    <w:rsid w:val="00F33CE3"/>
    <w:rsid w:val="00F40AE6"/>
    <w:rsid w:val="00F4118A"/>
    <w:rsid w:val="00F43058"/>
    <w:rsid w:val="00F447CC"/>
    <w:rsid w:val="00F4551C"/>
    <w:rsid w:val="00F459E6"/>
    <w:rsid w:val="00F4770E"/>
    <w:rsid w:val="00F50825"/>
    <w:rsid w:val="00F51389"/>
    <w:rsid w:val="00F51EC9"/>
    <w:rsid w:val="00F55FA9"/>
    <w:rsid w:val="00F65278"/>
    <w:rsid w:val="00F65413"/>
    <w:rsid w:val="00F7034F"/>
    <w:rsid w:val="00F717A9"/>
    <w:rsid w:val="00F72BDE"/>
    <w:rsid w:val="00F72BEF"/>
    <w:rsid w:val="00F7760F"/>
    <w:rsid w:val="00F8004D"/>
    <w:rsid w:val="00F82B95"/>
    <w:rsid w:val="00F85A96"/>
    <w:rsid w:val="00F86A88"/>
    <w:rsid w:val="00F86AA1"/>
    <w:rsid w:val="00F87315"/>
    <w:rsid w:val="00F90522"/>
    <w:rsid w:val="00F966E1"/>
    <w:rsid w:val="00FA0446"/>
    <w:rsid w:val="00FA589E"/>
    <w:rsid w:val="00FA6EEA"/>
    <w:rsid w:val="00FB2B25"/>
    <w:rsid w:val="00FB45F7"/>
    <w:rsid w:val="00FB5B00"/>
    <w:rsid w:val="00FB5E5E"/>
    <w:rsid w:val="00FB6641"/>
    <w:rsid w:val="00FC0798"/>
    <w:rsid w:val="00FC1FDB"/>
    <w:rsid w:val="00FC27AA"/>
    <w:rsid w:val="00FE1409"/>
    <w:rsid w:val="00FE60B5"/>
    <w:rsid w:val="00FF2A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A6BF1C-B2BA-47AD-8CFF-62F53D182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D7AC3"/>
    <w:pPr>
      <w:keepNext/>
      <w:keepLines/>
      <w:spacing w:before="480" w:after="80" w:line="240" w:lineRule="auto"/>
      <w:outlineLvl w:val="0"/>
    </w:pPr>
    <w:rPr>
      <w:rFonts w:asciiTheme="majorHAnsi" w:eastAsiaTheme="majorEastAsia" w:hAnsiTheme="majorHAnsi" w:cstheme="majorBidi"/>
      <w:color w:val="2E74B5" w:themeColor="accent1" w:themeShade="BF"/>
      <w:sz w:val="48"/>
      <w:szCs w:val="48"/>
      <w:lang w:val="en-US" w:eastAsia="zh-CN"/>
    </w:rPr>
  </w:style>
  <w:style w:type="paragraph" w:styleId="Heading2">
    <w:name w:val="heading 2"/>
    <w:basedOn w:val="Normal"/>
    <w:next w:val="Normal"/>
    <w:link w:val="Heading2Char"/>
    <w:uiPriority w:val="9"/>
    <w:semiHidden/>
    <w:unhideWhenUsed/>
    <w:qFormat/>
    <w:rsid w:val="00BD7AC3"/>
    <w:pPr>
      <w:keepNext/>
      <w:keepLines/>
      <w:spacing w:before="160" w:after="80" w:line="240" w:lineRule="auto"/>
      <w:outlineLvl w:val="1"/>
    </w:pPr>
    <w:rPr>
      <w:rFonts w:asciiTheme="majorHAnsi" w:eastAsiaTheme="majorEastAsia" w:hAnsiTheme="majorHAnsi" w:cstheme="majorBidi"/>
      <w:color w:val="2E74B5" w:themeColor="accent1" w:themeShade="BF"/>
      <w:sz w:val="40"/>
      <w:szCs w:val="40"/>
      <w:lang w:val="en-US" w:eastAsia="zh-CN"/>
    </w:rPr>
  </w:style>
  <w:style w:type="paragraph" w:styleId="Heading3">
    <w:name w:val="heading 3"/>
    <w:basedOn w:val="Normal"/>
    <w:next w:val="Normal"/>
    <w:link w:val="Heading3Char"/>
    <w:uiPriority w:val="9"/>
    <w:unhideWhenUsed/>
    <w:qFormat/>
    <w:rsid w:val="00BD7AC3"/>
    <w:pPr>
      <w:keepNext/>
      <w:keepLines/>
      <w:spacing w:before="160" w:after="80" w:line="240" w:lineRule="auto"/>
      <w:outlineLvl w:val="2"/>
    </w:pPr>
    <w:rPr>
      <w:rFonts w:asciiTheme="majorHAnsi" w:eastAsiaTheme="majorEastAsia" w:hAnsiTheme="majorHAnsi" w:cstheme="majorBidi"/>
      <w:color w:val="2E74B5" w:themeColor="accent1" w:themeShade="BF"/>
      <w:sz w:val="32"/>
      <w:szCs w:val="32"/>
      <w:lang w:val="en-US" w:eastAsia="zh-CN"/>
    </w:rPr>
  </w:style>
  <w:style w:type="paragraph" w:styleId="Heading4">
    <w:name w:val="heading 4"/>
    <w:basedOn w:val="Normal"/>
    <w:next w:val="Normal"/>
    <w:link w:val="Heading4Char"/>
    <w:uiPriority w:val="9"/>
    <w:semiHidden/>
    <w:unhideWhenUsed/>
    <w:qFormat/>
    <w:rsid w:val="00BD7AC3"/>
    <w:pPr>
      <w:keepNext/>
      <w:keepLines/>
      <w:spacing w:before="80" w:after="40" w:line="240" w:lineRule="auto"/>
      <w:outlineLvl w:val="3"/>
    </w:pPr>
    <w:rPr>
      <w:rFonts w:ascii="SimSun" w:eastAsia="SimSun" w:hAnsi="SimSun" w:cstheme="majorBidi"/>
      <w:color w:val="2E74B5" w:themeColor="accent1" w:themeShade="BF"/>
      <w:sz w:val="28"/>
      <w:szCs w:val="28"/>
      <w:lang w:val="en-US" w:eastAsia="zh-CN"/>
    </w:rPr>
  </w:style>
  <w:style w:type="paragraph" w:styleId="Heading5">
    <w:name w:val="heading 5"/>
    <w:basedOn w:val="Normal"/>
    <w:next w:val="Normal"/>
    <w:link w:val="Heading5Char"/>
    <w:uiPriority w:val="9"/>
    <w:semiHidden/>
    <w:unhideWhenUsed/>
    <w:qFormat/>
    <w:rsid w:val="00BD7AC3"/>
    <w:pPr>
      <w:keepNext/>
      <w:keepLines/>
      <w:spacing w:before="80" w:after="40" w:line="240" w:lineRule="auto"/>
      <w:outlineLvl w:val="4"/>
    </w:pPr>
    <w:rPr>
      <w:rFonts w:ascii="SimSun" w:eastAsia="SimSun" w:hAnsi="SimSun" w:cstheme="majorBidi"/>
      <w:color w:val="2E74B5" w:themeColor="accent1" w:themeShade="BF"/>
      <w:sz w:val="24"/>
      <w:szCs w:val="24"/>
      <w:lang w:val="en-US" w:eastAsia="zh-CN"/>
    </w:rPr>
  </w:style>
  <w:style w:type="paragraph" w:styleId="Heading6">
    <w:name w:val="heading 6"/>
    <w:basedOn w:val="Normal"/>
    <w:next w:val="Normal"/>
    <w:link w:val="Heading6Char"/>
    <w:uiPriority w:val="9"/>
    <w:semiHidden/>
    <w:unhideWhenUsed/>
    <w:qFormat/>
    <w:rsid w:val="00BD7AC3"/>
    <w:pPr>
      <w:keepNext/>
      <w:keepLines/>
      <w:spacing w:before="40" w:after="0" w:line="240" w:lineRule="auto"/>
      <w:outlineLvl w:val="5"/>
    </w:pPr>
    <w:rPr>
      <w:rFonts w:ascii="SimSun" w:eastAsia="SimSun" w:hAnsi="SimSun" w:cstheme="majorBidi"/>
      <w:b/>
      <w:bCs/>
      <w:color w:val="2E74B5" w:themeColor="accent1" w:themeShade="BF"/>
      <w:sz w:val="24"/>
      <w:szCs w:val="24"/>
      <w:lang w:val="en-US" w:eastAsia="zh-CN"/>
    </w:rPr>
  </w:style>
  <w:style w:type="paragraph" w:styleId="Heading7">
    <w:name w:val="heading 7"/>
    <w:basedOn w:val="Normal"/>
    <w:next w:val="Normal"/>
    <w:link w:val="Heading7Char"/>
    <w:uiPriority w:val="9"/>
    <w:semiHidden/>
    <w:unhideWhenUsed/>
    <w:qFormat/>
    <w:rsid w:val="00BD7AC3"/>
    <w:pPr>
      <w:keepNext/>
      <w:keepLines/>
      <w:spacing w:before="40" w:after="0" w:line="240" w:lineRule="auto"/>
      <w:outlineLvl w:val="6"/>
    </w:pPr>
    <w:rPr>
      <w:rFonts w:ascii="SimSun" w:eastAsia="SimSun" w:hAnsi="SimSun" w:cstheme="majorBidi"/>
      <w:b/>
      <w:bCs/>
      <w:color w:val="595959" w:themeColor="text1" w:themeTint="A6"/>
      <w:sz w:val="24"/>
      <w:szCs w:val="24"/>
      <w:lang w:val="en-US" w:eastAsia="zh-CN"/>
    </w:rPr>
  </w:style>
  <w:style w:type="paragraph" w:styleId="Heading8">
    <w:name w:val="heading 8"/>
    <w:basedOn w:val="Normal"/>
    <w:next w:val="Normal"/>
    <w:link w:val="Heading8Char"/>
    <w:uiPriority w:val="9"/>
    <w:semiHidden/>
    <w:unhideWhenUsed/>
    <w:qFormat/>
    <w:rsid w:val="00BD7AC3"/>
    <w:pPr>
      <w:keepNext/>
      <w:keepLines/>
      <w:spacing w:after="0" w:line="240" w:lineRule="auto"/>
      <w:outlineLvl w:val="7"/>
    </w:pPr>
    <w:rPr>
      <w:rFonts w:ascii="SimSun" w:eastAsia="SimSun" w:hAnsi="SimSun" w:cstheme="majorBidi"/>
      <w:color w:val="595959" w:themeColor="text1" w:themeTint="A6"/>
      <w:sz w:val="24"/>
      <w:szCs w:val="24"/>
      <w:lang w:val="en-US" w:eastAsia="zh-CN"/>
    </w:rPr>
  </w:style>
  <w:style w:type="paragraph" w:styleId="Heading9">
    <w:name w:val="heading 9"/>
    <w:basedOn w:val="Normal"/>
    <w:next w:val="Normal"/>
    <w:link w:val="Heading9Char"/>
    <w:uiPriority w:val="9"/>
    <w:semiHidden/>
    <w:unhideWhenUsed/>
    <w:qFormat/>
    <w:rsid w:val="00BD7AC3"/>
    <w:pPr>
      <w:keepNext/>
      <w:keepLines/>
      <w:spacing w:after="0" w:line="240" w:lineRule="auto"/>
      <w:outlineLvl w:val="8"/>
    </w:pPr>
    <w:rPr>
      <w:rFonts w:ascii="SimSun" w:eastAsiaTheme="majorEastAsia" w:hAnsi="SimSun" w:cstheme="majorBidi"/>
      <w:color w:val="595959" w:themeColor="text1" w:themeTint="A6"/>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AC3"/>
    <w:rPr>
      <w:rFonts w:asciiTheme="majorHAnsi" w:eastAsiaTheme="majorEastAsia" w:hAnsiTheme="majorHAnsi" w:cstheme="majorBidi"/>
      <w:color w:val="2E74B5" w:themeColor="accent1" w:themeShade="BF"/>
      <w:sz w:val="48"/>
      <w:szCs w:val="48"/>
      <w:lang w:val="en-US" w:eastAsia="zh-CN"/>
    </w:rPr>
  </w:style>
  <w:style w:type="character" w:customStyle="1" w:styleId="Heading2Char">
    <w:name w:val="Heading 2 Char"/>
    <w:basedOn w:val="DefaultParagraphFont"/>
    <w:link w:val="Heading2"/>
    <w:uiPriority w:val="9"/>
    <w:semiHidden/>
    <w:rsid w:val="00BD7AC3"/>
    <w:rPr>
      <w:rFonts w:asciiTheme="majorHAnsi" w:eastAsiaTheme="majorEastAsia" w:hAnsiTheme="majorHAnsi" w:cstheme="majorBidi"/>
      <w:color w:val="2E74B5" w:themeColor="accent1" w:themeShade="BF"/>
      <w:sz w:val="40"/>
      <w:szCs w:val="40"/>
      <w:lang w:val="en-US" w:eastAsia="zh-CN"/>
    </w:rPr>
  </w:style>
  <w:style w:type="character" w:customStyle="1" w:styleId="Heading3Char">
    <w:name w:val="Heading 3 Char"/>
    <w:basedOn w:val="DefaultParagraphFont"/>
    <w:link w:val="Heading3"/>
    <w:uiPriority w:val="9"/>
    <w:rsid w:val="00BD7AC3"/>
    <w:rPr>
      <w:rFonts w:asciiTheme="majorHAnsi" w:eastAsiaTheme="majorEastAsia" w:hAnsiTheme="majorHAnsi" w:cstheme="majorBidi"/>
      <w:color w:val="2E74B5" w:themeColor="accent1" w:themeShade="BF"/>
      <w:sz w:val="32"/>
      <w:szCs w:val="32"/>
      <w:lang w:val="en-US" w:eastAsia="zh-CN"/>
    </w:rPr>
  </w:style>
  <w:style w:type="character" w:customStyle="1" w:styleId="Heading4Char">
    <w:name w:val="Heading 4 Char"/>
    <w:basedOn w:val="DefaultParagraphFont"/>
    <w:link w:val="Heading4"/>
    <w:uiPriority w:val="9"/>
    <w:semiHidden/>
    <w:rsid w:val="00BD7AC3"/>
    <w:rPr>
      <w:rFonts w:ascii="SimSun" w:eastAsia="SimSun" w:hAnsi="SimSun" w:cstheme="majorBidi"/>
      <w:color w:val="2E74B5" w:themeColor="accent1" w:themeShade="BF"/>
      <w:sz w:val="28"/>
      <w:szCs w:val="28"/>
      <w:lang w:val="en-US" w:eastAsia="zh-CN"/>
    </w:rPr>
  </w:style>
  <w:style w:type="character" w:customStyle="1" w:styleId="Heading5Char">
    <w:name w:val="Heading 5 Char"/>
    <w:basedOn w:val="DefaultParagraphFont"/>
    <w:link w:val="Heading5"/>
    <w:uiPriority w:val="9"/>
    <w:semiHidden/>
    <w:rsid w:val="00BD7AC3"/>
    <w:rPr>
      <w:rFonts w:ascii="SimSun" w:eastAsia="SimSun" w:hAnsi="SimSun" w:cstheme="majorBidi"/>
      <w:color w:val="2E74B5" w:themeColor="accent1" w:themeShade="BF"/>
      <w:sz w:val="24"/>
      <w:szCs w:val="24"/>
      <w:lang w:val="en-US" w:eastAsia="zh-CN"/>
    </w:rPr>
  </w:style>
  <w:style w:type="character" w:customStyle="1" w:styleId="Heading6Char">
    <w:name w:val="Heading 6 Char"/>
    <w:basedOn w:val="DefaultParagraphFont"/>
    <w:link w:val="Heading6"/>
    <w:uiPriority w:val="9"/>
    <w:semiHidden/>
    <w:rsid w:val="00BD7AC3"/>
    <w:rPr>
      <w:rFonts w:ascii="SimSun" w:eastAsia="SimSun" w:hAnsi="SimSun" w:cstheme="majorBidi"/>
      <w:b/>
      <w:bCs/>
      <w:color w:val="2E74B5" w:themeColor="accent1" w:themeShade="BF"/>
      <w:sz w:val="24"/>
      <w:szCs w:val="24"/>
      <w:lang w:val="en-US" w:eastAsia="zh-CN"/>
    </w:rPr>
  </w:style>
  <w:style w:type="character" w:customStyle="1" w:styleId="Heading7Char">
    <w:name w:val="Heading 7 Char"/>
    <w:basedOn w:val="DefaultParagraphFont"/>
    <w:link w:val="Heading7"/>
    <w:uiPriority w:val="9"/>
    <w:semiHidden/>
    <w:rsid w:val="00BD7AC3"/>
    <w:rPr>
      <w:rFonts w:ascii="SimSun" w:eastAsia="SimSun" w:hAnsi="SimSun" w:cstheme="majorBidi"/>
      <w:b/>
      <w:bCs/>
      <w:color w:val="595959" w:themeColor="text1" w:themeTint="A6"/>
      <w:sz w:val="24"/>
      <w:szCs w:val="24"/>
      <w:lang w:val="en-US" w:eastAsia="zh-CN"/>
    </w:rPr>
  </w:style>
  <w:style w:type="character" w:customStyle="1" w:styleId="Heading8Char">
    <w:name w:val="Heading 8 Char"/>
    <w:basedOn w:val="DefaultParagraphFont"/>
    <w:link w:val="Heading8"/>
    <w:uiPriority w:val="9"/>
    <w:semiHidden/>
    <w:rsid w:val="00BD7AC3"/>
    <w:rPr>
      <w:rFonts w:ascii="SimSun" w:eastAsia="SimSun" w:hAnsi="SimSun" w:cstheme="majorBidi"/>
      <w:color w:val="595959" w:themeColor="text1" w:themeTint="A6"/>
      <w:sz w:val="24"/>
      <w:szCs w:val="24"/>
      <w:lang w:val="en-US" w:eastAsia="zh-CN"/>
    </w:rPr>
  </w:style>
  <w:style w:type="character" w:customStyle="1" w:styleId="Heading9Char">
    <w:name w:val="Heading 9 Char"/>
    <w:basedOn w:val="DefaultParagraphFont"/>
    <w:link w:val="Heading9"/>
    <w:uiPriority w:val="9"/>
    <w:semiHidden/>
    <w:rsid w:val="00BD7AC3"/>
    <w:rPr>
      <w:rFonts w:ascii="SimSun" w:eastAsiaTheme="majorEastAsia" w:hAnsi="SimSun" w:cstheme="majorBidi"/>
      <w:color w:val="595959" w:themeColor="text1" w:themeTint="A6"/>
      <w:sz w:val="24"/>
      <w:szCs w:val="24"/>
      <w:lang w:val="en-US" w:eastAsia="zh-CN"/>
    </w:rPr>
  </w:style>
  <w:style w:type="paragraph" w:styleId="Title">
    <w:name w:val="Title"/>
    <w:basedOn w:val="Normal"/>
    <w:next w:val="Normal"/>
    <w:link w:val="TitleChar"/>
    <w:uiPriority w:val="10"/>
    <w:qFormat/>
    <w:rsid w:val="00BD7AC3"/>
    <w:pPr>
      <w:spacing w:after="80" w:line="240" w:lineRule="auto"/>
      <w:contextualSpacing/>
      <w:jc w:val="center"/>
    </w:pPr>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uiPriority w:val="10"/>
    <w:rsid w:val="00BD7AC3"/>
    <w:rPr>
      <w:rFonts w:asciiTheme="majorHAnsi" w:eastAsiaTheme="majorEastAsia" w:hAnsiTheme="majorHAnsi" w:cstheme="majorBidi"/>
      <w:spacing w:val="-10"/>
      <w:kern w:val="28"/>
      <w:sz w:val="56"/>
      <w:szCs w:val="56"/>
      <w:lang w:val="en-US" w:eastAsia="zh-CN"/>
    </w:rPr>
  </w:style>
  <w:style w:type="paragraph" w:styleId="Subtitle">
    <w:name w:val="Subtitle"/>
    <w:basedOn w:val="Normal"/>
    <w:next w:val="Normal"/>
    <w:link w:val="SubtitleChar"/>
    <w:uiPriority w:val="11"/>
    <w:qFormat/>
    <w:rsid w:val="00BD7AC3"/>
    <w:pPr>
      <w:numPr>
        <w:ilvl w:val="1"/>
      </w:numPr>
      <w:spacing w:line="240" w:lineRule="auto"/>
      <w:jc w:val="center"/>
    </w:pPr>
    <w:rPr>
      <w:rFonts w:asciiTheme="majorHAnsi" w:eastAsiaTheme="majorEastAsia" w:hAnsiTheme="majorHAnsi"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uiPriority w:val="11"/>
    <w:rsid w:val="00BD7AC3"/>
    <w:rPr>
      <w:rFonts w:asciiTheme="majorHAnsi" w:eastAsiaTheme="majorEastAsia" w:hAnsiTheme="majorHAnsi" w:cstheme="majorBidi"/>
      <w:color w:val="595959" w:themeColor="text1" w:themeTint="A6"/>
      <w:spacing w:val="15"/>
      <w:sz w:val="28"/>
      <w:szCs w:val="28"/>
      <w:lang w:val="en-US" w:eastAsia="zh-CN"/>
    </w:rPr>
  </w:style>
  <w:style w:type="paragraph" w:styleId="Quote">
    <w:name w:val="Quote"/>
    <w:basedOn w:val="Normal"/>
    <w:next w:val="Normal"/>
    <w:link w:val="QuoteChar"/>
    <w:uiPriority w:val="29"/>
    <w:qFormat/>
    <w:rsid w:val="00BD7AC3"/>
    <w:pPr>
      <w:spacing w:before="160" w:line="240" w:lineRule="auto"/>
      <w:jc w:val="center"/>
    </w:pPr>
    <w:rPr>
      <w:rFonts w:ascii="SimSun" w:eastAsia="SimSun" w:hAnsi="SimSun" w:cs="SimSun"/>
      <w:i/>
      <w:iCs/>
      <w:color w:val="404040" w:themeColor="text1" w:themeTint="BF"/>
      <w:sz w:val="24"/>
      <w:szCs w:val="24"/>
      <w:lang w:val="en-US" w:eastAsia="zh-CN"/>
    </w:rPr>
  </w:style>
  <w:style w:type="character" w:customStyle="1" w:styleId="QuoteChar">
    <w:name w:val="Quote Char"/>
    <w:basedOn w:val="DefaultParagraphFont"/>
    <w:link w:val="Quote"/>
    <w:uiPriority w:val="29"/>
    <w:rsid w:val="00BD7AC3"/>
    <w:rPr>
      <w:rFonts w:ascii="SimSun" w:eastAsia="SimSun" w:hAnsi="SimSun" w:cs="SimSun"/>
      <w:i/>
      <w:iCs/>
      <w:color w:val="404040" w:themeColor="text1" w:themeTint="BF"/>
      <w:sz w:val="24"/>
      <w:szCs w:val="24"/>
      <w:lang w:val="en-US" w:eastAsia="zh-CN"/>
    </w:rPr>
  </w:style>
  <w:style w:type="paragraph" w:styleId="ListParagraph">
    <w:name w:val="List Paragraph"/>
    <w:basedOn w:val="Normal"/>
    <w:uiPriority w:val="34"/>
    <w:qFormat/>
    <w:rsid w:val="00BD7AC3"/>
    <w:pPr>
      <w:spacing w:after="0" w:line="240" w:lineRule="auto"/>
      <w:ind w:left="720"/>
      <w:contextualSpacing/>
    </w:pPr>
    <w:rPr>
      <w:rFonts w:ascii="SimSun" w:eastAsia="SimSun" w:hAnsi="SimSun" w:cs="SimSun"/>
      <w:sz w:val="24"/>
      <w:szCs w:val="24"/>
      <w:lang w:val="en-US" w:eastAsia="zh-CN"/>
    </w:rPr>
  </w:style>
  <w:style w:type="character" w:styleId="IntenseEmphasis">
    <w:name w:val="Intense Emphasis"/>
    <w:basedOn w:val="DefaultParagraphFont"/>
    <w:uiPriority w:val="21"/>
    <w:qFormat/>
    <w:rsid w:val="00BD7AC3"/>
    <w:rPr>
      <w:i/>
      <w:iCs/>
      <w:color w:val="2E74B5" w:themeColor="accent1" w:themeShade="BF"/>
    </w:rPr>
  </w:style>
  <w:style w:type="paragraph" w:styleId="IntenseQuote">
    <w:name w:val="Intense Quote"/>
    <w:basedOn w:val="Normal"/>
    <w:next w:val="Normal"/>
    <w:link w:val="IntenseQuoteChar"/>
    <w:uiPriority w:val="30"/>
    <w:qFormat/>
    <w:rsid w:val="00BD7AC3"/>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SimSun" w:eastAsia="SimSun" w:hAnsi="SimSun" w:cs="SimSun"/>
      <w:i/>
      <w:iCs/>
      <w:color w:val="2E74B5" w:themeColor="accent1" w:themeShade="BF"/>
      <w:sz w:val="24"/>
      <w:szCs w:val="24"/>
      <w:lang w:val="en-US" w:eastAsia="zh-CN"/>
    </w:rPr>
  </w:style>
  <w:style w:type="character" w:customStyle="1" w:styleId="IntenseQuoteChar">
    <w:name w:val="Intense Quote Char"/>
    <w:basedOn w:val="DefaultParagraphFont"/>
    <w:link w:val="IntenseQuote"/>
    <w:uiPriority w:val="30"/>
    <w:rsid w:val="00BD7AC3"/>
    <w:rPr>
      <w:rFonts w:ascii="SimSun" w:eastAsia="SimSun" w:hAnsi="SimSun" w:cs="SimSun"/>
      <w:i/>
      <w:iCs/>
      <w:color w:val="2E74B5" w:themeColor="accent1" w:themeShade="BF"/>
      <w:sz w:val="24"/>
      <w:szCs w:val="24"/>
      <w:lang w:val="en-US" w:eastAsia="zh-CN"/>
    </w:rPr>
  </w:style>
  <w:style w:type="character" w:styleId="IntenseReference">
    <w:name w:val="Intense Reference"/>
    <w:basedOn w:val="DefaultParagraphFont"/>
    <w:uiPriority w:val="32"/>
    <w:qFormat/>
    <w:rsid w:val="00BD7AC3"/>
    <w:rPr>
      <w:b/>
      <w:bCs/>
      <w:smallCaps/>
      <w:color w:val="2E74B5" w:themeColor="accent1" w:themeShade="BF"/>
      <w:spacing w:val="5"/>
    </w:rPr>
  </w:style>
  <w:style w:type="paragraph" w:styleId="NormalWeb">
    <w:name w:val="Normal (Web)"/>
    <w:basedOn w:val="Normal"/>
    <w:uiPriority w:val="99"/>
    <w:unhideWhenUsed/>
    <w:rsid w:val="00BD7AC3"/>
    <w:pPr>
      <w:spacing w:before="100" w:beforeAutospacing="1" w:after="100" w:afterAutospacing="1" w:line="240" w:lineRule="auto"/>
    </w:pPr>
    <w:rPr>
      <w:rFonts w:ascii="SimSun" w:eastAsia="SimSun" w:hAnsi="SimSun" w:cs="SimSun"/>
      <w:sz w:val="24"/>
      <w:szCs w:val="24"/>
      <w:lang w:val="en-US" w:eastAsia="zh-CN"/>
    </w:rPr>
  </w:style>
  <w:style w:type="paragraph" w:customStyle="1" w:styleId="EndNoteBibliography">
    <w:name w:val="EndNote Bibliography"/>
    <w:basedOn w:val="Normal"/>
    <w:link w:val="EndNoteBibliography0"/>
    <w:rsid w:val="00BD7AC3"/>
    <w:pPr>
      <w:spacing w:after="0" w:line="240" w:lineRule="auto"/>
    </w:pPr>
    <w:rPr>
      <w:rFonts w:ascii="DengXian" w:eastAsia="DengXian" w:hAnsi="DengXian" w:cs="SimSun"/>
      <w:sz w:val="20"/>
      <w:szCs w:val="24"/>
      <w:lang w:val="en-US" w:eastAsia="zh-CN"/>
    </w:rPr>
  </w:style>
  <w:style w:type="character" w:customStyle="1" w:styleId="EndNoteBibliography0">
    <w:name w:val="EndNote Bibliography 字符"/>
    <w:basedOn w:val="DefaultParagraphFont"/>
    <w:link w:val="EndNoteBibliography"/>
    <w:rsid w:val="00BD7AC3"/>
    <w:rPr>
      <w:rFonts w:ascii="DengXian" w:eastAsia="DengXian" w:hAnsi="DengXian" w:cs="SimSun"/>
      <w:sz w:val="20"/>
      <w:szCs w:val="24"/>
      <w:lang w:val="en-US" w:eastAsia="zh-CN"/>
    </w:rPr>
  </w:style>
  <w:style w:type="character" w:styleId="Hyperlink">
    <w:name w:val="Hyperlink"/>
    <w:basedOn w:val="DefaultParagraphFont"/>
    <w:uiPriority w:val="99"/>
    <w:unhideWhenUsed/>
    <w:rsid w:val="00BD7AC3"/>
    <w:rPr>
      <w:color w:val="0563C1" w:themeColor="hyperlink"/>
      <w:u w:val="single"/>
    </w:rPr>
  </w:style>
  <w:style w:type="character" w:styleId="Strong">
    <w:name w:val="Strong"/>
    <w:basedOn w:val="DefaultParagraphFont"/>
    <w:uiPriority w:val="22"/>
    <w:qFormat/>
    <w:rsid w:val="00BD7AC3"/>
    <w:rPr>
      <w:b/>
      <w:bCs/>
    </w:rPr>
  </w:style>
  <w:style w:type="table" w:customStyle="1" w:styleId="a">
    <w:name w:val="三线表"/>
    <w:basedOn w:val="TableNormal"/>
    <w:qFormat/>
    <w:rsid w:val="00BD7AC3"/>
    <w:pPr>
      <w:spacing w:after="0" w:line="360" w:lineRule="exact"/>
    </w:pPr>
    <w:rPr>
      <w:rFonts w:ascii="Times New Roman" w:eastAsiaTheme="minorEastAsia" w:hAnsi="Times New Roman"/>
      <w:sz w:val="20"/>
      <w:szCs w:val="20"/>
      <w:lang w:val="en-US" w:eastAsia="zh-CN"/>
    </w:rPr>
    <w:tblPr>
      <w:tblBorders>
        <w:top w:val="single" w:sz="12" w:space="0" w:color="auto"/>
        <w:bottom w:val="single" w:sz="12" w:space="0" w:color="auto"/>
      </w:tblBorders>
    </w:tblPr>
    <w:tblStylePr w:type="firstRow">
      <w:pPr>
        <w:wordWrap/>
        <w:spacing w:line="360" w:lineRule="exact"/>
        <w:jc w:val="center"/>
      </w:pPr>
      <w:rPr>
        <w:rFonts w:ascii="Times New Roman" w:eastAsia="Microsoft YaHei" w:hAnsi="Times New Roman"/>
        <w:b w:val="0"/>
        <w:i w:val="0"/>
        <w:sz w:val="21"/>
      </w:rPr>
      <w:tblPr/>
      <w:tcPr>
        <w:tcBorders>
          <w:top w:val="single" w:sz="12" w:space="0" w:color="auto"/>
          <w:left w:val="nil"/>
          <w:bottom w:val="single" w:sz="6" w:space="0" w:color="auto"/>
          <w:right w:val="nil"/>
          <w:insideH w:val="nil"/>
          <w:insideV w:val="nil"/>
          <w:tl2br w:val="nil"/>
          <w:tr2bl w:val="nil"/>
        </w:tcBorders>
      </w:tcPr>
    </w:tblStylePr>
  </w:style>
  <w:style w:type="paragraph" w:styleId="Footer">
    <w:name w:val="footer"/>
    <w:basedOn w:val="Normal"/>
    <w:link w:val="FooterChar"/>
    <w:uiPriority w:val="99"/>
    <w:unhideWhenUsed/>
    <w:rsid w:val="00BD7AC3"/>
    <w:pPr>
      <w:tabs>
        <w:tab w:val="center" w:pos="4153"/>
        <w:tab w:val="right" w:pos="8306"/>
      </w:tabs>
      <w:snapToGrid w:val="0"/>
      <w:spacing w:after="0" w:line="240" w:lineRule="auto"/>
    </w:pPr>
    <w:rPr>
      <w:rFonts w:ascii="SimSun" w:eastAsia="SimSun" w:hAnsi="SimSun" w:cs="SimSun"/>
      <w:sz w:val="18"/>
      <w:szCs w:val="18"/>
      <w:lang w:val="en-US" w:eastAsia="zh-CN"/>
    </w:rPr>
  </w:style>
  <w:style w:type="character" w:customStyle="1" w:styleId="FooterChar">
    <w:name w:val="Footer Char"/>
    <w:basedOn w:val="DefaultParagraphFont"/>
    <w:link w:val="Footer"/>
    <w:uiPriority w:val="99"/>
    <w:rsid w:val="00BD7AC3"/>
    <w:rPr>
      <w:rFonts w:ascii="SimSun" w:eastAsia="SimSun" w:hAnsi="SimSun" w:cs="SimSun"/>
      <w:sz w:val="18"/>
      <w:szCs w:val="18"/>
      <w:lang w:val="en-US" w:eastAsia="zh-CN"/>
    </w:rPr>
  </w:style>
  <w:style w:type="character" w:styleId="PageNumber">
    <w:name w:val="page number"/>
    <w:basedOn w:val="DefaultParagraphFont"/>
    <w:uiPriority w:val="99"/>
    <w:semiHidden/>
    <w:unhideWhenUsed/>
    <w:rsid w:val="00BD7AC3"/>
  </w:style>
  <w:style w:type="character" w:styleId="LineNumber">
    <w:name w:val="line number"/>
    <w:basedOn w:val="DefaultParagraphFont"/>
    <w:uiPriority w:val="99"/>
    <w:semiHidden/>
    <w:unhideWhenUsed/>
    <w:rsid w:val="00BD7AC3"/>
  </w:style>
  <w:style w:type="paragraph" w:customStyle="1" w:styleId="EndNoteBibliographyTitle">
    <w:name w:val="EndNote Bibliography Title"/>
    <w:basedOn w:val="Normal"/>
    <w:link w:val="EndNoteBibliographyTitle0"/>
    <w:rsid w:val="00BD7AC3"/>
    <w:pPr>
      <w:spacing w:after="0" w:line="240" w:lineRule="auto"/>
      <w:jc w:val="center"/>
    </w:pPr>
    <w:rPr>
      <w:rFonts w:ascii="DengXian" w:eastAsia="DengXian" w:hAnsi="DengXian" w:cs="SimSun"/>
      <w:sz w:val="20"/>
      <w:szCs w:val="24"/>
      <w:lang w:val="en-US" w:eastAsia="zh-CN"/>
    </w:rPr>
  </w:style>
  <w:style w:type="character" w:customStyle="1" w:styleId="EndNoteBibliographyTitle0">
    <w:name w:val="EndNote Bibliography Title 字符"/>
    <w:basedOn w:val="EndNoteBibliography0"/>
    <w:link w:val="EndNoteBibliographyTitle"/>
    <w:rsid w:val="00BD7AC3"/>
    <w:rPr>
      <w:rFonts w:ascii="DengXian" w:eastAsia="DengXian" w:hAnsi="DengXian" w:cs="SimSun"/>
      <w:sz w:val="20"/>
      <w:szCs w:val="24"/>
      <w:lang w:val="en-US" w:eastAsia="zh-CN"/>
    </w:rPr>
  </w:style>
  <w:style w:type="character" w:customStyle="1" w:styleId="UnresolvedMention">
    <w:name w:val="Unresolved Mention"/>
    <w:basedOn w:val="DefaultParagraphFont"/>
    <w:uiPriority w:val="99"/>
    <w:semiHidden/>
    <w:unhideWhenUsed/>
    <w:rsid w:val="00BD7AC3"/>
    <w:rPr>
      <w:color w:val="605E5C"/>
      <w:shd w:val="clear" w:color="auto" w:fill="E1DFDD"/>
    </w:rPr>
  </w:style>
  <w:style w:type="paragraph" w:customStyle="1" w:styleId="AuthorList">
    <w:name w:val="Author List"/>
    <w:basedOn w:val="Subtitle"/>
    <w:next w:val="Normal"/>
    <w:uiPriority w:val="1"/>
    <w:qFormat/>
    <w:rsid w:val="00BD7AC3"/>
    <w:pPr>
      <w:numPr>
        <w:ilvl w:val="0"/>
      </w:numPr>
      <w:spacing w:before="240" w:after="240"/>
      <w:jc w:val="left"/>
    </w:pPr>
    <w:rPr>
      <w:rFonts w:ascii="Times New Roman" w:eastAsiaTheme="minorEastAsia" w:hAnsi="Times New Roman" w:cs="Times New Roman"/>
      <w:b/>
      <w:color w:val="auto"/>
      <w:spacing w:val="0"/>
      <w:sz w:val="24"/>
      <w:szCs w:val="24"/>
      <w:lang w:eastAsia="en-US"/>
    </w:rPr>
  </w:style>
  <w:style w:type="character" w:styleId="HTMLCode">
    <w:name w:val="HTML Code"/>
    <w:basedOn w:val="DefaultParagraphFont"/>
    <w:uiPriority w:val="99"/>
    <w:semiHidden/>
    <w:unhideWhenUsed/>
    <w:rsid w:val="00BD7AC3"/>
    <w:rPr>
      <w:rFonts w:ascii="SimSun" w:eastAsia="SimSun" w:hAnsi="SimSun" w:cs="SimSun"/>
      <w:sz w:val="24"/>
      <w:szCs w:val="24"/>
    </w:rPr>
  </w:style>
  <w:style w:type="table" w:styleId="TableGrid">
    <w:name w:val="Table Grid"/>
    <w:basedOn w:val="TableNormal"/>
    <w:uiPriority w:val="39"/>
    <w:rsid w:val="00BD7AC3"/>
    <w:pPr>
      <w:spacing w:after="0" w:line="240" w:lineRule="auto"/>
    </w:pPr>
    <w:rPr>
      <w:rFonts w:eastAsiaTheme="minorEastAsia"/>
      <w:kern w:val="2"/>
      <w:sz w:val="21"/>
      <w:szCs w:val="24"/>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BD7AC3"/>
    <w:pPr>
      <w:spacing w:before="100" w:beforeAutospacing="1" w:after="100" w:afterAutospacing="1" w:line="240" w:lineRule="auto"/>
    </w:pPr>
    <w:rPr>
      <w:rFonts w:ascii="SimSun" w:eastAsia="SimSun" w:hAnsi="SimSun" w:cs="SimSun"/>
      <w:sz w:val="24"/>
      <w:szCs w:val="24"/>
      <w:lang w:val="en-US" w:eastAsia="zh-CN"/>
    </w:rPr>
  </w:style>
  <w:style w:type="paragraph" w:customStyle="1" w:styleId="font0">
    <w:name w:val="font0"/>
    <w:basedOn w:val="Normal"/>
    <w:rsid w:val="00BD7AC3"/>
    <w:pPr>
      <w:spacing w:before="100" w:beforeAutospacing="1" w:after="100" w:afterAutospacing="1" w:line="240" w:lineRule="auto"/>
    </w:pPr>
    <w:rPr>
      <w:rFonts w:ascii="Carlito" w:eastAsia="SimSun" w:hAnsi="Carlito" w:cs="SimSun"/>
      <w:color w:val="000000"/>
      <w:lang w:val="en-US" w:eastAsia="zh-CN"/>
    </w:rPr>
  </w:style>
  <w:style w:type="paragraph" w:customStyle="1" w:styleId="font1">
    <w:name w:val="font1"/>
    <w:basedOn w:val="Normal"/>
    <w:rsid w:val="00BD7AC3"/>
    <w:pPr>
      <w:spacing w:before="100" w:beforeAutospacing="1" w:after="100" w:afterAutospacing="1" w:line="240" w:lineRule="auto"/>
    </w:pPr>
    <w:rPr>
      <w:rFonts w:ascii="Calibri" w:eastAsia="SimSun" w:hAnsi="Calibri" w:cs="Calibri"/>
      <w:color w:val="00000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2915</Words>
  <Characters>16621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G</dc:creator>
  <cp:keywords/>
  <dc:description/>
  <cp:lastModifiedBy>Monica G</cp:lastModifiedBy>
  <cp:revision>1</cp:revision>
  <dcterms:created xsi:type="dcterms:W3CDTF">2026-05-25T06:44:00Z</dcterms:created>
  <dcterms:modified xsi:type="dcterms:W3CDTF">2026-05-25T06:45:00Z</dcterms:modified>
</cp:coreProperties>
</file>