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5E9C" w14:textId="77777777" w:rsidR="006F02BB" w:rsidRPr="000A6123" w:rsidRDefault="0000000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0A6123">
        <w:rPr>
          <w:rFonts w:ascii="Times New Roman" w:hAnsi="Times New Roman" w:cs="Times New Roman"/>
          <w:b/>
          <w:bCs/>
          <w:color w:val="000000" w:themeColor="text1"/>
        </w:rPr>
        <w:t>Supplementary Methods</w:t>
      </w:r>
    </w:p>
    <w:p w14:paraId="431657BF" w14:textId="77777777" w:rsidR="006F02BB" w:rsidRPr="000A6123" w:rsidRDefault="00000000">
      <w:pPr>
        <w:rPr>
          <w:rFonts w:ascii="Times New Roman" w:hAnsi="Times New Roman" w:cs="Times New Roman"/>
          <w:color w:val="000000" w:themeColor="text1"/>
        </w:rPr>
      </w:pPr>
      <w:r w:rsidRPr="000A6123">
        <w:rPr>
          <w:rFonts w:ascii="Times New Roman" w:hAnsi="Times New Roman" w:cs="Times New Roman" w:hint="eastAsia"/>
          <w:color w:val="000000" w:themeColor="text1"/>
        </w:rPr>
        <w:t>All supplementary analyses were restricted to patients who underwent urological intervention, consistent with the primary analysis population.</w:t>
      </w:r>
    </w:p>
    <w:p w14:paraId="4B310264" w14:textId="77777777" w:rsidR="006F02BB" w:rsidRPr="000A6123" w:rsidRDefault="00000000">
      <w:pPr>
        <w:rPr>
          <w:rFonts w:ascii="Times New Roman" w:hAnsi="Times New Roman" w:cs="Times New Roman"/>
          <w:color w:val="000000" w:themeColor="text1"/>
        </w:rPr>
      </w:pPr>
      <w:r w:rsidRPr="000A6123">
        <w:rPr>
          <w:rFonts w:ascii="Times New Roman" w:hAnsi="Times New Roman" w:cs="Times New Roman" w:hint="eastAsia"/>
          <w:color w:val="000000" w:themeColor="text1"/>
        </w:rPr>
        <w:t xml:space="preserve">The association between timing of antibiotic initiation and 28-day mortality was evaluated using Cox proportional hazards regression models. Antibiotic timing was categorized as </w:t>
      </w:r>
      <w:r w:rsidRPr="000A6123">
        <w:rPr>
          <w:rFonts w:ascii="Times New Roman" w:hAnsi="Times New Roman" w:cs="Times New Roman" w:hint="eastAsia"/>
          <w:color w:val="000000" w:themeColor="text1"/>
        </w:rPr>
        <w:t>≤</w:t>
      </w:r>
      <w:r w:rsidRPr="000A6123">
        <w:rPr>
          <w:rFonts w:ascii="Times New Roman" w:hAnsi="Times New Roman" w:cs="Times New Roman" w:hint="eastAsia"/>
          <w:color w:val="000000" w:themeColor="text1"/>
        </w:rPr>
        <w:t xml:space="preserve">1 hour versus &gt;1 hour from disease onset. </w:t>
      </w:r>
    </w:p>
    <w:p w14:paraId="53E3D66E" w14:textId="77777777" w:rsidR="0035636D" w:rsidRPr="000A6123" w:rsidRDefault="00000000" w:rsidP="0035636D">
      <w:pPr>
        <w:rPr>
          <w:rFonts w:ascii="Times New Roman" w:hAnsi="Times New Roman" w:cs="Times New Roman"/>
          <w:color w:val="000000" w:themeColor="text1"/>
        </w:rPr>
      </w:pPr>
      <w:r w:rsidRPr="000A6123">
        <w:rPr>
          <w:rFonts w:ascii="Times New Roman" w:hAnsi="Times New Roman" w:cs="Times New Roman" w:hint="eastAsia"/>
          <w:color w:val="000000" w:themeColor="text1"/>
        </w:rPr>
        <w:t xml:space="preserve">Model 1 was unadjusted. </w:t>
      </w:r>
      <w:r w:rsidR="0035636D" w:rsidRPr="000A6123">
        <w:rPr>
          <w:rFonts w:ascii="Times New Roman" w:hAnsi="Times New Roman" w:cs="Times New Roman" w:hint="eastAsia"/>
          <w:color w:val="000000" w:themeColor="text1"/>
        </w:rPr>
        <w:t>Model 2 was adjusted for age, APACHE II score, SOFA score, and serum creatinine level. Given the limited number of outcome events, only a limited number of clinically relevant covariates selected a priori based on clinical relevance and potential confounding were included to reduce the risk of overfitting. Hazard ratios (HRs) and 95% confidence intervals (CIs) were reported (Supplementary Table 1). A two-sided P value &lt;0.05 was considered statistically significant.</w:t>
      </w:r>
    </w:p>
    <w:p w14:paraId="4CBC2FB7" w14:textId="77777777" w:rsidR="0035636D" w:rsidRPr="000A6123" w:rsidRDefault="0035636D" w:rsidP="0035636D">
      <w:pPr>
        <w:rPr>
          <w:rFonts w:ascii="Times New Roman" w:hAnsi="Times New Roman" w:cs="Times New Roman"/>
          <w:color w:val="000000" w:themeColor="text1"/>
        </w:rPr>
      </w:pPr>
      <w:r w:rsidRPr="000A6123">
        <w:rPr>
          <w:rFonts w:ascii="Times New Roman" w:hAnsi="Times New Roman" w:cs="Times New Roman"/>
          <w:color w:val="000000" w:themeColor="text1"/>
        </w:rPr>
        <w:t xml:space="preserve">Kaplan–Meier analysis showed no statistically significant difference in survival according to antibiotic timing (log-rank </w:t>
      </w:r>
      <w:r w:rsidRPr="000A6123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0A6123">
        <w:rPr>
          <w:rFonts w:ascii="Times New Roman" w:hAnsi="Times New Roman" w:cs="Times New Roman"/>
          <w:color w:val="000000" w:themeColor="text1"/>
        </w:rPr>
        <w:t xml:space="preserve"> = 0.080</w:t>
      </w:r>
      <w:r w:rsidRPr="000A6123">
        <w:rPr>
          <w:rFonts w:ascii="Times New Roman" w:hAnsi="Times New Roman" w:cs="Times New Roman" w:hint="eastAsia"/>
          <w:color w:val="000000" w:themeColor="text1"/>
        </w:rPr>
        <w:t xml:space="preserve">, Supplementary Figure 1). However, the difference did not reach statistical significance (log-rank </w:t>
      </w:r>
      <w:r w:rsidRPr="000A6123">
        <w:rPr>
          <w:rFonts w:ascii="Times New Roman" w:hAnsi="Times New Roman" w:cs="Times New Roman" w:hint="eastAsia"/>
          <w:i/>
          <w:iCs/>
          <w:color w:val="000000" w:themeColor="text1"/>
        </w:rPr>
        <w:t>P</w:t>
      </w:r>
      <w:r w:rsidRPr="000A6123">
        <w:rPr>
          <w:rFonts w:ascii="Times New Roman" w:hAnsi="Times New Roman" w:cs="Times New Roman" w:hint="eastAsia"/>
          <w:color w:val="000000" w:themeColor="text1"/>
        </w:rPr>
        <w:t xml:space="preserve"> = 0.080). The extremely wide confidence interval reflects substantial statistical uncertainty due to sparse events and should be interpreted cautiously.</w:t>
      </w:r>
    </w:p>
    <w:p w14:paraId="43FCB2F8" w14:textId="77777777" w:rsidR="0035636D" w:rsidRPr="000A6123" w:rsidRDefault="0035636D" w:rsidP="0035636D">
      <w:pPr>
        <w:rPr>
          <w:rFonts w:ascii="Times New Roman" w:hAnsi="Times New Roman" w:cs="Times New Roman"/>
          <w:color w:val="000000" w:themeColor="text1"/>
        </w:rPr>
      </w:pPr>
    </w:p>
    <w:p w14:paraId="5F2DEC7A" w14:textId="506AAD8F" w:rsidR="0035636D" w:rsidRPr="000A6123" w:rsidRDefault="0035636D" w:rsidP="0035636D">
      <w:pPr>
        <w:rPr>
          <w:rFonts w:hint="eastAsia"/>
          <w:color w:val="000000" w:themeColor="text1"/>
        </w:rPr>
      </w:pPr>
      <w:r w:rsidRPr="000A6123">
        <w:rPr>
          <w:rFonts w:ascii="Times New Roman" w:hAnsi="Times New Roman" w:cs="Times New Roman" w:hint="eastAsia"/>
          <w:b/>
          <w:bCs/>
          <w:color w:val="000000" w:themeColor="text1"/>
        </w:rPr>
        <w:t>Supplementary Table 1. Association between timing of antibiotic initiation and 28-day mortality among patients undergoing urological intervention</w:t>
      </w:r>
    </w:p>
    <w:tbl>
      <w:tblPr>
        <w:tblStyle w:val="a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695"/>
        <w:gridCol w:w="1604"/>
        <w:gridCol w:w="1695"/>
        <w:gridCol w:w="1604"/>
      </w:tblGrid>
      <w:tr w:rsidR="000A6123" w:rsidRPr="000A6123" w14:paraId="5C500F50" w14:textId="77777777" w:rsidTr="00DD2A63">
        <w:trPr>
          <w:jc w:val="center"/>
        </w:trPr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5F3A9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b/>
                <w:color w:val="000000" w:themeColor="text1"/>
                <w:sz w:val="19"/>
              </w:rPr>
              <w:t>Variable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19773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b/>
                <w:color w:val="000000" w:themeColor="text1"/>
                <w:sz w:val="19"/>
              </w:rPr>
              <w:t>Model 1 HR (95% CI)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F6C3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b/>
                <w:color w:val="000000" w:themeColor="text1"/>
                <w:sz w:val="19"/>
              </w:rPr>
              <w:t>P value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66478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b/>
                <w:color w:val="000000" w:themeColor="text1"/>
                <w:sz w:val="19"/>
              </w:rPr>
              <w:t>Model 2 HR (95% CI)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909F7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b/>
                <w:color w:val="000000" w:themeColor="text1"/>
                <w:sz w:val="19"/>
              </w:rPr>
              <w:t>P value</w:t>
            </w:r>
          </w:p>
        </w:tc>
      </w:tr>
      <w:tr w:rsidR="000A6123" w:rsidRPr="000A6123" w14:paraId="09C220D0" w14:textId="77777777" w:rsidTr="00DD2A63">
        <w:trPr>
          <w:jc w:val="center"/>
        </w:trPr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06684DF4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Urological source control &lt;=6 h (n = 29)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6A832D9B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Reference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vAlign w:val="center"/>
          </w:tcPr>
          <w:p w14:paraId="45797457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5F71100F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Reference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vAlign w:val="center"/>
          </w:tcPr>
          <w:p w14:paraId="0F820337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-</w:t>
            </w:r>
          </w:p>
        </w:tc>
      </w:tr>
      <w:tr w:rsidR="000A6123" w:rsidRPr="000A6123" w14:paraId="2F5E7E47" w14:textId="77777777" w:rsidTr="00DD2A63">
        <w:trPr>
          <w:jc w:val="center"/>
        </w:trPr>
        <w:tc>
          <w:tcPr>
            <w:tcW w:w="1708" w:type="dxa"/>
            <w:vAlign w:val="center"/>
          </w:tcPr>
          <w:p w14:paraId="77717824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Urological source control &gt;6 h (n = 20)</w:t>
            </w:r>
          </w:p>
        </w:tc>
        <w:tc>
          <w:tcPr>
            <w:tcW w:w="1695" w:type="dxa"/>
            <w:vAlign w:val="center"/>
          </w:tcPr>
          <w:p w14:paraId="571B0034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10.36 (1.24-86.21)</w:t>
            </w:r>
          </w:p>
        </w:tc>
        <w:tc>
          <w:tcPr>
            <w:tcW w:w="1604" w:type="dxa"/>
            <w:vAlign w:val="center"/>
          </w:tcPr>
          <w:p w14:paraId="41E39FEF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0.031</w:t>
            </w:r>
          </w:p>
        </w:tc>
        <w:tc>
          <w:tcPr>
            <w:tcW w:w="1695" w:type="dxa"/>
            <w:vAlign w:val="center"/>
          </w:tcPr>
          <w:p w14:paraId="547B73E2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9.66 (0.77-120.63)</w:t>
            </w:r>
          </w:p>
        </w:tc>
        <w:tc>
          <w:tcPr>
            <w:tcW w:w="1604" w:type="dxa"/>
            <w:vAlign w:val="center"/>
          </w:tcPr>
          <w:p w14:paraId="1F1979B3" w14:textId="77777777" w:rsidR="0035636D" w:rsidRPr="000A6123" w:rsidRDefault="0035636D" w:rsidP="00DD2A63">
            <w:pPr>
              <w:rPr>
                <w:color w:val="000000" w:themeColor="text1"/>
              </w:rPr>
            </w:pPr>
            <w:r w:rsidRPr="000A6123">
              <w:rPr>
                <w:color w:val="000000" w:themeColor="text1"/>
                <w:sz w:val="19"/>
              </w:rPr>
              <w:t>0.078</w:t>
            </w:r>
          </w:p>
        </w:tc>
      </w:tr>
    </w:tbl>
    <w:p w14:paraId="36CE3BDD" w14:textId="77777777" w:rsidR="0035636D" w:rsidRPr="000A6123" w:rsidRDefault="0035636D" w:rsidP="0035636D">
      <w:pPr>
        <w:rPr>
          <w:rFonts w:ascii="Times New Roman" w:hAnsi="Times New Roman" w:cs="Times New Roman"/>
          <w:color w:val="000000" w:themeColor="text1"/>
        </w:rPr>
      </w:pPr>
      <w:r w:rsidRPr="000A6123">
        <w:rPr>
          <w:rFonts w:ascii="Times New Roman" w:hAnsi="Times New Roman"/>
          <w:color w:val="000000" w:themeColor="text1"/>
          <w:sz w:val="21"/>
        </w:rPr>
        <w:t>Note: HR, hazard ratio; CI, confidence interval</w:t>
      </w:r>
      <w:r w:rsidRPr="000A6123">
        <w:rPr>
          <w:rFonts w:ascii="Times New Roman" w:hAnsi="Times New Roman" w:hint="eastAsia"/>
          <w:color w:val="000000" w:themeColor="text1"/>
          <w:sz w:val="21"/>
        </w:rPr>
        <w:t xml:space="preserve">; </w:t>
      </w:r>
      <w:r w:rsidRPr="000A6123">
        <w:rPr>
          <w:rFonts w:ascii="Times New Roman" w:hAnsi="Times New Roman" w:cs="Times New Roman" w:hint="eastAsia"/>
          <w:color w:val="000000" w:themeColor="text1"/>
        </w:rPr>
        <w:t>NE, not estimable</w:t>
      </w:r>
      <w:r w:rsidRPr="000A6123">
        <w:rPr>
          <w:rFonts w:ascii="Times New Roman" w:hAnsi="Times New Roman"/>
          <w:color w:val="000000" w:themeColor="text1"/>
          <w:sz w:val="21"/>
        </w:rPr>
        <w:t>. Model 1 was unadjusted. Model 2 was adjusted for age, APACHE II score, SOFA score, and serum creatinine level.</w:t>
      </w:r>
      <w:r w:rsidRPr="000A6123">
        <w:rPr>
          <w:rFonts w:ascii="Times New Roman" w:hAnsi="Times New Roman" w:cs="Times New Roman" w:hint="eastAsia"/>
          <w:color w:val="000000" w:themeColor="text1"/>
        </w:rPr>
        <w:t xml:space="preserve"> The extremely wide confidence interval reflects substantial statistical uncertainty due to sparse events and should be interpreted cautiously.</w:t>
      </w:r>
    </w:p>
    <w:p w14:paraId="2EDD1C2E" w14:textId="20DB4FD3" w:rsidR="006F02BB" w:rsidRPr="000A6123" w:rsidRDefault="006F02B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38EE1C8" w14:textId="77777777" w:rsidR="006F02BB" w:rsidRPr="000A6123" w:rsidRDefault="006F02B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B78A406" w14:textId="77777777" w:rsidR="006F02BB" w:rsidRPr="000A6123" w:rsidRDefault="0000000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0A6123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2F448288" wp14:editId="725061B0">
            <wp:extent cx="5570220" cy="3357880"/>
            <wp:effectExtent l="0" t="0" r="0" b="0"/>
            <wp:docPr id="1516428651" name="图片 2" descr="C:/Users/霁一深/Desktop/数据 1.tif数据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28651" name="图片 2" descr="C:/Users/霁一深/Desktop/数据 1.tif数据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123">
        <w:rPr>
          <w:rFonts w:ascii="Times New Roman" w:hAnsi="Times New Roman" w:cs="Times New Roman" w:hint="eastAsia"/>
          <w:b/>
          <w:bCs/>
          <w:color w:val="000000" w:themeColor="text1"/>
        </w:rPr>
        <w:t xml:space="preserve"> Supplementary Figure 1. Kaplan</w:t>
      </w:r>
      <w:r w:rsidRPr="000A6123">
        <w:rPr>
          <w:rFonts w:ascii="Times New Roman" w:hAnsi="Times New Roman" w:cs="Times New Roman" w:hint="eastAsia"/>
          <w:b/>
          <w:bCs/>
          <w:color w:val="000000" w:themeColor="text1"/>
        </w:rPr>
        <w:t>–</w:t>
      </w:r>
      <w:r w:rsidRPr="000A6123">
        <w:rPr>
          <w:rFonts w:ascii="Times New Roman" w:hAnsi="Times New Roman" w:cs="Times New Roman" w:hint="eastAsia"/>
          <w:b/>
          <w:bCs/>
          <w:color w:val="000000" w:themeColor="text1"/>
        </w:rPr>
        <w:t>Meier survival curves stratified by timing of antibiotic initiation among patients undergoing urological intervention</w:t>
      </w:r>
    </w:p>
    <w:p w14:paraId="6E396972" w14:textId="77777777" w:rsidR="006F02BB" w:rsidRPr="000A6123" w:rsidRDefault="006F02BB">
      <w:pPr>
        <w:rPr>
          <w:rFonts w:ascii="Times New Roman" w:hAnsi="Times New Roman" w:cs="Times New Roman"/>
          <w:color w:val="000000" w:themeColor="text1"/>
        </w:rPr>
      </w:pPr>
    </w:p>
    <w:p w14:paraId="2B8F3081" w14:textId="77777777" w:rsidR="006F02BB" w:rsidRPr="000A6123" w:rsidRDefault="006F02BB">
      <w:pPr>
        <w:rPr>
          <w:rFonts w:ascii="Times New Roman" w:hAnsi="Times New Roman" w:cs="Times New Roman"/>
          <w:color w:val="000000" w:themeColor="text1"/>
        </w:rPr>
      </w:pPr>
    </w:p>
    <w:sectPr w:rsidR="006F02BB" w:rsidRPr="000A6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A82F" w14:textId="77777777" w:rsidR="006633F7" w:rsidRDefault="006633F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BDEB88E" w14:textId="77777777" w:rsidR="006633F7" w:rsidRDefault="006633F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B0F4" w14:textId="77777777" w:rsidR="006633F7" w:rsidRDefault="006633F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116BC72" w14:textId="77777777" w:rsidR="006633F7" w:rsidRDefault="006633F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9"/>
    <w:rsid w:val="000A3628"/>
    <w:rsid w:val="000A6123"/>
    <w:rsid w:val="000B05A2"/>
    <w:rsid w:val="000C0E91"/>
    <w:rsid w:val="00114741"/>
    <w:rsid w:val="00127920"/>
    <w:rsid w:val="00294C1A"/>
    <w:rsid w:val="002A63E3"/>
    <w:rsid w:val="002E5F76"/>
    <w:rsid w:val="002E6832"/>
    <w:rsid w:val="00320756"/>
    <w:rsid w:val="003460CB"/>
    <w:rsid w:val="0035636D"/>
    <w:rsid w:val="003F590C"/>
    <w:rsid w:val="00427525"/>
    <w:rsid w:val="00445553"/>
    <w:rsid w:val="004E35F8"/>
    <w:rsid w:val="005006A1"/>
    <w:rsid w:val="00570FE7"/>
    <w:rsid w:val="006633F7"/>
    <w:rsid w:val="006C2861"/>
    <w:rsid w:val="006F02BB"/>
    <w:rsid w:val="00791D25"/>
    <w:rsid w:val="007A77BC"/>
    <w:rsid w:val="00805F44"/>
    <w:rsid w:val="00894FD4"/>
    <w:rsid w:val="008B1927"/>
    <w:rsid w:val="008D0BCA"/>
    <w:rsid w:val="008D32A4"/>
    <w:rsid w:val="008D779F"/>
    <w:rsid w:val="00901E2C"/>
    <w:rsid w:val="00930F08"/>
    <w:rsid w:val="0094378A"/>
    <w:rsid w:val="009A4342"/>
    <w:rsid w:val="009C2F0A"/>
    <w:rsid w:val="009C7894"/>
    <w:rsid w:val="009F1EB5"/>
    <w:rsid w:val="00A15084"/>
    <w:rsid w:val="00A23689"/>
    <w:rsid w:val="00A23B0D"/>
    <w:rsid w:val="00A65FE6"/>
    <w:rsid w:val="00AA6651"/>
    <w:rsid w:val="00AD3606"/>
    <w:rsid w:val="00AF744A"/>
    <w:rsid w:val="00B16331"/>
    <w:rsid w:val="00B60191"/>
    <w:rsid w:val="00B660DF"/>
    <w:rsid w:val="00BE73D6"/>
    <w:rsid w:val="00C32399"/>
    <w:rsid w:val="00C45808"/>
    <w:rsid w:val="00CD7C06"/>
    <w:rsid w:val="00D034F5"/>
    <w:rsid w:val="00E00AA3"/>
    <w:rsid w:val="00E2301C"/>
    <w:rsid w:val="00ED33AB"/>
    <w:rsid w:val="00EE6E03"/>
    <w:rsid w:val="00EF4A9E"/>
    <w:rsid w:val="00F52E74"/>
    <w:rsid w:val="24327A2C"/>
    <w:rsid w:val="3B46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9D723"/>
  <w15:docId w15:val="{F6D161E6-DBF2-4B42-A9BE-D0C783AD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61">
    <w:name w:val="清单表 6 彩色1"/>
    <w:basedOn w:val="a1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35636D"/>
    <w:rPr>
      <w:rFonts w:ascii="Times New Roman" w:eastAsia="宋体" w:hAnsi="Times New Roman" w:cs="Times New Roman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振华 曾</dc:creator>
  <cp:lastModifiedBy>振华 曾</cp:lastModifiedBy>
  <cp:revision>17</cp:revision>
  <dcterms:created xsi:type="dcterms:W3CDTF">2025-12-22T09:40:00Z</dcterms:created>
  <dcterms:modified xsi:type="dcterms:W3CDTF">2026-05-22T00:33:00Z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eyJoZGlkIjoiN2YzNjBkOTgyNWQ1YTMxYzM3MzMwNWFiODNmOWIzYWMiLCJ1c2VySWQiOiI0ODk5NzE0OTEifQ==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549427592F31435485A6BA1B6D1A5037_12</vt:lpwstr>
  </property>
</Properties>
</file>