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4D835" w14:textId="3C49E90B" w:rsidR="008F1225" w:rsidRDefault="008F1225" w:rsidP="008F1225">
      <w:pPr>
        <w:jc w:val="both"/>
        <w:rPr>
          <w:b/>
          <w:bCs/>
        </w:rPr>
      </w:pPr>
      <w:r w:rsidRPr="008F1225">
        <w:rPr>
          <w:b/>
          <w:bCs/>
          <w:noProof/>
        </w:rPr>
        <w:drawing>
          <wp:inline distT="0" distB="0" distL="0" distR="0" wp14:anchorId="2DBCAA2C" wp14:editId="77928539">
            <wp:extent cx="5274310" cy="3152817"/>
            <wp:effectExtent l="0" t="0" r="2540" b="9525"/>
            <wp:docPr id="61936408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52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4030FE" w14:textId="77777777" w:rsidR="00A65201" w:rsidRDefault="008F1225" w:rsidP="008F1225">
      <w:pPr>
        <w:jc w:val="both"/>
        <w:rPr>
          <w:rFonts w:hint="eastAsia"/>
        </w:rPr>
        <w:sectPr w:rsidR="00A6520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hint="eastAsia"/>
          <w:b/>
          <w:bCs/>
        </w:rPr>
        <w:t xml:space="preserve">Supplementary </w:t>
      </w:r>
      <w:r w:rsidRPr="008F1225">
        <w:rPr>
          <w:b/>
          <w:bCs/>
        </w:rPr>
        <w:t>Figure 1. Temporal profile of mean systolic blood pressure according to 90-day functional outcome.</w:t>
      </w:r>
      <w:r w:rsidRPr="008F1225">
        <w:br/>
        <w:t>Group-specific mean systolic blood pressure trajectories are shown for patients with favorable and unfavorable 90-day functional outcomes. Favorable outcome was defined as a modified Rankin Scale (</w:t>
      </w:r>
      <w:proofErr w:type="spellStart"/>
      <w:r w:rsidRPr="008F1225">
        <w:t>mRS</w:t>
      </w:r>
      <w:proofErr w:type="spellEnd"/>
      <w:r w:rsidRPr="008F1225">
        <w:t xml:space="preserve">) score of 0–2 and unfavorable outcome as an </w:t>
      </w:r>
      <w:proofErr w:type="spellStart"/>
      <w:r w:rsidRPr="008F1225">
        <w:t>mRS</w:t>
      </w:r>
      <w:proofErr w:type="spellEnd"/>
      <w:r w:rsidRPr="008F1225">
        <w:t xml:space="preserve"> score of 3–6 at 90 days. Blood pressure was assessed across the pre-thrombolysis period, during thrombolysis, and the 0–2 h, 2–6 h, 6–12 h, and 12–24 h post-thrombolysis time windows. Shaded areas represent 95% confidence intervals.</w:t>
      </w:r>
    </w:p>
    <w:p w14:paraId="62FDA502" w14:textId="77777777" w:rsidR="009D0439" w:rsidRPr="009D0439" w:rsidRDefault="009D0439" w:rsidP="009D0439">
      <w:pPr>
        <w:jc w:val="both"/>
        <w:rPr>
          <w:b/>
          <w:bCs/>
        </w:rPr>
      </w:pPr>
      <w:r w:rsidRPr="009D0439">
        <w:rPr>
          <w:b/>
          <w:bCs/>
        </w:rPr>
        <w:lastRenderedPageBreak/>
        <w:t>Supplementary Table S1. Sensitivity analyses of the association between mean systolic blood pressure at 0–2 h after thrombolysis and poor 90-day functional outcome under alternative sample restrictions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1"/>
        <w:gridCol w:w="1146"/>
        <w:gridCol w:w="1618"/>
        <w:gridCol w:w="1897"/>
        <w:gridCol w:w="674"/>
      </w:tblGrid>
      <w:tr w:rsidR="009D0439" w:rsidRPr="009D0439" w14:paraId="1387B9A7" w14:textId="77777777" w:rsidTr="009D043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7B03324" w14:textId="77777777" w:rsidR="009D0439" w:rsidRPr="009D0439" w:rsidRDefault="009D0439" w:rsidP="009D0439">
            <w:pPr>
              <w:jc w:val="both"/>
              <w:rPr>
                <w:b/>
                <w:bCs/>
              </w:rPr>
            </w:pPr>
            <w:r w:rsidRPr="009D0439">
              <w:rPr>
                <w:b/>
                <w:bCs/>
              </w:rPr>
              <w:t>Sensitivity analysis scenario</w:t>
            </w:r>
          </w:p>
        </w:tc>
        <w:tc>
          <w:tcPr>
            <w:tcW w:w="0" w:type="auto"/>
            <w:vAlign w:val="center"/>
            <w:hideMark/>
          </w:tcPr>
          <w:p w14:paraId="7DA6B7C1" w14:textId="77777777" w:rsidR="009D0439" w:rsidRPr="009D0439" w:rsidRDefault="009D0439" w:rsidP="009D0439">
            <w:pPr>
              <w:jc w:val="both"/>
              <w:rPr>
                <w:b/>
                <w:bCs/>
              </w:rPr>
            </w:pPr>
            <w:r w:rsidRPr="009D0439">
              <w:rPr>
                <w:b/>
                <w:bCs/>
              </w:rPr>
              <w:t>Analytic sample, n</w:t>
            </w:r>
          </w:p>
        </w:tc>
        <w:tc>
          <w:tcPr>
            <w:tcW w:w="0" w:type="auto"/>
            <w:vAlign w:val="center"/>
            <w:hideMark/>
          </w:tcPr>
          <w:p w14:paraId="7FE4527B" w14:textId="77777777" w:rsidR="009D0439" w:rsidRPr="009D0439" w:rsidRDefault="009D0439" w:rsidP="009D0439">
            <w:pPr>
              <w:jc w:val="both"/>
              <w:rPr>
                <w:b/>
                <w:bCs/>
              </w:rPr>
            </w:pPr>
            <w:r w:rsidRPr="009D0439">
              <w:rPr>
                <w:b/>
                <w:bCs/>
              </w:rPr>
              <w:t>Poor functional outcome, n (%)</w:t>
            </w:r>
          </w:p>
        </w:tc>
        <w:tc>
          <w:tcPr>
            <w:tcW w:w="0" w:type="auto"/>
            <w:vAlign w:val="center"/>
            <w:hideMark/>
          </w:tcPr>
          <w:p w14:paraId="753D441F" w14:textId="77777777" w:rsidR="009D0439" w:rsidRPr="009D0439" w:rsidRDefault="009D0439" w:rsidP="009D0439">
            <w:pPr>
              <w:jc w:val="both"/>
              <w:rPr>
                <w:b/>
                <w:bCs/>
              </w:rPr>
            </w:pPr>
            <w:r w:rsidRPr="009D0439">
              <w:rPr>
                <w:b/>
                <w:bCs/>
              </w:rPr>
              <w:t>Adjusted OR per 10-mmHg increase (95% CI)</w:t>
            </w:r>
          </w:p>
        </w:tc>
        <w:tc>
          <w:tcPr>
            <w:tcW w:w="0" w:type="auto"/>
            <w:vAlign w:val="center"/>
            <w:hideMark/>
          </w:tcPr>
          <w:p w14:paraId="4A6B5AD0" w14:textId="77777777" w:rsidR="009D0439" w:rsidRPr="009D0439" w:rsidRDefault="009D0439" w:rsidP="009D0439">
            <w:pPr>
              <w:jc w:val="both"/>
              <w:rPr>
                <w:b/>
                <w:bCs/>
              </w:rPr>
            </w:pPr>
            <w:r w:rsidRPr="009D0439">
              <w:rPr>
                <w:b/>
                <w:bCs/>
              </w:rPr>
              <w:t>P value</w:t>
            </w:r>
          </w:p>
        </w:tc>
      </w:tr>
      <w:tr w:rsidR="009D0439" w:rsidRPr="009D0439" w14:paraId="220925F1" w14:textId="77777777" w:rsidTr="009D043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E9F835" w14:textId="77777777" w:rsidR="009D0439" w:rsidRPr="009D0439" w:rsidRDefault="009D0439" w:rsidP="009D0439">
            <w:pPr>
              <w:jc w:val="both"/>
            </w:pPr>
            <w:r w:rsidRPr="009D0439">
              <w:t>Primary analysis</w:t>
            </w:r>
          </w:p>
        </w:tc>
        <w:tc>
          <w:tcPr>
            <w:tcW w:w="0" w:type="auto"/>
            <w:vAlign w:val="center"/>
            <w:hideMark/>
          </w:tcPr>
          <w:p w14:paraId="22E40078" w14:textId="77777777" w:rsidR="009D0439" w:rsidRPr="009D0439" w:rsidRDefault="009D0439" w:rsidP="009D0439">
            <w:pPr>
              <w:jc w:val="both"/>
            </w:pPr>
            <w:r w:rsidRPr="009D0439">
              <w:t>340</w:t>
            </w:r>
          </w:p>
        </w:tc>
        <w:tc>
          <w:tcPr>
            <w:tcW w:w="0" w:type="auto"/>
            <w:vAlign w:val="center"/>
            <w:hideMark/>
          </w:tcPr>
          <w:p w14:paraId="1FF2AEB2" w14:textId="77777777" w:rsidR="009D0439" w:rsidRPr="009D0439" w:rsidRDefault="009D0439" w:rsidP="009D0439">
            <w:pPr>
              <w:jc w:val="both"/>
            </w:pPr>
            <w:r w:rsidRPr="009D0439">
              <w:t>126 (37.06)</w:t>
            </w:r>
          </w:p>
        </w:tc>
        <w:tc>
          <w:tcPr>
            <w:tcW w:w="0" w:type="auto"/>
            <w:vAlign w:val="center"/>
            <w:hideMark/>
          </w:tcPr>
          <w:p w14:paraId="3C24B7DC" w14:textId="77777777" w:rsidR="009D0439" w:rsidRPr="009D0439" w:rsidRDefault="009D0439" w:rsidP="009D0439">
            <w:pPr>
              <w:jc w:val="both"/>
            </w:pPr>
            <w:r w:rsidRPr="009D0439">
              <w:t>1.25 (1.06–1.49)</w:t>
            </w:r>
          </w:p>
        </w:tc>
        <w:tc>
          <w:tcPr>
            <w:tcW w:w="0" w:type="auto"/>
            <w:vAlign w:val="center"/>
            <w:hideMark/>
          </w:tcPr>
          <w:p w14:paraId="67AE3A8D" w14:textId="77777777" w:rsidR="009D0439" w:rsidRPr="009D0439" w:rsidRDefault="009D0439" w:rsidP="009D0439">
            <w:pPr>
              <w:jc w:val="both"/>
            </w:pPr>
            <w:r w:rsidRPr="009D0439">
              <w:t>0.010</w:t>
            </w:r>
          </w:p>
        </w:tc>
      </w:tr>
      <w:tr w:rsidR="009D0439" w:rsidRPr="009D0439" w14:paraId="018B8218" w14:textId="77777777" w:rsidTr="009D043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01458C" w14:textId="77777777" w:rsidR="009D0439" w:rsidRPr="009D0439" w:rsidRDefault="009D0439" w:rsidP="009D0439">
            <w:pPr>
              <w:jc w:val="both"/>
            </w:pPr>
            <w:r w:rsidRPr="009D0439">
              <w:t>Excluding patients with fewer than 3 post-thrombolysis SBP measurements</w:t>
            </w:r>
          </w:p>
        </w:tc>
        <w:tc>
          <w:tcPr>
            <w:tcW w:w="0" w:type="auto"/>
            <w:vAlign w:val="center"/>
            <w:hideMark/>
          </w:tcPr>
          <w:p w14:paraId="4FD5F223" w14:textId="77777777" w:rsidR="009D0439" w:rsidRPr="009D0439" w:rsidRDefault="009D0439" w:rsidP="009D0439">
            <w:pPr>
              <w:jc w:val="both"/>
            </w:pPr>
            <w:r w:rsidRPr="009D0439">
              <w:t>321</w:t>
            </w:r>
          </w:p>
        </w:tc>
        <w:tc>
          <w:tcPr>
            <w:tcW w:w="0" w:type="auto"/>
            <w:vAlign w:val="center"/>
            <w:hideMark/>
          </w:tcPr>
          <w:p w14:paraId="5DB7003B" w14:textId="77777777" w:rsidR="009D0439" w:rsidRPr="009D0439" w:rsidRDefault="009D0439" w:rsidP="009D0439">
            <w:pPr>
              <w:jc w:val="both"/>
            </w:pPr>
            <w:r w:rsidRPr="009D0439">
              <w:t>117 (36.45)</w:t>
            </w:r>
          </w:p>
        </w:tc>
        <w:tc>
          <w:tcPr>
            <w:tcW w:w="0" w:type="auto"/>
            <w:vAlign w:val="center"/>
            <w:hideMark/>
          </w:tcPr>
          <w:p w14:paraId="5090B744" w14:textId="77777777" w:rsidR="009D0439" w:rsidRPr="009D0439" w:rsidRDefault="009D0439" w:rsidP="009D0439">
            <w:pPr>
              <w:jc w:val="both"/>
            </w:pPr>
            <w:r w:rsidRPr="009D0439">
              <w:t>1.24 (1.04–1.48)</w:t>
            </w:r>
          </w:p>
        </w:tc>
        <w:tc>
          <w:tcPr>
            <w:tcW w:w="0" w:type="auto"/>
            <w:vAlign w:val="center"/>
            <w:hideMark/>
          </w:tcPr>
          <w:p w14:paraId="5AD391C1" w14:textId="77777777" w:rsidR="009D0439" w:rsidRPr="009D0439" w:rsidRDefault="009D0439" w:rsidP="009D0439">
            <w:pPr>
              <w:jc w:val="both"/>
            </w:pPr>
            <w:r w:rsidRPr="009D0439">
              <w:t>0.015</w:t>
            </w:r>
          </w:p>
        </w:tc>
      </w:tr>
      <w:tr w:rsidR="009D0439" w:rsidRPr="009D0439" w14:paraId="5F97105F" w14:textId="77777777" w:rsidTr="009D043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0A7230" w14:textId="77777777" w:rsidR="009D0439" w:rsidRPr="009D0439" w:rsidRDefault="009D0439" w:rsidP="009D0439">
            <w:pPr>
              <w:jc w:val="both"/>
            </w:pPr>
            <w:r w:rsidRPr="009D0439">
              <w:t>Excluding patients with any missing covariates in the fully adjusted model</w:t>
            </w:r>
          </w:p>
        </w:tc>
        <w:tc>
          <w:tcPr>
            <w:tcW w:w="0" w:type="auto"/>
            <w:vAlign w:val="center"/>
            <w:hideMark/>
          </w:tcPr>
          <w:p w14:paraId="0BCB805F" w14:textId="77777777" w:rsidR="009D0439" w:rsidRPr="009D0439" w:rsidRDefault="009D0439" w:rsidP="009D0439">
            <w:pPr>
              <w:jc w:val="both"/>
            </w:pPr>
            <w:r w:rsidRPr="009D0439">
              <w:t>312</w:t>
            </w:r>
          </w:p>
        </w:tc>
        <w:tc>
          <w:tcPr>
            <w:tcW w:w="0" w:type="auto"/>
            <w:vAlign w:val="center"/>
            <w:hideMark/>
          </w:tcPr>
          <w:p w14:paraId="19086ECB" w14:textId="77777777" w:rsidR="009D0439" w:rsidRPr="009D0439" w:rsidRDefault="009D0439" w:rsidP="009D0439">
            <w:pPr>
              <w:jc w:val="both"/>
            </w:pPr>
            <w:r w:rsidRPr="009D0439">
              <w:t>113 (36.22)</w:t>
            </w:r>
          </w:p>
        </w:tc>
        <w:tc>
          <w:tcPr>
            <w:tcW w:w="0" w:type="auto"/>
            <w:vAlign w:val="center"/>
            <w:hideMark/>
          </w:tcPr>
          <w:p w14:paraId="738F10A6" w14:textId="77777777" w:rsidR="009D0439" w:rsidRPr="009D0439" w:rsidRDefault="009D0439" w:rsidP="009D0439">
            <w:pPr>
              <w:jc w:val="both"/>
            </w:pPr>
            <w:r w:rsidRPr="009D0439">
              <w:t>1.23 (1.02–1.48)</w:t>
            </w:r>
          </w:p>
        </w:tc>
        <w:tc>
          <w:tcPr>
            <w:tcW w:w="0" w:type="auto"/>
            <w:vAlign w:val="center"/>
            <w:hideMark/>
          </w:tcPr>
          <w:p w14:paraId="527EA544" w14:textId="77777777" w:rsidR="009D0439" w:rsidRPr="009D0439" w:rsidRDefault="009D0439" w:rsidP="009D0439">
            <w:pPr>
              <w:jc w:val="both"/>
            </w:pPr>
            <w:r w:rsidRPr="009D0439">
              <w:t>0.028</w:t>
            </w:r>
          </w:p>
        </w:tc>
      </w:tr>
      <w:tr w:rsidR="009D0439" w:rsidRPr="009D0439" w14:paraId="263F078B" w14:textId="77777777" w:rsidTr="009D043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5BF137" w14:textId="77777777" w:rsidR="009D0439" w:rsidRPr="009D0439" w:rsidRDefault="009D0439" w:rsidP="009D0439">
            <w:pPr>
              <w:jc w:val="both"/>
            </w:pPr>
            <w:r w:rsidRPr="009D0439">
              <w:t>Excluding patients with baseline NIHSS score &gt;20</w:t>
            </w:r>
          </w:p>
        </w:tc>
        <w:tc>
          <w:tcPr>
            <w:tcW w:w="0" w:type="auto"/>
            <w:vAlign w:val="center"/>
            <w:hideMark/>
          </w:tcPr>
          <w:p w14:paraId="7F41A99D" w14:textId="77777777" w:rsidR="009D0439" w:rsidRPr="009D0439" w:rsidRDefault="009D0439" w:rsidP="009D0439">
            <w:pPr>
              <w:jc w:val="both"/>
            </w:pPr>
            <w:r w:rsidRPr="009D0439">
              <w:t>298</w:t>
            </w:r>
          </w:p>
        </w:tc>
        <w:tc>
          <w:tcPr>
            <w:tcW w:w="0" w:type="auto"/>
            <w:vAlign w:val="center"/>
            <w:hideMark/>
          </w:tcPr>
          <w:p w14:paraId="1514D5B0" w14:textId="77777777" w:rsidR="009D0439" w:rsidRPr="009D0439" w:rsidRDefault="009D0439" w:rsidP="009D0439">
            <w:pPr>
              <w:jc w:val="both"/>
            </w:pPr>
            <w:r w:rsidRPr="009D0439">
              <w:t>96 (32.21)</w:t>
            </w:r>
          </w:p>
        </w:tc>
        <w:tc>
          <w:tcPr>
            <w:tcW w:w="0" w:type="auto"/>
            <w:vAlign w:val="center"/>
            <w:hideMark/>
          </w:tcPr>
          <w:p w14:paraId="5B5678E8" w14:textId="77777777" w:rsidR="009D0439" w:rsidRPr="009D0439" w:rsidRDefault="009D0439" w:rsidP="009D0439">
            <w:pPr>
              <w:jc w:val="both"/>
            </w:pPr>
            <w:r w:rsidRPr="009D0439">
              <w:t>1.22 (1.01–1.47)</w:t>
            </w:r>
          </w:p>
        </w:tc>
        <w:tc>
          <w:tcPr>
            <w:tcW w:w="0" w:type="auto"/>
            <w:vAlign w:val="center"/>
            <w:hideMark/>
          </w:tcPr>
          <w:p w14:paraId="1F69506C" w14:textId="77777777" w:rsidR="009D0439" w:rsidRPr="009D0439" w:rsidRDefault="009D0439" w:rsidP="009D0439">
            <w:pPr>
              <w:jc w:val="both"/>
            </w:pPr>
            <w:r w:rsidRPr="009D0439">
              <w:t>0.036</w:t>
            </w:r>
          </w:p>
        </w:tc>
      </w:tr>
      <w:tr w:rsidR="009D0439" w:rsidRPr="009D0439" w14:paraId="564626D4" w14:textId="77777777" w:rsidTr="009D043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111DD6" w14:textId="77777777" w:rsidR="009D0439" w:rsidRPr="009D0439" w:rsidRDefault="009D0439" w:rsidP="009D0439">
            <w:pPr>
              <w:jc w:val="both"/>
            </w:pPr>
            <w:r w:rsidRPr="009D0439">
              <w:t>Excluding patients with 24-h intracranial hemorrhage</w:t>
            </w:r>
          </w:p>
        </w:tc>
        <w:tc>
          <w:tcPr>
            <w:tcW w:w="0" w:type="auto"/>
            <w:vAlign w:val="center"/>
            <w:hideMark/>
          </w:tcPr>
          <w:p w14:paraId="3AB27961" w14:textId="77777777" w:rsidR="009D0439" w:rsidRPr="009D0439" w:rsidRDefault="009D0439" w:rsidP="009D0439">
            <w:pPr>
              <w:jc w:val="both"/>
            </w:pPr>
            <w:r w:rsidRPr="009D0439">
              <w:t>296</w:t>
            </w:r>
          </w:p>
        </w:tc>
        <w:tc>
          <w:tcPr>
            <w:tcW w:w="0" w:type="auto"/>
            <w:vAlign w:val="center"/>
            <w:hideMark/>
          </w:tcPr>
          <w:p w14:paraId="6BE74186" w14:textId="77777777" w:rsidR="009D0439" w:rsidRPr="009D0439" w:rsidRDefault="009D0439" w:rsidP="009D0439">
            <w:pPr>
              <w:jc w:val="both"/>
            </w:pPr>
            <w:r w:rsidRPr="009D0439">
              <w:t>98 (33.11)</w:t>
            </w:r>
          </w:p>
        </w:tc>
        <w:tc>
          <w:tcPr>
            <w:tcW w:w="0" w:type="auto"/>
            <w:vAlign w:val="center"/>
            <w:hideMark/>
          </w:tcPr>
          <w:p w14:paraId="21C98FDE" w14:textId="77777777" w:rsidR="009D0439" w:rsidRPr="009D0439" w:rsidRDefault="009D0439" w:rsidP="009D0439">
            <w:pPr>
              <w:jc w:val="both"/>
            </w:pPr>
            <w:r w:rsidRPr="009D0439">
              <w:t>1.21 (1.01–1.46)</w:t>
            </w:r>
          </w:p>
        </w:tc>
        <w:tc>
          <w:tcPr>
            <w:tcW w:w="0" w:type="auto"/>
            <w:vAlign w:val="center"/>
            <w:hideMark/>
          </w:tcPr>
          <w:p w14:paraId="4CA0F790" w14:textId="77777777" w:rsidR="009D0439" w:rsidRPr="009D0439" w:rsidRDefault="009D0439" w:rsidP="009D0439">
            <w:pPr>
              <w:jc w:val="both"/>
            </w:pPr>
            <w:r w:rsidRPr="009D0439">
              <w:t>0.041</w:t>
            </w:r>
          </w:p>
        </w:tc>
      </w:tr>
      <w:tr w:rsidR="009D0439" w:rsidRPr="009D0439" w14:paraId="1622E229" w14:textId="77777777" w:rsidTr="009D043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4C72D9" w14:textId="77777777" w:rsidR="009D0439" w:rsidRPr="009D0439" w:rsidRDefault="009D0439" w:rsidP="009D0439">
            <w:pPr>
              <w:jc w:val="both"/>
            </w:pPr>
            <w:r w:rsidRPr="009D0439">
              <w:t>Excluding patients with cardioembolic stroke subtype</w:t>
            </w:r>
          </w:p>
        </w:tc>
        <w:tc>
          <w:tcPr>
            <w:tcW w:w="0" w:type="auto"/>
            <w:vAlign w:val="center"/>
            <w:hideMark/>
          </w:tcPr>
          <w:p w14:paraId="7BDED4E2" w14:textId="77777777" w:rsidR="009D0439" w:rsidRPr="009D0439" w:rsidRDefault="009D0439" w:rsidP="009D0439">
            <w:pPr>
              <w:jc w:val="both"/>
            </w:pPr>
            <w:r w:rsidRPr="009D0439">
              <w:t>266</w:t>
            </w:r>
          </w:p>
        </w:tc>
        <w:tc>
          <w:tcPr>
            <w:tcW w:w="0" w:type="auto"/>
            <w:vAlign w:val="center"/>
            <w:hideMark/>
          </w:tcPr>
          <w:p w14:paraId="2E99CB14" w14:textId="77777777" w:rsidR="009D0439" w:rsidRPr="009D0439" w:rsidRDefault="009D0439" w:rsidP="009D0439">
            <w:pPr>
              <w:jc w:val="both"/>
            </w:pPr>
            <w:r w:rsidRPr="009D0439">
              <w:t>85 (31.95)</w:t>
            </w:r>
          </w:p>
        </w:tc>
        <w:tc>
          <w:tcPr>
            <w:tcW w:w="0" w:type="auto"/>
            <w:vAlign w:val="center"/>
            <w:hideMark/>
          </w:tcPr>
          <w:p w14:paraId="5D10842C" w14:textId="77777777" w:rsidR="009D0439" w:rsidRPr="009D0439" w:rsidRDefault="009D0439" w:rsidP="009D0439">
            <w:pPr>
              <w:jc w:val="both"/>
            </w:pPr>
            <w:r w:rsidRPr="009D0439">
              <w:t>1.23 (1.02–1.49)</w:t>
            </w:r>
          </w:p>
        </w:tc>
        <w:tc>
          <w:tcPr>
            <w:tcW w:w="0" w:type="auto"/>
            <w:vAlign w:val="center"/>
            <w:hideMark/>
          </w:tcPr>
          <w:p w14:paraId="5DAB77E1" w14:textId="77777777" w:rsidR="009D0439" w:rsidRPr="009D0439" w:rsidRDefault="009D0439" w:rsidP="009D0439">
            <w:pPr>
              <w:jc w:val="both"/>
            </w:pPr>
            <w:r w:rsidRPr="009D0439">
              <w:t>0.031</w:t>
            </w:r>
          </w:p>
        </w:tc>
      </w:tr>
      <w:tr w:rsidR="009D0439" w:rsidRPr="009D0439" w14:paraId="4BAD6F2F" w14:textId="77777777" w:rsidTr="009D043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4AF631" w14:textId="77777777" w:rsidR="009D0439" w:rsidRPr="009D0439" w:rsidRDefault="009D0439" w:rsidP="009D0439">
            <w:pPr>
              <w:jc w:val="both"/>
            </w:pPr>
            <w:r w:rsidRPr="009D0439">
              <w:t>Excluding patients with onset-to-needle time &gt;240 min</w:t>
            </w:r>
          </w:p>
        </w:tc>
        <w:tc>
          <w:tcPr>
            <w:tcW w:w="0" w:type="auto"/>
            <w:vAlign w:val="center"/>
            <w:hideMark/>
          </w:tcPr>
          <w:p w14:paraId="7DD39196" w14:textId="77777777" w:rsidR="009D0439" w:rsidRPr="009D0439" w:rsidRDefault="009D0439" w:rsidP="009D0439">
            <w:pPr>
              <w:jc w:val="both"/>
            </w:pPr>
            <w:r w:rsidRPr="009D0439">
              <w:t>327</w:t>
            </w:r>
          </w:p>
        </w:tc>
        <w:tc>
          <w:tcPr>
            <w:tcW w:w="0" w:type="auto"/>
            <w:vAlign w:val="center"/>
            <w:hideMark/>
          </w:tcPr>
          <w:p w14:paraId="388514E3" w14:textId="77777777" w:rsidR="009D0439" w:rsidRPr="009D0439" w:rsidRDefault="009D0439" w:rsidP="009D0439">
            <w:pPr>
              <w:jc w:val="both"/>
            </w:pPr>
            <w:r w:rsidRPr="009D0439">
              <w:t>119 (36.39)</w:t>
            </w:r>
          </w:p>
        </w:tc>
        <w:tc>
          <w:tcPr>
            <w:tcW w:w="0" w:type="auto"/>
            <w:vAlign w:val="center"/>
            <w:hideMark/>
          </w:tcPr>
          <w:p w14:paraId="647F29CB" w14:textId="77777777" w:rsidR="009D0439" w:rsidRPr="009D0439" w:rsidRDefault="009D0439" w:rsidP="009D0439">
            <w:pPr>
              <w:jc w:val="both"/>
            </w:pPr>
            <w:r w:rsidRPr="009D0439">
              <w:t>1.24 (1.04–1.48)</w:t>
            </w:r>
          </w:p>
        </w:tc>
        <w:tc>
          <w:tcPr>
            <w:tcW w:w="0" w:type="auto"/>
            <w:vAlign w:val="center"/>
            <w:hideMark/>
          </w:tcPr>
          <w:p w14:paraId="7D734F12" w14:textId="77777777" w:rsidR="009D0439" w:rsidRPr="009D0439" w:rsidRDefault="009D0439" w:rsidP="009D0439">
            <w:pPr>
              <w:jc w:val="both"/>
            </w:pPr>
            <w:r w:rsidRPr="009D0439">
              <w:t>0.017</w:t>
            </w:r>
          </w:p>
        </w:tc>
      </w:tr>
    </w:tbl>
    <w:p w14:paraId="197C8BC1" w14:textId="77777777" w:rsidR="009D0439" w:rsidRPr="009D0439" w:rsidRDefault="009D0439" w:rsidP="009D0439">
      <w:pPr>
        <w:jc w:val="both"/>
      </w:pPr>
      <w:r w:rsidRPr="009D0439">
        <w:rPr>
          <w:b/>
          <w:bCs/>
        </w:rPr>
        <w:t>Note:</w:t>
      </w:r>
      <w:r w:rsidRPr="009D0439">
        <w:t xml:space="preserve"> Odds ratios were estimated using logistic regression with poor functional outcome at 90 days (modified Rankin Scale [</w:t>
      </w:r>
      <w:proofErr w:type="spellStart"/>
      <w:r w:rsidRPr="009D0439">
        <w:t>mRS</w:t>
      </w:r>
      <w:proofErr w:type="spellEnd"/>
      <w:r w:rsidRPr="009D0439">
        <w:t>] 3–6) as the dependent variable. Mean systolic blood pressure at 0–2 h after thrombolysis was modeled as a continuous variable, and effect estimates are presented per 10-mmHg increase. All models were adjusted for age, sex, baseline NIHSS score, hypertension, diabetes mellitus, atrial fibrillation, previous stroke, current smoking, onset-to-needle time, baseline glucose, and large vessel occlusion, unless the corresponding variable was excluded as part of the sensitivity restriction.</w:t>
      </w:r>
    </w:p>
    <w:p w14:paraId="5AFD0D5C" w14:textId="77777777" w:rsidR="009D0439" w:rsidRDefault="009D0439" w:rsidP="008F1225">
      <w:pPr>
        <w:jc w:val="both"/>
        <w:rPr>
          <w:rFonts w:hint="eastAsia"/>
        </w:rPr>
        <w:sectPr w:rsidR="009D043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99D6B58" w14:textId="77777777" w:rsidR="009D0439" w:rsidRPr="009D0439" w:rsidRDefault="009D0439" w:rsidP="009D0439">
      <w:pPr>
        <w:jc w:val="both"/>
        <w:rPr>
          <w:b/>
          <w:bCs/>
        </w:rPr>
      </w:pPr>
      <w:r w:rsidRPr="009D0439">
        <w:rPr>
          <w:b/>
          <w:bCs/>
        </w:rPr>
        <w:lastRenderedPageBreak/>
        <w:t>Supplementary Table S2. Additional adjusted models and alternative outcome definitions for the association between mean systolic blood pressure at 0–2 h after thrombolysis and functional outcome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17"/>
        <w:gridCol w:w="1151"/>
        <w:gridCol w:w="1338"/>
        <w:gridCol w:w="1915"/>
        <w:gridCol w:w="675"/>
      </w:tblGrid>
      <w:tr w:rsidR="009D0439" w:rsidRPr="009D0439" w14:paraId="47CFE600" w14:textId="77777777" w:rsidTr="009D043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72BC464" w14:textId="77777777" w:rsidR="009D0439" w:rsidRPr="009D0439" w:rsidRDefault="009D0439" w:rsidP="009D0439">
            <w:pPr>
              <w:jc w:val="both"/>
              <w:rPr>
                <w:b/>
                <w:bCs/>
              </w:rPr>
            </w:pPr>
            <w:r w:rsidRPr="009D0439">
              <w:rPr>
                <w:b/>
                <w:bCs/>
              </w:rPr>
              <w:t>Model / outcome definition</w:t>
            </w:r>
          </w:p>
        </w:tc>
        <w:tc>
          <w:tcPr>
            <w:tcW w:w="0" w:type="auto"/>
            <w:vAlign w:val="center"/>
            <w:hideMark/>
          </w:tcPr>
          <w:p w14:paraId="751A1DB8" w14:textId="77777777" w:rsidR="009D0439" w:rsidRPr="009D0439" w:rsidRDefault="009D0439" w:rsidP="009D0439">
            <w:pPr>
              <w:jc w:val="both"/>
              <w:rPr>
                <w:b/>
                <w:bCs/>
              </w:rPr>
            </w:pPr>
            <w:r w:rsidRPr="009D0439">
              <w:rPr>
                <w:b/>
                <w:bCs/>
              </w:rPr>
              <w:t>Analytic sample, n</w:t>
            </w:r>
          </w:p>
        </w:tc>
        <w:tc>
          <w:tcPr>
            <w:tcW w:w="0" w:type="auto"/>
            <w:vAlign w:val="center"/>
            <w:hideMark/>
          </w:tcPr>
          <w:p w14:paraId="05F3238B" w14:textId="77777777" w:rsidR="009D0439" w:rsidRPr="009D0439" w:rsidRDefault="009D0439" w:rsidP="009D0439">
            <w:pPr>
              <w:jc w:val="both"/>
              <w:rPr>
                <w:b/>
                <w:bCs/>
              </w:rPr>
            </w:pPr>
            <w:r w:rsidRPr="009D0439">
              <w:rPr>
                <w:b/>
                <w:bCs/>
              </w:rPr>
              <w:t>Outcome events, n (%)</w:t>
            </w:r>
          </w:p>
        </w:tc>
        <w:tc>
          <w:tcPr>
            <w:tcW w:w="0" w:type="auto"/>
            <w:vAlign w:val="center"/>
            <w:hideMark/>
          </w:tcPr>
          <w:p w14:paraId="5BA73D2C" w14:textId="77777777" w:rsidR="009D0439" w:rsidRPr="009D0439" w:rsidRDefault="009D0439" w:rsidP="009D0439">
            <w:pPr>
              <w:jc w:val="both"/>
              <w:rPr>
                <w:b/>
                <w:bCs/>
              </w:rPr>
            </w:pPr>
            <w:r w:rsidRPr="009D0439">
              <w:rPr>
                <w:b/>
                <w:bCs/>
              </w:rPr>
              <w:t>Adjusted OR per 10-mmHg increase (95% CI)</w:t>
            </w:r>
          </w:p>
        </w:tc>
        <w:tc>
          <w:tcPr>
            <w:tcW w:w="0" w:type="auto"/>
            <w:vAlign w:val="center"/>
            <w:hideMark/>
          </w:tcPr>
          <w:p w14:paraId="39E2AB3C" w14:textId="77777777" w:rsidR="009D0439" w:rsidRPr="009D0439" w:rsidRDefault="009D0439" w:rsidP="009D0439">
            <w:pPr>
              <w:jc w:val="both"/>
              <w:rPr>
                <w:b/>
                <w:bCs/>
              </w:rPr>
            </w:pPr>
            <w:r w:rsidRPr="009D0439">
              <w:rPr>
                <w:b/>
                <w:bCs/>
              </w:rPr>
              <w:t>P value</w:t>
            </w:r>
          </w:p>
        </w:tc>
      </w:tr>
      <w:tr w:rsidR="009D0439" w:rsidRPr="009D0439" w14:paraId="7236EBDF" w14:textId="77777777" w:rsidTr="009D043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B7799A" w14:textId="77777777" w:rsidR="009D0439" w:rsidRPr="009D0439" w:rsidRDefault="009D0439" w:rsidP="009D0439">
            <w:pPr>
              <w:jc w:val="both"/>
            </w:pPr>
            <w:r w:rsidRPr="009D0439">
              <w:rPr>
                <w:b/>
                <w:bCs/>
              </w:rPr>
              <w:t>Additional adjustment models</w:t>
            </w:r>
          </w:p>
        </w:tc>
        <w:tc>
          <w:tcPr>
            <w:tcW w:w="0" w:type="auto"/>
            <w:vAlign w:val="center"/>
            <w:hideMark/>
          </w:tcPr>
          <w:p w14:paraId="52C0B620" w14:textId="77777777" w:rsidR="009D0439" w:rsidRPr="009D0439" w:rsidRDefault="009D0439" w:rsidP="009D0439">
            <w:pPr>
              <w:jc w:val="both"/>
            </w:pPr>
          </w:p>
        </w:tc>
        <w:tc>
          <w:tcPr>
            <w:tcW w:w="0" w:type="auto"/>
            <w:vAlign w:val="center"/>
            <w:hideMark/>
          </w:tcPr>
          <w:p w14:paraId="4617D7C5" w14:textId="77777777" w:rsidR="009D0439" w:rsidRPr="009D0439" w:rsidRDefault="009D0439" w:rsidP="009D0439">
            <w:pPr>
              <w:jc w:val="both"/>
            </w:pPr>
          </w:p>
        </w:tc>
        <w:tc>
          <w:tcPr>
            <w:tcW w:w="0" w:type="auto"/>
            <w:vAlign w:val="center"/>
            <w:hideMark/>
          </w:tcPr>
          <w:p w14:paraId="1BBD7ADC" w14:textId="77777777" w:rsidR="009D0439" w:rsidRPr="009D0439" w:rsidRDefault="009D0439" w:rsidP="009D0439">
            <w:pPr>
              <w:jc w:val="both"/>
            </w:pPr>
          </w:p>
        </w:tc>
        <w:tc>
          <w:tcPr>
            <w:tcW w:w="0" w:type="auto"/>
            <w:vAlign w:val="center"/>
            <w:hideMark/>
          </w:tcPr>
          <w:p w14:paraId="4F1EF8AD" w14:textId="77777777" w:rsidR="009D0439" w:rsidRPr="009D0439" w:rsidRDefault="009D0439" w:rsidP="009D0439">
            <w:pPr>
              <w:jc w:val="both"/>
            </w:pPr>
          </w:p>
        </w:tc>
      </w:tr>
      <w:tr w:rsidR="009D0439" w:rsidRPr="009D0439" w14:paraId="61A34501" w14:textId="77777777" w:rsidTr="009D043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03C0D9" w14:textId="77777777" w:rsidR="009D0439" w:rsidRPr="009D0439" w:rsidRDefault="009D0439" w:rsidP="009D0439">
            <w:pPr>
              <w:jc w:val="both"/>
            </w:pPr>
            <w:r w:rsidRPr="009D0439">
              <w:t>Model 1: age and sex adjusted</w:t>
            </w:r>
          </w:p>
        </w:tc>
        <w:tc>
          <w:tcPr>
            <w:tcW w:w="0" w:type="auto"/>
            <w:vAlign w:val="center"/>
            <w:hideMark/>
          </w:tcPr>
          <w:p w14:paraId="6B0A21F7" w14:textId="77777777" w:rsidR="009D0439" w:rsidRPr="009D0439" w:rsidRDefault="009D0439" w:rsidP="009D0439">
            <w:pPr>
              <w:jc w:val="both"/>
            </w:pPr>
            <w:r w:rsidRPr="009D0439">
              <w:t>340</w:t>
            </w:r>
          </w:p>
        </w:tc>
        <w:tc>
          <w:tcPr>
            <w:tcW w:w="0" w:type="auto"/>
            <w:vAlign w:val="center"/>
            <w:hideMark/>
          </w:tcPr>
          <w:p w14:paraId="7EC5F876" w14:textId="77777777" w:rsidR="009D0439" w:rsidRPr="009D0439" w:rsidRDefault="009D0439" w:rsidP="009D0439">
            <w:pPr>
              <w:jc w:val="both"/>
            </w:pPr>
            <w:r w:rsidRPr="009D0439">
              <w:t>126 (37.06)</w:t>
            </w:r>
          </w:p>
        </w:tc>
        <w:tc>
          <w:tcPr>
            <w:tcW w:w="0" w:type="auto"/>
            <w:vAlign w:val="center"/>
            <w:hideMark/>
          </w:tcPr>
          <w:p w14:paraId="0BD9D143" w14:textId="77777777" w:rsidR="009D0439" w:rsidRPr="009D0439" w:rsidRDefault="009D0439" w:rsidP="009D0439">
            <w:pPr>
              <w:jc w:val="both"/>
            </w:pPr>
            <w:r w:rsidRPr="009D0439">
              <w:t>1.31 (1.12–1.54)</w:t>
            </w:r>
          </w:p>
        </w:tc>
        <w:tc>
          <w:tcPr>
            <w:tcW w:w="0" w:type="auto"/>
            <w:vAlign w:val="center"/>
            <w:hideMark/>
          </w:tcPr>
          <w:p w14:paraId="3E3DBDB3" w14:textId="77777777" w:rsidR="009D0439" w:rsidRPr="009D0439" w:rsidRDefault="009D0439" w:rsidP="009D0439">
            <w:pPr>
              <w:jc w:val="both"/>
            </w:pPr>
            <w:r w:rsidRPr="009D0439">
              <w:t>0.001</w:t>
            </w:r>
          </w:p>
        </w:tc>
      </w:tr>
      <w:tr w:rsidR="009D0439" w:rsidRPr="009D0439" w14:paraId="41A3E82C" w14:textId="77777777" w:rsidTr="009D043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9B346B" w14:textId="77777777" w:rsidR="009D0439" w:rsidRPr="009D0439" w:rsidRDefault="009D0439" w:rsidP="009D0439">
            <w:pPr>
              <w:jc w:val="both"/>
            </w:pPr>
            <w:r w:rsidRPr="009D0439">
              <w:t>Model 2: additionally adjusted for baseline NIHSS score and onset-to-needle time</w:t>
            </w:r>
          </w:p>
        </w:tc>
        <w:tc>
          <w:tcPr>
            <w:tcW w:w="0" w:type="auto"/>
            <w:vAlign w:val="center"/>
            <w:hideMark/>
          </w:tcPr>
          <w:p w14:paraId="1036CCC8" w14:textId="77777777" w:rsidR="009D0439" w:rsidRPr="009D0439" w:rsidRDefault="009D0439" w:rsidP="009D0439">
            <w:pPr>
              <w:jc w:val="both"/>
            </w:pPr>
            <w:r w:rsidRPr="009D0439">
              <w:t>340</w:t>
            </w:r>
          </w:p>
        </w:tc>
        <w:tc>
          <w:tcPr>
            <w:tcW w:w="0" w:type="auto"/>
            <w:vAlign w:val="center"/>
            <w:hideMark/>
          </w:tcPr>
          <w:p w14:paraId="215ADB51" w14:textId="77777777" w:rsidR="009D0439" w:rsidRPr="009D0439" w:rsidRDefault="009D0439" w:rsidP="009D0439">
            <w:pPr>
              <w:jc w:val="both"/>
            </w:pPr>
            <w:r w:rsidRPr="009D0439">
              <w:t>126 (37.06)</w:t>
            </w:r>
          </w:p>
        </w:tc>
        <w:tc>
          <w:tcPr>
            <w:tcW w:w="0" w:type="auto"/>
            <w:vAlign w:val="center"/>
            <w:hideMark/>
          </w:tcPr>
          <w:p w14:paraId="359C70EB" w14:textId="77777777" w:rsidR="009D0439" w:rsidRPr="009D0439" w:rsidRDefault="009D0439" w:rsidP="009D0439">
            <w:pPr>
              <w:jc w:val="both"/>
            </w:pPr>
            <w:r w:rsidRPr="009D0439">
              <w:t>1.27 (1.08–1.50)</w:t>
            </w:r>
          </w:p>
        </w:tc>
        <w:tc>
          <w:tcPr>
            <w:tcW w:w="0" w:type="auto"/>
            <w:vAlign w:val="center"/>
            <w:hideMark/>
          </w:tcPr>
          <w:p w14:paraId="4DA4AD94" w14:textId="77777777" w:rsidR="009D0439" w:rsidRPr="009D0439" w:rsidRDefault="009D0439" w:rsidP="009D0439">
            <w:pPr>
              <w:jc w:val="both"/>
            </w:pPr>
            <w:r w:rsidRPr="009D0439">
              <w:t>0.004</w:t>
            </w:r>
          </w:p>
        </w:tc>
      </w:tr>
      <w:tr w:rsidR="009D0439" w:rsidRPr="009D0439" w14:paraId="6D4F20DF" w14:textId="77777777" w:rsidTr="009D043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0EBEEB" w14:textId="77777777" w:rsidR="009D0439" w:rsidRPr="009D0439" w:rsidRDefault="009D0439" w:rsidP="009D0439">
            <w:pPr>
              <w:jc w:val="both"/>
            </w:pPr>
            <w:r w:rsidRPr="009D0439">
              <w:t>Model 3: primary fully adjusted model</w:t>
            </w:r>
          </w:p>
        </w:tc>
        <w:tc>
          <w:tcPr>
            <w:tcW w:w="0" w:type="auto"/>
            <w:vAlign w:val="center"/>
            <w:hideMark/>
          </w:tcPr>
          <w:p w14:paraId="78BF1C87" w14:textId="77777777" w:rsidR="009D0439" w:rsidRPr="009D0439" w:rsidRDefault="009D0439" w:rsidP="009D0439">
            <w:pPr>
              <w:jc w:val="both"/>
            </w:pPr>
            <w:r w:rsidRPr="009D0439">
              <w:t>340</w:t>
            </w:r>
          </w:p>
        </w:tc>
        <w:tc>
          <w:tcPr>
            <w:tcW w:w="0" w:type="auto"/>
            <w:vAlign w:val="center"/>
            <w:hideMark/>
          </w:tcPr>
          <w:p w14:paraId="56B65B1B" w14:textId="77777777" w:rsidR="009D0439" w:rsidRPr="009D0439" w:rsidRDefault="009D0439" w:rsidP="009D0439">
            <w:pPr>
              <w:jc w:val="both"/>
            </w:pPr>
            <w:r w:rsidRPr="009D0439">
              <w:t>126 (37.06)</w:t>
            </w:r>
          </w:p>
        </w:tc>
        <w:tc>
          <w:tcPr>
            <w:tcW w:w="0" w:type="auto"/>
            <w:vAlign w:val="center"/>
            <w:hideMark/>
          </w:tcPr>
          <w:p w14:paraId="2CD20296" w14:textId="77777777" w:rsidR="009D0439" w:rsidRPr="009D0439" w:rsidRDefault="009D0439" w:rsidP="009D0439">
            <w:pPr>
              <w:jc w:val="both"/>
            </w:pPr>
            <w:r w:rsidRPr="009D0439">
              <w:t>1.25 (1.06–1.49)</w:t>
            </w:r>
          </w:p>
        </w:tc>
        <w:tc>
          <w:tcPr>
            <w:tcW w:w="0" w:type="auto"/>
            <w:vAlign w:val="center"/>
            <w:hideMark/>
          </w:tcPr>
          <w:p w14:paraId="0FB9FDED" w14:textId="77777777" w:rsidR="009D0439" w:rsidRPr="009D0439" w:rsidRDefault="009D0439" w:rsidP="009D0439">
            <w:pPr>
              <w:jc w:val="both"/>
            </w:pPr>
            <w:r w:rsidRPr="009D0439">
              <w:t>0.010</w:t>
            </w:r>
          </w:p>
        </w:tc>
      </w:tr>
      <w:tr w:rsidR="009D0439" w:rsidRPr="009D0439" w14:paraId="098529BE" w14:textId="77777777" w:rsidTr="009D043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ACF88F" w14:textId="77777777" w:rsidR="009D0439" w:rsidRPr="009D0439" w:rsidRDefault="009D0439" w:rsidP="009D0439">
            <w:pPr>
              <w:jc w:val="both"/>
            </w:pPr>
            <w:r w:rsidRPr="009D0439">
              <w:t>Model 4: additionally adjusted for baseline SBP and baseline DBP</w:t>
            </w:r>
          </w:p>
        </w:tc>
        <w:tc>
          <w:tcPr>
            <w:tcW w:w="0" w:type="auto"/>
            <w:vAlign w:val="center"/>
            <w:hideMark/>
          </w:tcPr>
          <w:p w14:paraId="79C84F00" w14:textId="77777777" w:rsidR="009D0439" w:rsidRPr="009D0439" w:rsidRDefault="009D0439" w:rsidP="009D0439">
            <w:pPr>
              <w:jc w:val="both"/>
            </w:pPr>
            <w:r w:rsidRPr="009D0439">
              <w:t>340</w:t>
            </w:r>
          </w:p>
        </w:tc>
        <w:tc>
          <w:tcPr>
            <w:tcW w:w="0" w:type="auto"/>
            <w:vAlign w:val="center"/>
            <w:hideMark/>
          </w:tcPr>
          <w:p w14:paraId="148BB707" w14:textId="77777777" w:rsidR="009D0439" w:rsidRPr="009D0439" w:rsidRDefault="009D0439" w:rsidP="009D0439">
            <w:pPr>
              <w:jc w:val="both"/>
            </w:pPr>
            <w:r w:rsidRPr="009D0439">
              <w:t>126 (37.06)</w:t>
            </w:r>
          </w:p>
        </w:tc>
        <w:tc>
          <w:tcPr>
            <w:tcW w:w="0" w:type="auto"/>
            <w:vAlign w:val="center"/>
            <w:hideMark/>
          </w:tcPr>
          <w:p w14:paraId="4EF93D1E" w14:textId="77777777" w:rsidR="009D0439" w:rsidRPr="009D0439" w:rsidRDefault="009D0439" w:rsidP="009D0439">
            <w:pPr>
              <w:jc w:val="both"/>
            </w:pPr>
            <w:r w:rsidRPr="009D0439">
              <w:t>1.22 (1.02–1.47)</w:t>
            </w:r>
          </w:p>
        </w:tc>
        <w:tc>
          <w:tcPr>
            <w:tcW w:w="0" w:type="auto"/>
            <w:vAlign w:val="center"/>
            <w:hideMark/>
          </w:tcPr>
          <w:p w14:paraId="4AAA7CDE" w14:textId="77777777" w:rsidR="009D0439" w:rsidRPr="009D0439" w:rsidRDefault="009D0439" w:rsidP="009D0439">
            <w:pPr>
              <w:jc w:val="both"/>
            </w:pPr>
            <w:r w:rsidRPr="009D0439">
              <w:t>0.031</w:t>
            </w:r>
          </w:p>
        </w:tc>
      </w:tr>
      <w:tr w:rsidR="009D0439" w:rsidRPr="009D0439" w14:paraId="090810D8" w14:textId="77777777" w:rsidTr="009D043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9F1060" w14:textId="77777777" w:rsidR="009D0439" w:rsidRPr="009D0439" w:rsidRDefault="009D0439" w:rsidP="009D0439">
            <w:pPr>
              <w:jc w:val="both"/>
            </w:pPr>
            <w:r w:rsidRPr="009D0439">
              <w:t>Model 5: additionally adjusted for TOAST subtype and coronary artery disease</w:t>
            </w:r>
          </w:p>
        </w:tc>
        <w:tc>
          <w:tcPr>
            <w:tcW w:w="0" w:type="auto"/>
            <w:vAlign w:val="center"/>
            <w:hideMark/>
          </w:tcPr>
          <w:p w14:paraId="75440F1C" w14:textId="77777777" w:rsidR="009D0439" w:rsidRPr="009D0439" w:rsidRDefault="009D0439" w:rsidP="009D0439">
            <w:pPr>
              <w:jc w:val="both"/>
            </w:pPr>
            <w:r w:rsidRPr="009D0439">
              <w:t>340</w:t>
            </w:r>
          </w:p>
        </w:tc>
        <w:tc>
          <w:tcPr>
            <w:tcW w:w="0" w:type="auto"/>
            <w:vAlign w:val="center"/>
            <w:hideMark/>
          </w:tcPr>
          <w:p w14:paraId="4F049603" w14:textId="77777777" w:rsidR="009D0439" w:rsidRPr="009D0439" w:rsidRDefault="009D0439" w:rsidP="009D0439">
            <w:pPr>
              <w:jc w:val="both"/>
            </w:pPr>
            <w:r w:rsidRPr="009D0439">
              <w:t>126 (37.06)</w:t>
            </w:r>
          </w:p>
        </w:tc>
        <w:tc>
          <w:tcPr>
            <w:tcW w:w="0" w:type="auto"/>
            <w:vAlign w:val="center"/>
            <w:hideMark/>
          </w:tcPr>
          <w:p w14:paraId="7DFBE034" w14:textId="77777777" w:rsidR="009D0439" w:rsidRPr="009D0439" w:rsidRDefault="009D0439" w:rsidP="009D0439">
            <w:pPr>
              <w:jc w:val="both"/>
            </w:pPr>
            <w:r w:rsidRPr="009D0439">
              <w:t>1.21 (1.01–1.46)</w:t>
            </w:r>
          </w:p>
        </w:tc>
        <w:tc>
          <w:tcPr>
            <w:tcW w:w="0" w:type="auto"/>
            <w:vAlign w:val="center"/>
            <w:hideMark/>
          </w:tcPr>
          <w:p w14:paraId="42D53968" w14:textId="77777777" w:rsidR="009D0439" w:rsidRPr="009D0439" w:rsidRDefault="009D0439" w:rsidP="009D0439">
            <w:pPr>
              <w:jc w:val="both"/>
            </w:pPr>
            <w:r w:rsidRPr="009D0439">
              <w:t>0.038</w:t>
            </w:r>
          </w:p>
        </w:tc>
      </w:tr>
      <w:tr w:rsidR="009D0439" w:rsidRPr="009D0439" w14:paraId="7894A2FE" w14:textId="77777777" w:rsidTr="009D043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7ADB94" w14:textId="77777777" w:rsidR="009D0439" w:rsidRPr="009D0439" w:rsidRDefault="009D0439" w:rsidP="009D0439">
            <w:pPr>
              <w:jc w:val="both"/>
            </w:pPr>
            <w:r w:rsidRPr="009D0439">
              <w:rPr>
                <w:b/>
                <w:bCs/>
              </w:rPr>
              <w:t>Alternative outcome definitions</w:t>
            </w:r>
          </w:p>
        </w:tc>
        <w:tc>
          <w:tcPr>
            <w:tcW w:w="0" w:type="auto"/>
            <w:vAlign w:val="center"/>
            <w:hideMark/>
          </w:tcPr>
          <w:p w14:paraId="25467D95" w14:textId="77777777" w:rsidR="009D0439" w:rsidRPr="009D0439" w:rsidRDefault="009D0439" w:rsidP="009D0439">
            <w:pPr>
              <w:jc w:val="both"/>
            </w:pPr>
          </w:p>
        </w:tc>
        <w:tc>
          <w:tcPr>
            <w:tcW w:w="0" w:type="auto"/>
            <w:vAlign w:val="center"/>
            <w:hideMark/>
          </w:tcPr>
          <w:p w14:paraId="1C4C752E" w14:textId="77777777" w:rsidR="009D0439" w:rsidRPr="009D0439" w:rsidRDefault="009D0439" w:rsidP="009D0439">
            <w:pPr>
              <w:jc w:val="both"/>
            </w:pPr>
          </w:p>
        </w:tc>
        <w:tc>
          <w:tcPr>
            <w:tcW w:w="0" w:type="auto"/>
            <w:vAlign w:val="center"/>
            <w:hideMark/>
          </w:tcPr>
          <w:p w14:paraId="3C381418" w14:textId="77777777" w:rsidR="009D0439" w:rsidRPr="009D0439" w:rsidRDefault="009D0439" w:rsidP="009D0439">
            <w:pPr>
              <w:jc w:val="both"/>
            </w:pPr>
          </w:p>
        </w:tc>
        <w:tc>
          <w:tcPr>
            <w:tcW w:w="0" w:type="auto"/>
            <w:vAlign w:val="center"/>
            <w:hideMark/>
          </w:tcPr>
          <w:p w14:paraId="4E67A0E7" w14:textId="77777777" w:rsidR="009D0439" w:rsidRPr="009D0439" w:rsidRDefault="009D0439" w:rsidP="009D0439">
            <w:pPr>
              <w:jc w:val="both"/>
            </w:pPr>
          </w:p>
        </w:tc>
      </w:tr>
      <w:tr w:rsidR="009D0439" w:rsidRPr="009D0439" w14:paraId="3EE26190" w14:textId="77777777" w:rsidTr="009D043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3DEBBF" w14:textId="77777777" w:rsidR="009D0439" w:rsidRPr="009D0439" w:rsidRDefault="009D0439" w:rsidP="009D0439">
            <w:pPr>
              <w:jc w:val="both"/>
            </w:pPr>
            <w:r w:rsidRPr="009D0439">
              <w:t xml:space="preserve">Unfavorable outcome defined as </w:t>
            </w:r>
            <w:proofErr w:type="spellStart"/>
            <w:r w:rsidRPr="009D0439">
              <w:t>mRS</w:t>
            </w:r>
            <w:proofErr w:type="spellEnd"/>
            <w:r w:rsidRPr="009D0439">
              <w:t xml:space="preserve"> 2–6 vs. 0–1</w:t>
            </w:r>
          </w:p>
        </w:tc>
        <w:tc>
          <w:tcPr>
            <w:tcW w:w="0" w:type="auto"/>
            <w:vAlign w:val="center"/>
            <w:hideMark/>
          </w:tcPr>
          <w:p w14:paraId="5789F9CB" w14:textId="77777777" w:rsidR="009D0439" w:rsidRPr="009D0439" w:rsidRDefault="009D0439" w:rsidP="009D0439">
            <w:pPr>
              <w:jc w:val="both"/>
            </w:pPr>
            <w:r w:rsidRPr="009D0439">
              <w:t>340</w:t>
            </w:r>
          </w:p>
        </w:tc>
        <w:tc>
          <w:tcPr>
            <w:tcW w:w="0" w:type="auto"/>
            <w:vAlign w:val="center"/>
            <w:hideMark/>
          </w:tcPr>
          <w:p w14:paraId="6340C0E1" w14:textId="77777777" w:rsidR="009D0439" w:rsidRPr="009D0439" w:rsidRDefault="009D0439" w:rsidP="009D0439">
            <w:pPr>
              <w:jc w:val="both"/>
            </w:pPr>
            <w:r w:rsidRPr="009D0439">
              <w:t>171 (50.29)</w:t>
            </w:r>
          </w:p>
        </w:tc>
        <w:tc>
          <w:tcPr>
            <w:tcW w:w="0" w:type="auto"/>
            <w:vAlign w:val="center"/>
            <w:hideMark/>
          </w:tcPr>
          <w:p w14:paraId="4634534D" w14:textId="77777777" w:rsidR="009D0439" w:rsidRPr="009D0439" w:rsidRDefault="009D0439" w:rsidP="009D0439">
            <w:pPr>
              <w:jc w:val="both"/>
            </w:pPr>
            <w:r w:rsidRPr="009D0439">
              <w:t>1.19 (1.02–1.40)</w:t>
            </w:r>
          </w:p>
        </w:tc>
        <w:tc>
          <w:tcPr>
            <w:tcW w:w="0" w:type="auto"/>
            <w:vAlign w:val="center"/>
            <w:hideMark/>
          </w:tcPr>
          <w:p w14:paraId="606C8976" w14:textId="77777777" w:rsidR="009D0439" w:rsidRPr="009D0439" w:rsidRDefault="009D0439" w:rsidP="009D0439">
            <w:pPr>
              <w:jc w:val="both"/>
            </w:pPr>
            <w:r w:rsidRPr="009D0439">
              <w:t>0.029</w:t>
            </w:r>
          </w:p>
        </w:tc>
      </w:tr>
      <w:tr w:rsidR="009D0439" w:rsidRPr="009D0439" w14:paraId="20DA01BF" w14:textId="77777777" w:rsidTr="009D043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C5A828" w14:textId="77777777" w:rsidR="009D0439" w:rsidRPr="009D0439" w:rsidRDefault="009D0439" w:rsidP="009D0439">
            <w:pPr>
              <w:jc w:val="both"/>
            </w:pPr>
            <w:r w:rsidRPr="009D0439">
              <w:t xml:space="preserve">Severe disability/death defined as </w:t>
            </w:r>
            <w:proofErr w:type="spellStart"/>
            <w:r w:rsidRPr="009D0439">
              <w:t>mRS</w:t>
            </w:r>
            <w:proofErr w:type="spellEnd"/>
            <w:r w:rsidRPr="009D0439">
              <w:t xml:space="preserve"> 4–6 vs. 0–3</w:t>
            </w:r>
          </w:p>
        </w:tc>
        <w:tc>
          <w:tcPr>
            <w:tcW w:w="0" w:type="auto"/>
            <w:vAlign w:val="center"/>
            <w:hideMark/>
          </w:tcPr>
          <w:p w14:paraId="72D0CE03" w14:textId="77777777" w:rsidR="009D0439" w:rsidRPr="009D0439" w:rsidRDefault="009D0439" w:rsidP="009D0439">
            <w:pPr>
              <w:jc w:val="both"/>
            </w:pPr>
            <w:r w:rsidRPr="009D0439">
              <w:t>340</w:t>
            </w:r>
          </w:p>
        </w:tc>
        <w:tc>
          <w:tcPr>
            <w:tcW w:w="0" w:type="auto"/>
            <w:vAlign w:val="center"/>
            <w:hideMark/>
          </w:tcPr>
          <w:p w14:paraId="4F7C2DDE" w14:textId="77777777" w:rsidR="009D0439" w:rsidRPr="009D0439" w:rsidRDefault="009D0439" w:rsidP="009D0439">
            <w:pPr>
              <w:jc w:val="both"/>
            </w:pPr>
            <w:r w:rsidRPr="009D0439">
              <w:t>72 (21.18)</w:t>
            </w:r>
          </w:p>
        </w:tc>
        <w:tc>
          <w:tcPr>
            <w:tcW w:w="0" w:type="auto"/>
            <w:vAlign w:val="center"/>
            <w:hideMark/>
          </w:tcPr>
          <w:p w14:paraId="69F88353" w14:textId="77777777" w:rsidR="009D0439" w:rsidRPr="009D0439" w:rsidRDefault="009D0439" w:rsidP="009D0439">
            <w:pPr>
              <w:jc w:val="both"/>
            </w:pPr>
            <w:r w:rsidRPr="009D0439">
              <w:t>1.28 (1.06–1.55)</w:t>
            </w:r>
          </w:p>
        </w:tc>
        <w:tc>
          <w:tcPr>
            <w:tcW w:w="0" w:type="auto"/>
            <w:vAlign w:val="center"/>
            <w:hideMark/>
          </w:tcPr>
          <w:p w14:paraId="7DD2F3A5" w14:textId="77777777" w:rsidR="009D0439" w:rsidRPr="009D0439" w:rsidRDefault="009D0439" w:rsidP="009D0439">
            <w:pPr>
              <w:jc w:val="both"/>
            </w:pPr>
            <w:r w:rsidRPr="009D0439">
              <w:t>0.011</w:t>
            </w:r>
          </w:p>
        </w:tc>
      </w:tr>
      <w:tr w:rsidR="009D0439" w:rsidRPr="009D0439" w14:paraId="37508481" w14:textId="77777777" w:rsidTr="009D043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81B927" w14:textId="77777777" w:rsidR="009D0439" w:rsidRPr="009D0439" w:rsidRDefault="009D0439" w:rsidP="009D0439">
            <w:pPr>
              <w:jc w:val="both"/>
            </w:pPr>
            <w:r w:rsidRPr="009D0439">
              <w:t xml:space="preserve">Ordinal </w:t>
            </w:r>
            <w:proofErr w:type="spellStart"/>
            <w:r w:rsidRPr="009D0439">
              <w:t>mRS</w:t>
            </w:r>
            <w:proofErr w:type="spellEnd"/>
            <w:r w:rsidRPr="009D0439">
              <w:t xml:space="preserve"> shift analysis (per 1-category increase in </w:t>
            </w:r>
            <w:proofErr w:type="spellStart"/>
            <w:proofErr w:type="gramStart"/>
            <w:r w:rsidRPr="009D0439">
              <w:t>mRS</w:t>
            </w:r>
            <w:proofErr w:type="spellEnd"/>
            <w:r w:rsidRPr="009D0439">
              <w:t>)*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19A8F2EC" w14:textId="77777777" w:rsidR="009D0439" w:rsidRPr="009D0439" w:rsidRDefault="009D0439" w:rsidP="009D0439">
            <w:pPr>
              <w:jc w:val="both"/>
            </w:pPr>
            <w:r w:rsidRPr="009D0439">
              <w:t>340</w:t>
            </w:r>
          </w:p>
        </w:tc>
        <w:tc>
          <w:tcPr>
            <w:tcW w:w="0" w:type="auto"/>
            <w:vAlign w:val="center"/>
            <w:hideMark/>
          </w:tcPr>
          <w:p w14:paraId="017C14D7" w14:textId="77777777" w:rsidR="009D0439" w:rsidRPr="009D0439" w:rsidRDefault="009D0439" w:rsidP="009D0439">
            <w:pPr>
              <w:jc w:val="both"/>
            </w:pPr>
            <w:r w:rsidRPr="009D0439">
              <w:t>—</w:t>
            </w:r>
          </w:p>
        </w:tc>
        <w:tc>
          <w:tcPr>
            <w:tcW w:w="0" w:type="auto"/>
            <w:vAlign w:val="center"/>
            <w:hideMark/>
          </w:tcPr>
          <w:p w14:paraId="10382C10" w14:textId="77777777" w:rsidR="009D0439" w:rsidRPr="009D0439" w:rsidRDefault="009D0439" w:rsidP="009D0439">
            <w:pPr>
              <w:jc w:val="both"/>
            </w:pPr>
            <w:r w:rsidRPr="009D0439">
              <w:t>1.17 (1.04–1.31)</w:t>
            </w:r>
          </w:p>
        </w:tc>
        <w:tc>
          <w:tcPr>
            <w:tcW w:w="0" w:type="auto"/>
            <w:vAlign w:val="center"/>
            <w:hideMark/>
          </w:tcPr>
          <w:p w14:paraId="55FF1EE1" w14:textId="77777777" w:rsidR="009D0439" w:rsidRPr="009D0439" w:rsidRDefault="009D0439" w:rsidP="009D0439">
            <w:pPr>
              <w:jc w:val="both"/>
            </w:pPr>
            <w:r w:rsidRPr="009D0439">
              <w:t>0.008</w:t>
            </w:r>
          </w:p>
        </w:tc>
      </w:tr>
    </w:tbl>
    <w:p w14:paraId="08F00787" w14:textId="77777777" w:rsidR="009D0439" w:rsidRPr="009D0439" w:rsidRDefault="009D0439" w:rsidP="009D0439">
      <w:pPr>
        <w:jc w:val="both"/>
      </w:pPr>
      <w:r w:rsidRPr="009D0439">
        <w:rPr>
          <w:b/>
          <w:bCs/>
        </w:rPr>
        <w:t>Note:</w:t>
      </w:r>
      <w:r w:rsidRPr="009D0439">
        <w:t xml:space="preserve"> Mean systolic blood pressure at 0–2 h after thrombolysis was modeled as a continuous variable, and effect estimates are presented per 10-mmHg increase. The primary fully adjusted model included age, sex, baseline National Institutes of Health Stroke Scale score, hypertension, diabetes mellitus, atrial fibrillation, previous stroke, </w:t>
      </w:r>
      <w:r w:rsidRPr="009D0439">
        <w:lastRenderedPageBreak/>
        <w:t>current smoking, onset-to-needle time, baseline glucose, and large vessel occlusion. For binary outcome definitions, odds ratios were estimated using logistic regression.</w:t>
      </w:r>
      <w:r w:rsidRPr="009D0439">
        <w:br/>
        <w:t xml:space="preserve">*For ordinal </w:t>
      </w:r>
      <w:proofErr w:type="spellStart"/>
      <w:r w:rsidRPr="009D0439">
        <w:t>mRS</w:t>
      </w:r>
      <w:proofErr w:type="spellEnd"/>
      <w:r w:rsidRPr="009D0439">
        <w:t xml:space="preserve"> shift analysis, the effect estimate represents the common odds ratio from an ordinal logistic regression model for a 1-category worsening in the 90-day </w:t>
      </w:r>
      <w:proofErr w:type="spellStart"/>
      <w:r w:rsidRPr="009D0439">
        <w:t>mRS</w:t>
      </w:r>
      <w:proofErr w:type="spellEnd"/>
      <w:r w:rsidRPr="009D0439">
        <w:t xml:space="preserve"> distribution.</w:t>
      </w:r>
    </w:p>
    <w:p w14:paraId="23DDA7D6" w14:textId="7C9F23C3" w:rsidR="00A76EFC" w:rsidRPr="009D0439" w:rsidRDefault="00A76EFC" w:rsidP="008F1225">
      <w:pPr>
        <w:jc w:val="both"/>
        <w:rPr>
          <w:rFonts w:hint="eastAsia"/>
        </w:rPr>
      </w:pPr>
    </w:p>
    <w:sectPr w:rsidR="00A76EFC" w:rsidRPr="009D04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DA6F5" w14:textId="77777777" w:rsidR="00144228" w:rsidRDefault="00144228" w:rsidP="008F1225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17178343" w14:textId="77777777" w:rsidR="00144228" w:rsidRDefault="00144228" w:rsidP="008F1225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46B9F" w14:textId="77777777" w:rsidR="00144228" w:rsidRDefault="00144228" w:rsidP="008F1225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32D803F2" w14:textId="77777777" w:rsidR="00144228" w:rsidRDefault="00144228" w:rsidP="008F1225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948"/>
    <w:rsid w:val="00144228"/>
    <w:rsid w:val="007C0948"/>
    <w:rsid w:val="007D05B8"/>
    <w:rsid w:val="008F1225"/>
    <w:rsid w:val="009D0439"/>
    <w:rsid w:val="00A65201"/>
    <w:rsid w:val="00A76EFC"/>
    <w:rsid w:val="00FC1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B86D0EB"/>
  <w15:chartTrackingRefBased/>
  <w15:docId w15:val="{B633E6D3-7C38-4BE2-BF5A-C3138868B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C094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09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094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094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094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0948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0948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0948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0948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094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C09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C09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C094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C0948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7C094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C094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C094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C094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C094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C09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C094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C094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C09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C094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C094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C094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C09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C094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C0948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F1225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8F1225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8F1225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8F122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F8672C-D0D7-4491-8CE7-001024C47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1086</Words>
  <Characters>2954</Characters>
  <Application>Microsoft Office Word</Application>
  <DocSecurity>0</DocSecurity>
  <Lines>147</Lines>
  <Paragraphs>134</Paragraphs>
  <ScaleCrop>false</ScaleCrop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超凡 耿</dc:creator>
  <cp:keywords/>
  <dc:description/>
  <cp:lastModifiedBy>超凡 耿</cp:lastModifiedBy>
  <cp:revision>3</cp:revision>
  <dcterms:created xsi:type="dcterms:W3CDTF">2026-03-17T10:56:00Z</dcterms:created>
  <dcterms:modified xsi:type="dcterms:W3CDTF">2026-03-17T11:12:00Z</dcterms:modified>
</cp:coreProperties>
</file>