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5097B5">
      <w:pPr>
        <w:spacing w:before="480" w:after="480" w:line="288" w:lineRule="auto"/>
        <w:ind w:left="0"/>
        <w:jc w:val="center"/>
        <w:rPr>
          <w:sz w:val="18"/>
          <w:szCs w:val="20"/>
        </w:rPr>
      </w:pPr>
      <w:bookmarkStart w:id="0" w:name="_GoBack"/>
      <w:bookmarkEnd w:id="0"/>
      <w:r>
        <w:rPr>
          <w:rFonts w:ascii="Arial" w:hAnsi="Arial" w:eastAsia="等线" w:cs="Arial"/>
          <w:b/>
          <w:sz w:val="44"/>
          <w:szCs w:val="20"/>
        </w:rPr>
        <w:t>The RECORD Statement: Checklist of Items (Extended from the STROBE Statement)</w:t>
      </w:r>
    </w:p>
    <w:tbl>
      <w:tblPr>
        <w:tblStyle w:val="2"/>
        <w:tblW w:w="8521" w:type="dxa"/>
        <w:jc w:val="center"/>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291"/>
        <w:gridCol w:w="1878"/>
        <w:gridCol w:w="1854"/>
        <w:gridCol w:w="3498"/>
      </w:tblGrid>
      <w:tr w14:paraId="327DB74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tblHeader/>
          <w:jc w:val="center"/>
        </w:trPr>
        <w:tc>
          <w:tcPr>
            <w:tcW w:w="1291" w:type="dxa"/>
            <w:tcMar>
              <w:top w:w="60" w:type="dxa"/>
              <w:left w:w="120" w:type="dxa"/>
              <w:bottom w:w="30" w:type="dxa"/>
              <w:right w:w="120" w:type="dxa"/>
            </w:tcMar>
            <w:vAlign w:val="center"/>
          </w:tcPr>
          <w:p w14:paraId="4792813A">
            <w:pPr>
              <w:snapToGrid w:val="0"/>
              <w:spacing w:before="120" w:after="120" w:line="240" w:lineRule="auto"/>
              <w:ind w:left="0" w:leftChars="0" w:right="0" w:rightChars="0" w:firstLine="0" w:firstLineChars="0"/>
              <w:jc w:val="center"/>
              <w:rPr>
                <w:rFonts w:hint="default" w:ascii="Times New Roman" w:hAnsi="Times New Roman" w:eastAsia="等线" w:cs="Times New Roman"/>
                <w:b/>
                <w:sz w:val="22"/>
              </w:rPr>
            </w:pPr>
            <w:r>
              <w:rPr>
                <w:rFonts w:hint="default" w:ascii="Times New Roman" w:hAnsi="Times New Roman" w:eastAsia="等线" w:cs="Times New Roman"/>
                <w:b/>
                <w:sz w:val="22"/>
              </w:rPr>
              <w:t>Item No.</w:t>
            </w:r>
          </w:p>
        </w:tc>
        <w:tc>
          <w:tcPr>
            <w:tcW w:w="1878" w:type="dxa"/>
            <w:tcMar>
              <w:top w:w="60" w:type="dxa"/>
              <w:left w:w="120" w:type="dxa"/>
              <w:bottom w:w="30" w:type="dxa"/>
              <w:right w:w="120" w:type="dxa"/>
            </w:tcMar>
            <w:vAlign w:val="center"/>
          </w:tcPr>
          <w:p w14:paraId="6FA7BB80">
            <w:pPr>
              <w:snapToGrid w:val="0"/>
              <w:spacing w:before="120" w:after="120" w:line="240" w:lineRule="auto"/>
              <w:ind w:left="0" w:leftChars="0" w:right="0" w:rightChars="0" w:firstLine="0" w:firstLineChars="0"/>
              <w:jc w:val="center"/>
              <w:rPr>
                <w:rFonts w:hint="default" w:ascii="Times New Roman" w:hAnsi="Times New Roman" w:eastAsia="等线" w:cs="Times New Roman"/>
                <w:b/>
                <w:sz w:val="22"/>
              </w:rPr>
            </w:pPr>
            <w:r>
              <w:rPr>
                <w:rFonts w:hint="default" w:ascii="Times New Roman" w:hAnsi="Times New Roman" w:eastAsia="等线" w:cs="Times New Roman"/>
                <w:b/>
                <w:sz w:val="22"/>
              </w:rPr>
              <w:t>STROBE Item</w:t>
            </w:r>
          </w:p>
        </w:tc>
        <w:tc>
          <w:tcPr>
            <w:tcW w:w="1854" w:type="dxa"/>
            <w:tcMar>
              <w:top w:w="60" w:type="dxa"/>
              <w:left w:w="120" w:type="dxa"/>
              <w:bottom w:w="30" w:type="dxa"/>
              <w:right w:w="120" w:type="dxa"/>
            </w:tcMar>
            <w:vAlign w:val="center"/>
          </w:tcPr>
          <w:p w14:paraId="4836BA75">
            <w:pPr>
              <w:snapToGrid w:val="0"/>
              <w:spacing w:before="120" w:after="120" w:line="240" w:lineRule="auto"/>
              <w:ind w:left="0" w:leftChars="0" w:right="0" w:rightChars="0" w:firstLine="0" w:firstLineChars="0"/>
              <w:jc w:val="center"/>
              <w:rPr>
                <w:rFonts w:hint="default" w:ascii="Times New Roman" w:hAnsi="Times New Roman" w:eastAsia="等线" w:cs="Times New Roman"/>
                <w:b/>
                <w:sz w:val="22"/>
              </w:rPr>
            </w:pPr>
            <w:r>
              <w:rPr>
                <w:rFonts w:hint="default" w:ascii="Times New Roman" w:hAnsi="Times New Roman" w:eastAsia="等线" w:cs="Times New Roman"/>
                <w:b/>
                <w:sz w:val="22"/>
              </w:rPr>
              <w:t>RECORD Item</w:t>
            </w:r>
          </w:p>
        </w:tc>
        <w:tc>
          <w:tcPr>
            <w:tcW w:w="3498" w:type="dxa"/>
            <w:tcMar>
              <w:top w:w="60" w:type="dxa"/>
              <w:left w:w="120" w:type="dxa"/>
              <w:bottom w:w="30" w:type="dxa"/>
              <w:right w:w="120" w:type="dxa"/>
            </w:tcMar>
            <w:vAlign w:val="center"/>
          </w:tcPr>
          <w:p w14:paraId="43C4AD49">
            <w:pPr>
              <w:snapToGrid w:val="0"/>
              <w:spacing w:before="120" w:after="120" w:line="240" w:lineRule="auto"/>
              <w:ind w:left="0" w:leftChars="0" w:right="0" w:rightChars="0" w:firstLine="0" w:firstLineChars="0"/>
              <w:jc w:val="center"/>
              <w:rPr>
                <w:rFonts w:hint="default" w:ascii="Times New Roman" w:hAnsi="Times New Roman" w:eastAsia="等线" w:cs="Times New Roman"/>
                <w:b/>
                <w:sz w:val="22"/>
              </w:rPr>
            </w:pPr>
            <w:r>
              <w:rPr>
                <w:rFonts w:hint="default" w:ascii="Times New Roman" w:hAnsi="Times New Roman" w:eastAsia="等线" w:cs="Times New Roman"/>
                <w:b/>
                <w:sz w:val="22"/>
              </w:rPr>
              <w:t>Check Results</w:t>
            </w:r>
          </w:p>
        </w:tc>
      </w:tr>
      <w:tr w14:paraId="5D6E535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1291" w:type="dxa"/>
            <w:tcMar>
              <w:top w:w="60" w:type="dxa"/>
              <w:left w:w="120" w:type="dxa"/>
              <w:bottom w:w="30" w:type="dxa"/>
              <w:right w:w="120" w:type="dxa"/>
            </w:tcMar>
            <w:vAlign w:val="center"/>
          </w:tcPr>
          <w:p w14:paraId="6EFF0875">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Title and Abstract</w:t>
            </w:r>
          </w:p>
        </w:tc>
        <w:tc>
          <w:tcPr>
            <w:tcW w:w="1878" w:type="dxa"/>
            <w:tcMar>
              <w:top w:w="60" w:type="dxa"/>
              <w:left w:w="120" w:type="dxa"/>
              <w:bottom w:w="30" w:type="dxa"/>
              <w:right w:w="120" w:type="dxa"/>
            </w:tcMar>
            <w:vAlign w:val="center"/>
          </w:tcPr>
          <w:p w14:paraId="049AD5DA">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(a) Use common terms to describe the study design in the title or abstract. (b) Provide a detailed and balanced summary of the study implementation process and findings in the abstract.</w:t>
            </w:r>
          </w:p>
        </w:tc>
        <w:tc>
          <w:tcPr>
            <w:tcW w:w="1854" w:type="dxa"/>
            <w:tcMar>
              <w:top w:w="60" w:type="dxa"/>
              <w:left w:w="120" w:type="dxa"/>
              <w:bottom w:w="30" w:type="dxa"/>
              <w:right w:w="120" w:type="dxa"/>
            </w:tcMar>
            <w:vAlign w:val="center"/>
          </w:tcPr>
          <w:p w14:paraId="58ED1190">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 xml:space="preserve">RECORD 1.1: Clearly specify the data type used in the title or abstract; if possible, indicate the name of the database. </w:t>
            </w:r>
            <w:r>
              <w:rPr>
                <w:rFonts w:hint="default" w:ascii="Times New Roman" w:hAnsi="Times New Roman" w:eastAsia="等线" w:cs="Times New Roman"/>
                <w:sz w:val="22"/>
              </w:rPr>
              <w:br w:type="textWrapping"/>
            </w:r>
            <w:r>
              <w:rPr>
                <w:rFonts w:hint="default" w:ascii="Times New Roman" w:hAnsi="Times New Roman" w:eastAsia="等线" w:cs="Times New Roman"/>
                <w:sz w:val="22"/>
              </w:rPr>
              <w:t xml:space="preserve">RECORD 1.2: If applicable, report the geographic region and time frame of the study in the title or abstract. </w:t>
            </w:r>
            <w:r>
              <w:rPr>
                <w:rFonts w:hint="default" w:ascii="Times New Roman" w:hAnsi="Times New Roman" w:eastAsia="等线" w:cs="Times New Roman"/>
                <w:sz w:val="22"/>
              </w:rPr>
              <w:br w:type="textWrapping"/>
            </w:r>
            <w:r>
              <w:rPr>
                <w:rFonts w:hint="default" w:ascii="Times New Roman" w:hAnsi="Times New Roman" w:eastAsia="等线" w:cs="Times New Roman"/>
                <w:sz w:val="22"/>
              </w:rPr>
              <w:t>RECORD 1.3: If the study involves cross-database linkage, clearly state this in the title or abstract.</w:t>
            </w:r>
          </w:p>
        </w:tc>
        <w:tc>
          <w:tcPr>
            <w:tcW w:w="3498" w:type="dxa"/>
            <w:tcMar>
              <w:top w:w="60" w:type="dxa"/>
              <w:left w:w="120" w:type="dxa"/>
              <w:bottom w:w="30" w:type="dxa"/>
              <w:right w:w="120" w:type="dxa"/>
            </w:tcMar>
            <w:vAlign w:val="center"/>
          </w:tcPr>
          <w:p w14:paraId="64694099">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(a) The title indicates "retrospective study"; the abstract provides a detailed description of the study implementation process (single-center, 10-year data, analysis dimensions) and core findings; (b) RECORD 1.1: The data type is routinely collected hospital inpatient data, with the database being the Hospital Information System (HIS); RECORD 1.2: The geographic region is Ningxia, and the time frame is 2013–2022; RECORD 1.3: No cross-database linkage.</w:t>
            </w:r>
          </w:p>
        </w:tc>
      </w:tr>
      <w:tr w14:paraId="407A1BF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1291" w:type="dxa"/>
            <w:tcMar>
              <w:top w:w="60" w:type="dxa"/>
              <w:left w:w="120" w:type="dxa"/>
              <w:bottom w:w="30" w:type="dxa"/>
              <w:right w:w="120" w:type="dxa"/>
            </w:tcMar>
            <w:vAlign w:val="center"/>
          </w:tcPr>
          <w:p w14:paraId="414625EA">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Background and Rationale</w:t>
            </w:r>
          </w:p>
        </w:tc>
        <w:tc>
          <w:tcPr>
            <w:tcW w:w="1878" w:type="dxa"/>
            <w:tcMar>
              <w:top w:w="60" w:type="dxa"/>
              <w:left w:w="120" w:type="dxa"/>
              <w:bottom w:w="30" w:type="dxa"/>
              <w:right w:w="120" w:type="dxa"/>
            </w:tcMar>
            <w:vAlign w:val="center"/>
          </w:tcPr>
          <w:p w14:paraId="2F5F3E11">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2. Elaborate on the scientific background and rationale for the reported study.</w:t>
            </w:r>
          </w:p>
        </w:tc>
        <w:tc>
          <w:tcPr>
            <w:tcW w:w="1854" w:type="dxa"/>
            <w:tcMar>
              <w:top w:w="60" w:type="dxa"/>
              <w:left w:w="120" w:type="dxa"/>
              <w:bottom w:w="30" w:type="dxa"/>
              <w:right w:w="120" w:type="dxa"/>
            </w:tcMar>
            <w:vAlign w:val="center"/>
          </w:tcPr>
          <w:p w14:paraId="5F83B746">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w:t>
            </w:r>
          </w:p>
        </w:tc>
        <w:tc>
          <w:tcPr>
            <w:tcW w:w="3498" w:type="dxa"/>
            <w:tcMar>
              <w:top w:w="60" w:type="dxa"/>
              <w:left w:w="120" w:type="dxa"/>
              <w:bottom w:w="30" w:type="dxa"/>
              <w:right w:w="120" w:type="dxa"/>
            </w:tcMar>
            <w:vAlign w:val="center"/>
          </w:tcPr>
          <w:p w14:paraId="74AF8F01">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Has elaborated on the impact of musculoskeletal injuries on military personnel's duty performance and combat readiness, as well as the research gap among the region-specific population (Ningxia Chinese People’s Armed Police Force [PAP] personnel), clarifying the scientific background and rationale of the study.</w:t>
            </w:r>
          </w:p>
        </w:tc>
      </w:tr>
      <w:tr w14:paraId="4602B8D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1291" w:type="dxa"/>
            <w:tcMar>
              <w:top w:w="60" w:type="dxa"/>
              <w:left w:w="120" w:type="dxa"/>
              <w:bottom w:w="30" w:type="dxa"/>
              <w:right w:w="120" w:type="dxa"/>
            </w:tcMar>
            <w:vAlign w:val="center"/>
          </w:tcPr>
          <w:p w14:paraId="4FF86DC8">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Research Objectives</w:t>
            </w:r>
          </w:p>
        </w:tc>
        <w:tc>
          <w:tcPr>
            <w:tcW w:w="1878" w:type="dxa"/>
            <w:tcMar>
              <w:top w:w="60" w:type="dxa"/>
              <w:left w:w="120" w:type="dxa"/>
              <w:bottom w:w="30" w:type="dxa"/>
              <w:right w:w="120" w:type="dxa"/>
            </w:tcMar>
            <w:vAlign w:val="center"/>
          </w:tcPr>
          <w:p w14:paraId="70FAF4CD">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3. Clearly state the specific objectives of the study, including any prespecified hypotheses.</w:t>
            </w:r>
          </w:p>
        </w:tc>
        <w:tc>
          <w:tcPr>
            <w:tcW w:w="1854" w:type="dxa"/>
            <w:tcMar>
              <w:top w:w="60" w:type="dxa"/>
              <w:left w:w="120" w:type="dxa"/>
              <w:bottom w:w="30" w:type="dxa"/>
              <w:right w:w="120" w:type="dxa"/>
            </w:tcMar>
            <w:vAlign w:val="center"/>
          </w:tcPr>
          <w:p w14:paraId="2C48F705">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w:t>
            </w:r>
          </w:p>
        </w:tc>
        <w:tc>
          <w:tcPr>
            <w:tcW w:w="3498" w:type="dxa"/>
            <w:tcMar>
              <w:top w:w="60" w:type="dxa"/>
              <w:left w:w="120" w:type="dxa"/>
              <w:bottom w:w="30" w:type="dxa"/>
              <w:right w:w="120" w:type="dxa"/>
            </w:tcMar>
            <w:vAlign w:val="center"/>
          </w:tcPr>
          <w:p w14:paraId="39533FA7">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Has clearly defined the research objective as analyzing the epidemiological characteristics (demographics, disease spectrum, injury distribution, temporal characteristics, hospitalization costs, etc.) of musculoskeletal injuries in active-duty military personnel at Ningxia PAP Hospital from 2013 to 2022, so as to provide a reference for the military to formulate prevention strategies and for the hospital to optimize resource allocation; no prespecified hypotheses.</w:t>
            </w:r>
          </w:p>
        </w:tc>
      </w:tr>
      <w:tr w14:paraId="6DA9037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1291" w:type="dxa"/>
            <w:tcMar>
              <w:top w:w="60" w:type="dxa"/>
              <w:left w:w="120" w:type="dxa"/>
              <w:bottom w:w="30" w:type="dxa"/>
              <w:right w:w="120" w:type="dxa"/>
            </w:tcMar>
            <w:vAlign w:val="center"/>
          </w:tcPr>
          <w:p w14:paraId="496DDF64">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Study Design</w:t>
            </w:r>
          </w:p>
        </w:tc>
        <w:tc>
          <w:tcPr>
            <w:tcW w:w="1878" w:type="dxa"/>
            <w:tcMar>
              <w:top w:w="60" w:type="dxa"/>
              <w:left w:w="120" w:type="dxa"/>
              <w:bottom w:w="30" w:type="dxa"/>
              <w:right w:w="120" w:type="dxa"/>
            </w:tcMar>
            <w:vAlign w:val="center"/>
          </w:tcPr>
          <w:p w14:paraId="686AB25A">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4. Present the key elements of the study design early in the paper.</w:t>
            </w:r>
          </w:p>
        </w:tc>
        <w:tc>
          <w:tcPr>
            <w:tcW w:w="1854" w:type="dxa"/>
            <w:tcMar>
              <w:top w:w="60" w:type="dxa"/>
              <w:left w:w="120" w:type="dxa"/>
              <w:bottom w:w="30" w:type="dxa"/>
              <w:right w:w="120" w:type="dxa"/>
            </w:tcMar>
            <w:vAlign w:val="center"/>
          </w:tcPr>
          <w:p w14:paraId="69DFAD37">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w:t>
            </w:r>
          </w:p>
        </w:tc>
        <w:tc>
          <w:tcPr>
            <w:tcW w:w="3498" w:type="dxa"/>
            <w:tcMar>
              <w:top w:w="60" w:type="dxa"/>
              <w:left w:w="120" w:type="dxa"/>
              <w:bottom w:w="30" w:type="dxa"/>
              <w:right w:w="120" w:type="dxa"/>
            </w:tcMar>
            <w:vAlign w:val="center"/>
          </w:tcPr>
          <w:p w14:paraId="501B7236">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Has clearly specified the study design as a retrospective single-center descriptive epidemiological study at the beginning of the methodology section.</w:t>
            </w:r>
          </w:p>
        </w:tc>
      </w:tr>
      <w:tr w14:paraId="0C48E74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1291" w:type="dxa"/>
            <w:tcMar>
              <w:top w:w="60" w:type="dxa"/>
              <w:left w:w="120" w:type="dxa"/>
              <w:bottom w:w="30" w:type="dxa"/>
              <w:right w:w="120" w:type="dxa"/>
            </w:tcMar>
            <w:vAlign w:val="center"/>
          </w:tcPr>
          <w:p w14:paraId="33432755">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Study Setting</w:t>
            </w:r>
          </w:p>
        </w:tc>
        <w:tc>
          <w:tcPr>
            <w:tcW w:w="1878" w:type="dxa"/>
            <w:tcMar>
              <w:top w:w="60" w:type="dxa"/>
              <w:left w:w="120" w:type="dxa"/>
              <w:bottom w:w="30" w:type="dxa"/>
              <w:right w:w="120" w:type="dxa"/>
            </w:tcMar>
            <w:vAlign w:val="center"/>
          </w:tcPr>
          <w:p w14:paraId="4D21C999">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5. Describe the study setting, location, and relevant dates, including recruitment period, exposure period, follow-up period, and data collection period.</w:t>
            </w:r>
          </w:p>
        </w:tc>
        <w:tc>
          <w:tcPr>
            <w:tcW w:w="1854" w:type="dxa"/>
            <w:tcMar>
              <w:top w:w="60" w:type="dxa"/>
              <w:left w:w="120" w:type="dxa"/>
              <w:bottom w:w="30" w:type="dxa"/>
              <w:right w:w="120" w:type="dxa"/>
            </w:tcMar>
            <w:vAlign w:val="center"/>
          </w:tcPr>
          <w:p w14:paraId="17DC7659">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w:t>
            </w:r>
          </w:p>
        </w:tc>
        <w:tc>
          <w:tcPr>
            <w:tcW w:w="3498" w:type="dxa"/>
            <w:tcMar>
              <w:top w:w="60" w:type="dxa"/>
              <w:left w:w="120" w:type="dxa"/>
              <w:bottom w:w="30" w:type="dxa"/>
              <w:right w:w="120" w:type="dxa"/>
            </w:tcMar>
            <w:vAlign w:val="center"/>
          </w:tcPr>
          <w:p w14:paraId="752AC19B">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The study setting is the Department of Orthopedics, Ningxia PAP Hospital; the study period is January 1, 2013–December 31, 2022; data were extracted from the Hospital Information System (HIS); there is no separate recruitment period; follow-up was conducted from hospitalization to discharge settlement.</w:t>
            </w:r>
          </w:p>
        </w:tc>
      </w:tr>
      <w:tr w14:paraId="585079E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1291" w:type="dxa"/>
            <w:tcMar>
              <w:top w:w="60" w:type="dxa"/>
              <w:left w:w="120" w:type="dxa"/>
              <w:bottom w:w="30" w:type="dxa"/>
              <w:right w:w="120" w:type="dxa"/>
            </w:tcMar>
            <w:vAlign w:val="center"/>
          </w:tcPr>
          <w:p w14:paraId="23E93653">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Study Participants</w:t>
            </w:r>
          </w:p>
        </w:tc>
        <w:tc>
          <w:tcPr>
            <w:tcW w:w="1878" w:type="dxa"/>
            <w:tcMar>
              <w:top w:w="60" w:type="dxa"/>
              <w:left w:w="120" w:type="dxa"/>
              <w:bottom w:w="30" w:type="dxa"/>
              <w:right w:w="120" w:type="dxa"/>
            </w:tcMar>
            <w:vAlign w:val="center"/>
          </w:tcPr>
          <w:p w14:paraId="09A92B39">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 xml:space="preserve">6. (a) Cohort study: Explain the inclusion criteria, source, and selection method of participants, and describe the follow-up method. </w:t>
            </w:r>
            <w:r>
              <w:rPr>
                <w:rFonts w:hint="default" w:ascii="Times New Roman" w:hAnsi="Times New Roman" w:eastAsia="等线" w:cs="Times New Roman"/>
                <w:sz w:val="22"/>
              </w:rPr>
              <w:br w:type="textWrapping"/>
            </w:r>
            <w:r>
              <w:rPr>
                <w:rFonts w:hint="default" w:ascii="Times New Roman" w:hAnsi="Times New Roman" w:eastAsia="等线" w:cs="Times New Roman"/>
                <w:sz w:val="22"/>
              </w:rPr>
              <w:t xml:space="preserve">Case-control study: Explain the inclusion criteria, source, and selection method of cases and controls, and elaborate on the basis for selecting cases and controls. </w:t>
            </w:r>
            <w:r>
              <w:rPr>
                <w:rFonts w:hint="default" w:ascii="Times New Roman" w:hAnsi="Times New Roman" w:eastAsia="等线" w:cs="Times New Roman"/>
                <w:sz w:val="22"/>
              </w:rPr>
              <w:br w:type="textWrapping"/>
            </w:r>
            <w:r>
              <w:rPr>
                <w:rFonts w:hint="default" w:ascii="Times New Roman" w:hAnsi="Times New Roman" w:eastAsia="等线" w:cs="Times New Roman"/>
                <w:sz w:val="22"/>
              </w:rPr>
              <w:t xml:space="preserve">Cross-sectional study: Explain the inclusion criteria, source, and selection method of participants. </w:t>
            </w:r>
            <w:r>
              <w:rPr>
                <w:rFonts w:hint="default" w:ascii="Times New Roman" w:hAnsi="Times New Roman" w:eastAsia="等线" w:cs="Times New Roman"/>
                <w:sz w:val="22"/>
              </w:rPr>
              <w:br w:type="textWrapping"/>
            </w:r>
            <w:r>
              <w:rPr>
                <w:rFonts w:hint="default" w:ascii="Times New Roman" w:hAnsi="Times New Roman" w:eastAsia="等线" w:cs="Times New Roman"/>
                <w:sz w:val="22"/>
              </w:rPr>
              <w:t xml:space="preserve">(b) Cohort study: If matched, specify the matching criteria and the number of participants in the exposed and unexposed groups. </w:t>
            </w:r>
            <w:r>
              <w:rPr>
                <w:rFonts w:hint="default" w:ascii="Times New Roman" w:hAnsi="Times New Roman" w:eastAsia="等线" w:cs="Times New Roman"/>
                <w:sz w:val="22"/>
              </w:rPr>
              <w:br w:type="textWrapping"/>
            </w:r>
            <w:r>
              <w:rPr>
                <w:rFonts w:hint="default" w:ascii="Times New Roman" w:hAnsi="Times New Roman" w:eastAsia="等线" w:cs="Times New Roman"/>
                <w:sz w:val="22"/>
              </w:rPr>
              <w:t>Case-control study: If matched, specify the matching criteria and the number of controls per case.</w:t>
            </w:r>
          </w:p>
        </w:tc>
        <w:tc>
          <w:tcPr>
            <w:tcW w:w="1854" w:type="dxa"/>
            <w:tcMar>
              <w:top w:w="60" w:type="dxa"/>
              <w:left w:w="120" w:type="dxa"/>
              <w:bottom w:w="30" w:type="dxa"/>
              <w:right w:w="120" w:type="dxa"/>
            </w:tcMar>
            <w:vAlign w:val="center"/>
          </w:tcPr>
          <w:p w14:paraId="1A13432C">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 xml:space="preserve">RECORD 6.1: Provide a detailed list of methods used to select the study population (e.g., codes or algorithms for identifying participants); if not feasible, provide a reasonable explanation. </w:t>
            </w:r>
            <w:r>
              <w:rPr>
                <w:rFonts w:hint="default" w:ascii="Times New Roman" w:hAnsi="Times New Roman" w:eastAsia="等线" w:cs="Times New Roman"/>
                <w:sz w:val="22"/>
              </w:rPr>
              <w:br w:type="textWrapping"/>
            </w:r>
            <w:r>
              <w:rPr>
                <w:rFonts w:hint="default" w:ascii="Times New Roman" w:hAnsi="Times New Roman" w:eastAsia="等线" w:cs="Times New Roman"/>
                <w:sz w:val="22"/>
              </w:rPr>
              <w:t xml:space="preserve">RECORD 6.2: Cite all validation studies for the codes or algorithms used to select the study population; if validation was conducted in this study but not published elsewhere, provide detailed validation methods and results. </w:t>
            </w:r>
            <w:r>
              <w:rPr>
                <w:rFonts w:hint="default" w:ascii="Times New Roman" w:hAnsi="Times New Roman" w:eastAsia="等线" w:cs="Times New Roman"/>
                <w:sz w:val="22"/>
              </w:rPr>
              <w:br w:type="textWrapping"/>
            </w:r>
            <w:r>
              <w:rPr>
                <w:rFonts w:hint="default" w:ascii="Times New Roman" w:hAnsi="Times New Roman" w:eastAsia="等线" w:cs="Times New Roman"/>
                <w:sz w:val="22"/>
              </w:rPr>
              <w:t>RECORD 6.3: If the study involves cross-database linkage, consider using flowcharts or other graphical methods to show the data linkage process, including the number of individuals with successfully linked data at each stage.</w:t>
            </w:r>
          </w:p>
        </w:tc>
        <w:tc>
          <w:tcPr>
            <w:tcW w:w="3498" w:type="dxa"/>
            <w:tcMar>
              <w:top w:w="60" w:type="dxa"/>
              <w:left w:w="120" w:type="dxa"/>
              <w:bottom w:w="30" w:type="dxa"/>
              <w:right w:w="120" w:type="dxa"/>
            </w:tcMar>
            <w:vAlign w:val="center"/>
          </w:tcPr>
          <w:p w14:paraId="12EF023B">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 xml:space="preserve">(a) Has clearly defined the inclusion criteria (active-duty military personnel, ICD-10 codes S10-S99/T00-T14, admission during 2013–2022) and exclusion criteria (unsettled discharge, missing key data, inter-hospital transfer, non-active-duty status, non-injury-related orthopedic diseases); study participants were sourced from hospitalized active-duty military personnel at the hospital, with selection method involving extraction from the HIS; (b) Non-matched study. </w:t>
            </w:r>
            <w:r>
              <w:rPr>
                <w:rFonts w:hint="default" w:ascii="Times New Roman" w:hAnsi="Times New Roman" w:eastAsia="等线" w:cs="Times New Roman"/>
                <w:sz w:val="22"/>
              </w:rPr>
              <w:br w:type="textWrapping"/>
            </w:r>
            <w:r>
              <w:rPr>
                <w:rFonts w:hint="default" w:ascii="Times New Roman" w:hAnsi="Times New Roman" w:eastAsia="等线" w:cs="Times New Roman"/>
                <w:sz w:val="22"/>
              </w:rPr>
              <w:t xml:space="preserve">RECORD 6.1: The selection method involved HIS data screening based on ICD-10 codes and inclusion/exclusion criteria; </w:t>
            </w:r>
            <w:r>
              <w:rPr>
                <w:rFonts w:hint="default" w:ascii="Times New Roman" w:hAnsi="Times New Roman" w:eastAsia="等线" w:cs="Times New Roman"/>
                <w:sz w:val="22"/>
              </w:rPr>
              <w:br w:type="textWrapping"/>
            </w:r>
            <w:r>
              <w:rPr>
                <w:rFonts w:hint="default" w:ascii="Times New Roman" w:hAnsi="Times New Roman" w:eastAsia="等线" w:cs="Times New Roman"/>
                <w:sz w:val="22"/>
              </w:rPr>
              <w:t xml:space="preserve">RECORD 6.2: No separate code validation study was conducted, but data were sorted and verified by 2 independent orthopedic doctors, with discrepancies resolved through consensus with a third senior physician; </w:t>
            </w:r>
            <w:r>
              <w:rPr>
                <w:rFonts w:hint="default" w:ascii="Times New Roman" w:hAnsi="Times New Roman" w:eastAsia="等线" w:cs="Times New Roman"/>
                <w:sz w:val="22"/>
              </w:rPr>
              <w:br w:type="textWrapping"/>
            </w:r>
            <w:r>
              <w:rPr>
                <w:rFonts w:hint="default" w:ascii="Times New Roman" w:hAnsi="Times New Roman" w:eastAsia="等线" w:cs="Times New Roman"/>
                <w:sz w:val="22"/>
              </w:rPr>
              <w:t>RECORD 6.3: No cross-database linkage; a patient selection flowchart (Figure 1) has been provided.</w:t>
            </w:r>
          </w:p>
        </w:tc>
      </w:tr>
      <w:tr w14:paraId="19221A3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1291" w:type="dxa"/>
            <w:tcMar>
              <w:top w:w="60" w:type="dxa"/>
              <w:left w:w="120" w:type="dxa"/>
              <w:bottom w:w="30" w:type="dxa"/>
              <w:right w:w="120" w:type="dxa"/>
            </w:tcMar>
            <w:vAlign w:val="center"/>
          </w:tcPr>
          <w:p w14:paraId="6B250C0A">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Variables</w:t>
            </w:r>
          </w:p>
        </w:tc>
        <w:tc>
          <w:tcPr>
            <w:tcW w:w="1878" w:type="dxa"/>
            <w:tcMar>
              <w:top w:w="60" w:type="dxa"/>
              <w:left w:w="120" w:type="dxa"/>
              <w:bottom w:w="30" w:type="dxa"/>
              <w:right w:w="120" w:type="dxa"/>
            </w:tcMar>
            <w:vAlign w:val="center"/>
          </w:tcPr>
          <w:p w14:paraId="63195147">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7. Clearly define all outcome measures, exposure factors, predictors, potential confounding factors, and effect modifiers; if applicable, provide diagnostic criteria.</w:t>
            </w:r>
          </w:p>
        </w:tc>
        <w:tc>
          <w:tcPr>
            <w:tcW w:w="1854" w:type="dxa"/>
            <w:tcMar>
              <w:top w:w="60" w:type="dxa"/>
              <w:left w:w="120" w:type="dxa"/>
              <w:bottom w:w="30" w:type="dxa"/>
              <w:right w:w="120" w:type="dxa"/>
            </w:tcMar>
            <w:vAlign w:val="center"/>
          </w:tcPr>
          <w:p w14:paraId="1A1F3E3D">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RECORD 7.1: Provide a complete list of codes and algorithms used to classify exposure factors, outcome measures, confounding factors, and effect modifiers; if not feasible to report, provide a reasonable explanation.</w:t>
            </w:r>
          </w:p>
        </w:tc>
        <w:tc>
          <w:tcPr>
            <w:tcW w:w="3498" w:type="dxa"/>
            <w:tcMar>
              <w:top w:w="60" w:type="dxa"/>
              <w:left w:w="120" w:type="dxa"/>
              <w:bottom w:w="30" w:type="dxa"/>
              <w:right w:w="120" w:type="dxa"/>
            </w:tcMar>
            <w:vAlign w:val="center"/>
          </w:tcPr>
          <w:p w14:paraId="2CDD1CA9">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 xml:space="preserve">Has clearly defined outcome measures (musculoskeletal injury hospitalization events, surgical status, length of hospital stay, costs, etc.), injury-related variables (cause, site, type of injury), and demographic variables (age, gender, ethnicity, unit type); diagnostic criteria are based on ICD-10 codes (S10-S99, T00-T14). </w:t>
            </w:r>
            <w:r>
              <w:rPr>
                <w:rFonts w:hint="default" w:ascii="Times New Roman" w:hAnsi="Times New Roman" w:eastAsia="等线" w:cs="Times New Roman"/>
                <w:sz w:val="22"/>
              </w:rPr>
              <w:br w:type="textWrapping"/>
            </w:r>
            <w:r>
              <w:rPr>
                <w:rFonts w:hint="default" w:ascii="Times New Roman" w:hAnsi="Times New Roman" w:eastAsia="等线" w:cs="Times New Roman"/>
                <w:sz w:val="22"/>
              </w:rPr>
              <w:t>RECORD 7.1: Classification codes for injury cause, site, and type are based on clinical diagnostic records; codes for demographic and hospitalization-related variables are based on standard HIS fields; complete classifications are shown in Tables 4–6 of the study.</w:t>
            </w:r>
          </w:p>
        </w:tc>
      </w:tr>
      <w:tr w14:paraId="40C15F8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1291" w:type="dxa"/>
            <w:tcMar>
              <w:top w:w="60" w:type="dxa"/>
              <w:left w:w="120" w:type="dxa"/>
              <w:bottom w:w="30" w:type="dxa"/>
              <w:right w:w="120" w:type="dxa"/>
            </w:tcMar>
            <w:vAlign w:val="center"/>
          </w:tcPr>
          <w:p w14:paraId="66ECDBCF">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Data Sources/Measurement</w:t>
            </w:r>
          </w:p>
        </w:tc>
        <w:tc>
          <w:tcPr>
            <w:tcW w:w="1878" w:type="dxa"/>
            <w:tcMar>
              <w:top w:w="60" w:type="dxa"/>
              <w:left w:w="120" w:type="dxa"/>
              <w:bottom w:w="30" w:type="dxa"/>
              <w:right w:w="120" w:type="dxa"/>
            </w:tcMar>
            <w:vAlign w:val="center"/>
          </w:tcPr>
          <w:p w14:paraId="3EEF57DE">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8. For each variable of interest, describe the details of data sources and measurement methods; if there are multiple study groups, describe the comparability of measurement methods across groups.</w:t>
            </w:r>
          </w:p>
        </w:tc>
        <w:tc>
          <w:tcPr>
            <w:tcW w:w="1854" w:type="dxa"/>
            <w:tcMar>
              <w:top w:w="60" w:type="dxa"/>
              <w:left w:w="120" w:type="dxa"/>
              <w:bottom w:w="30" w:type="dxa"/>
              <w:right w:w="120" w:type="dxa"/>
            </w:tcMar>
            <w:vAlign w:val="center"/>
          </w:tcPr>
          <w:p w14:paraId="2E31C869">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w:t>
            </w:r>
          </w:p>
        </w:tc>
        <w:tc>
          <w:tcPr>
            <w:tcW w:w="3498" w:type="dxa"/>
            <w:tcMar>
              <w:top w:w="60" w:type="dxa"/>
              <w:left w:w="120" w:type="dxa"/>
              <w:bottom w:w="30" w:type="dxa"/>
              <w:right w:w="120" w:type="dxa"/>
            </w:tcMar>
            <w:vAlign w:val="center"/>
          </w:tcPr>
          <w:p w14:paraId="719EF44F">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Demographic data and hospitalization information (admission method, length of hospital stay, costs) were sourced from the HIS; injury cause, site, type, and surgical status were sourced from medical records; measurement methods for all variables were comparable across study years, with no inter-group differences.</w:t>
            </w:r>
          </w:p>
        </w:tc>
      </w:tr>
      <w:tr w14:paraId="5118860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1291" w:type="dxa"/>
            <w:tcMar>
              <w:top w:w="60" w:type="dxa"/>
              <w:left w:w="120" w:type="dxa"/>
              <w:bottom w:w="30" w:type="dxa"/>
              <w:right w:w="120" w:type="dxa"/>
            </w:tcMar>
            <w:vAlign w:val="center"/>
          </w:tcPr>
          <w:p w14:paraId="4F8FACE7">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Bias</w:t>
            </w:r>
          </w:p>
        </w:tc>
        <w:tc>
          <w:tcPr>
            <w:tcW w:w="1878" w:type="dxa"/>
            <w:tcMar>
              <w:top w:w="60" w:type="dxa"/>
              <w:left w:w="120" w:type="dxa"/>
              <w:bottom w:w="30" w:type="dxa"/>
              <w:right w:w="120" w:type="dxa"/>
            </w:tcMar>
            <w:vAlign w:val="center"/>
          </w:tcPr>
          <w:p w14:paraId="4C7492ED">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9. Describe any efforts made to address potential sources of bias.</w:t>
            </w:r>
          </w:p>
        </w:tc>
        <w:tc>
          <w:tcPr>
            <w:tcW w:w="1854" w:type="dxa"/>
            <w:tcMar>
              <w:top w:w="60" w:type="dxa"/>
              <w:left w:w="120" w:type="dxa"/>
              <w:bottom w:w="30" w:type="dxa"/>
              <w:right w:w="120" w:type="dxa"/>
            </w:tcMar>
            <w:vAlign w:val="center"/>
          </w:tcPr>
          <w:p w14:paraId="053D5623">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w:t>
            </w:r>
          </w:p>
        </w:tc>
        <w:tc>
          <w:tcPr>
            <w:tcW w:w="3498" w:type="dxa"/>
            <w:tcMar>
              <w:top w:w="60" w:type="dxa"/>
              <w:left w:w="120" w:type="dxa"/>
              <w:bottom w:w="30" w:type="dxa"/>
              <w:right w:w="120" w:type="dxa"/>
            </w:tcMar>
            <w:vAlign w:val="center"/>
          </w:tcPr>
          <w:p w14:paraId="0BA5F611">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Measures were taken to reduce information bias by having data sorted and verified by 2 independent orthopedic doctors, with discrepancies resolved by a third senior physician; patient information was anonymized, but no specific measures to control other potential biases (e.g., selection bias) were described.</w:t>
            </w:r>
          </w:p>
        </w:tc>
      </w:tr>
      <w:tr w14:paraId="4B96EBA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1291" w:type="dxa"/>
            <w:tcMar>
              <w:top w:w="60" w:type="dxa"/>
              <w:left w:w="120" w:type="dxa"/>
              <w:bottom w:w="30" w:type="dxa"/>
              <w:right w:w="120" w:type="dxa"/>
            </w:tcMar>
            <w:vAlign w:val="center"/>
          </w:tcPr>
          <w:p w14:paraId="497FD0CE">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Sample Size</w:t>
            </w:r>
          </w:p>
        </w:tc>
        <w:tc>
          <w:tcPr>
            <w:tcW w:w="1878" w:type="dxa"/>
            <w:tcMar>
              <w:top w:w="60" w:type="dxa"/>
              <w:left w:w="120" w:type="dxa"/>
              <w:bottom w:w="30" w:type="dxa"/>
              <w:right w:w="120" w:type="dxa"/>
            </w:tcMar>
            <w:vAlign w:val="center"/>
          </w:tcPr>
          <w:p w14:paraId="40920D10">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10. Explain the basis for determining the sample size.</w:t>
            </w:r>
          </w:p>
        </w:tc>
        <w:tc>
          <w:tcPr>
            <w:tcW w:w="1854" w:type="dxa"/>
            <w:tcMar>
              <w:top w:w="60" w:type="dxa"/>
              <w:left w:w="120" w:type="dxa"/>
              <w:bottom w:w="30" w:type="dxa"/>
              <w:right w:w="120" w:type="dxa"/>
            </w:tcMar>
            <w:vAlign w:val="center"/>
          </w:tcPr>
          <w:p w14:paraId="3752AD4B">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w:t>
            </w:r>
          </w:p>
        </w:tc>
        <w:tc>
          <w:tcPr>
            <w:tcW w:w="3498" w:type="dxa"/>
            <w:tcMar>
              <w:top w:w="60" w:type="dxa"/>
              <w:left w:w="120" w:type="dxa"/>
              <w:bottom w:w="30" w:type="dxa"/>
              <w:right w:w="120" w:type="dxa"/>
            </w:tcMar>
            <w:vAlign w:val="center"/>
          </w:tcPr>
          <w:p w14:paraId="211CC267">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No prespecified sample size; all cases meeting the inclusion/exclusion criteria in the HIS during 2013–2022 were included (final n=1024).</w:t>
            </w:r>
          </w:p>
        </w:tc>
      </w:tr>
      <w:tr w14:paraId="4B39FA8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1291" w:type="dxa"/>
            <w:tcMar>
              <w:top w:w="60" w:type="dxa"/>
              <w:left w:w="120" w:type="dxa"/>
              <w:bottom w:w="30" w:type="dxa"/>
              <w:right w:w="120" w:type="dxa"/>
            </w:tcMar>
            <w:vAlign w:val="center"/>
          </w:tcPr>
          <w:p w14:paraId="1A9AC695">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Quantitative Variables</w:t>
            </w:r>
          </w:p>
        </w:tc>
        <w:tc>
          <w:tcPr>
            <w:tcW w:w="1878" w:type="dxa"/>
            <w:tcMar>
              <w:top w:w="60" w:type="dxa"/>
              <w:left w:w="120" w:type="dxa"/>
              <w:bottom w:w="30" w:type="dxa"/>
              <w:right w:w="120" w:type="dxa"/>
            </w:tcMar>
            <w:vAlign w:val="center"/>
          </w:tcPr>
          <w:p w14:paraId="0878E3CD">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11. Explain how quantitative variables were handled in the analysis; if applicable, describe the grouping method and basis for selection.</w:t>
            </w:r>
          </w:p>
        </w:tc>
        <w:tc>
          <w:tcPr>
            <w:tcW w:w="1854" w:type="dxa"/>
            <w:tcMar>
              <w:top w:w="60" w:type="dxa"/>
              <w:left w:w="120" w:type="dxa"/>
              <w:bottom w:w="30" w:type="dxa"/>
              <w:right w:w="120" w:type="dxa"/>
            </w:tcMar>
            <w:vAlign w:val="center"/>
          </w:tcPr>
          <w:p w14:paraId="7C28951B">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w:t>
            </w:r>
          </w:p>
        </w:tc>
        <w:tc>
          <w:tcPr>
            <w:tcW w:w="3498" w:type="dxa"/>
            <w:tcMar>
              <w:top w:w="60" w:type="dxa"/>
              <w:left w:w="120" w:type="dxa"/>
              <w:bottom w:w="30" w:type="dxa"/>
              <w:right w:w="120" w:type="dxa"/>
            </w:tcMar>
            <w:vAlign w:val="center"/>
          </w:tcPr>
          <w:p w14:paraId="07089B4E">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Quantitative variables (age, length of hospital stay, hospitalization costs, surgical waiting time) were all described using median (interquartile range) [M (P25, P75)]; no grouping analysis was performed, and no explanation of grouping basis was provided.</w:t>
            </w:r>
          </w:p>
        </w:tc>
      </w:tr>
      <w:tr w14:paraId="211D2F3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1291" w:type="dxa"/>
            <w:tcMar>
              <w:top w:w="60" w:type="dxa"/>
              <w:left w:w="120" w:type="dxa"/>
              <w:bottom w:w="30" w:type="dxa"/>
              <w:right w:w="120" w:type="dxa"/>
            </w:tcMar>
            <w:vAlign w:val="center"/>
          </w:tcPr>
          <w:p w14:paraId="0E8086BD">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Statistical Methods</w:t>
            </w:r>
          </w:p>
        </w:tc>
        <w:tc>
          <w:tcPr>
            <w:tcW w:w="1878" w:type="dxa"/>
            <w:tcMar>
              <w:top w:w="60" w:type="dxa"/>
              <w:left w:w="120" w:type="dxa"/>
              <w:bottom w:w="30" w:type="dxa"/>
              <w:right w:w="120" w:type="dxa"/>
            </w:tcMar>
            <w:vAlign w:val="center"/>
          </w:tcPr>
          <w:p w14:paraId="71954C25">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 xml:space="preserve">12. (a) Describe all statistical methods, including those used to control confounding. </w:t>
            </w:r>
            <w:r>
              <w:rPr>
                <w:rFonts w:hint="default" w:ascii="Times New Roman" w:hAnsi="Times New Roman" w:eastAsia="等线" w:cs="Times New Roman"/>
                <w:sz w:val="22"/>
              </w:rPr>
              <w:br w:type="textWrapping"/>
            </w:r>
            <w:r>
              <w:rPr>
                <w:rFonts w:hint="default" w:ascii="Times New Roman" w:hAnsi="Times New Roman" w:eastAsia="等线" w:cs="Times New Roman"/>
                <w:sz w:val="22"/>
              </w:rPr>
              <w:t xml:space="preserve">(b) Describe any methods used to test subgroups and interactions. </w:t>
            </w:r>
            <w:r>
              <w:rPr>
                <w:rFonts w:hint="default" w:ascii="Times New Roman" w:hAnsi="Times New Roman" w:eastAsia="等线" w:cs="Times New Roman"/>
                <w:sz w:val="22"/>
              </w:rPr>
              <w:br w:type="textWrapping"/>
            </w:r>
            <w:r>
              <w:rPr>
                <w:rFonts w:hint="default" w:ascii="Times New Roman" w:hAnsi="Times New Roman" w:eastAsia="等线" w:cs="Times New Roman"/>
                <w:sz w:val="22"/>
              </w:rPr>
              <w:t xml:space="preserve">(c) Explain how missing data were handled. </w:t>
            </w:r>
            <w:r>
              <w:rPr>
                <w:rFonts w:hint="default" w:ascii="Times New Roman" w:hAnsi="Times New Roman" w:eastAsia="等线" w:cs="Times New Roman"/>
                <w:sz w:val="22"/>
              </w:rPr>
              <w:br w:type="textWrapping"/>
            </w:r>
            <w:r>
              <w:rPr>
                <w:rFonts w:hint="default" w:ascii="Times New Roman" w:hAnsi="Times New Roman" w:eastAsia="等线" w:cs="Times New Roman"/>
                <w:sz w:val="22"/>
              </w:rPr>
              <w:t xml:space="preserve">(d) Cohort study: If applicable, explain how loss to follow-up was handled. </w:t>
            </w:r>
            <w:r>
              <w:rPr>
                <w:rFonts w:hint="default" w:ascii="Times New Roman" w:hAnsi="Times New Roman" w:eastAsia="等线" w:cs="Times New Roman"/>
                <w:sz w:val="22"/>
              </w:rPr>
              <w:br w:type="textWrapping"/>
            </w:r>
            <w:r>
              <w:rPr>
                <w:rFonts w:hint="default" w:ascii="Times New Roman" w:hAnsi="Times New Roman" w:eastAsia="等线" w:cs="Times New Roman"/>
                <w:sz w:val="22"/>
              </w:rPr>
              <w:t xml:space="preserve">Case-control study: If applicable, explain how matching of cases and controls was handled. </w:t>
            </w:r>
            <w:r>
              <w:rPr>
                <w:rFonts w:hint="default" w:ascii="Times New Roman" w:hAnsi="Times New Roman" w:eastAsia="等线" w:cs="Times New Roman"/>
                <w:sz w:val="22"/>
              </w:rPr>
              <w:br w:type="textWrapping"/>
            </w:r>
            <w:r>
              <w:rPr>
                <w:rFonts w:hint="default" w:ascii="Times New Roman" w:hAnsi="Times New Roman" w:eastAsia="等线" w:cs="Times New Roman"/>
                <w:sz w:val="22"/>
              </w:rPr>
              <w:t xml:space="preserve">Cross-sectional study: If applicable, describe analytical methods that account for the sampling strategy. </w:t>
            </w:r>
            <w:r>
              <w:rPr>
                <w:rFonts w:hint="default" w:ascii="Times New Roman" w:hAnsi="Times New Roman" w:eastAsia="等线" w:cs="Times New Roman"/>
                <w:sz w:val="22"/>
              </w:rPr>
              <w:br w:type="textWrapping"/>
            </w:r>
            <w:r>
              <w:rPr>
                <w:rFonts w:hint="default" w:ascii="Times New Roman" w:hAnsi="Times New Roman" w:eastAsia="等线" w:cs="Times New Roman"/>
                <w:sz w:val="22"/>
              </w:rPr>
              <w:t>(e) Describe any sensitivity analyses.</w:t>
            </w:r>
          </w:p>
        </w:tc>
        <w:tc>
          <w:tcPr>
            <w:tcW w:w="1854" w:type="dxa"/>
            <w:tcMar>
              <w:top w:w="60" w:type="dxa"/>
              <w:left w:w="120" w:type="dxa"/>
              <w:bottom w:w="30" w:type="dxa"/>
              <w:right w:w="120" w:type="dxa"/>
            </w:tcMar>
            <w:vAlign w:val="center"/>
          </w:tcPr>
          <w:p w14:paraId="14ACB848">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 xml:space="preserve">RECORD 12.1: Authors should describe the scope of access to the database(s) used to construct the study population. </w:t>
            </w:r>
            <w:r>
              <w:rPr>
                <w:rFonts w:hint="default" w:ascii="Times New Roman" w:hAnsi="Times New Roman" w:eastAsia="等线" w:cs="Times New Roman"/>
                <w:sz w:val="22"/>
              </w:rPr>
              <w:br w:type="textWrapping"/>
            </w:r>
            <w:r>
              <w:rPr>
                <w:rFonts w:hint="default" w:ascii="Times New Roman" w:hAnsi="Times New Roman" w:eastAsia="等线" w:cs="Times New Roman"/>
                <w:sz w:val="22"/>
              </w:rPr>
              <w:t xml:space="preserve">RECORD 12.2: Authors should provide information on data cleaning methods used in the study. </w:t>
            </w:r>
            <w:r>
              <w:rPr>
                <w:rFonts w:hint="default" w:ascii="Times New Roman" w:hAnsi="Times New Roman" w:eastAsia="等线" w:cs="Times New Roman"/>
                <w:sz w:val="22"/>
              </w:rPr>
              <w:br w:type="textWrapping"/>
            </w:r>
            <w:r>
              <w:rPr>
                <w:rFonts w:hint="default" w:ascii="Times New Roman" w:hAnsi="Times New Roman" w:eastAsia="等线" w:cs="Times New Roman"/>
                <w:sz w:val="22"/>
              </w:rPr>
              <w:t>RECORD 12.3: Indicate whether the study involves individual-level, institutional-level, or other types of data linkage between two or more databases; provide linkage methods and methods for assessing linkage quality.</w:t>
            </w:r>
          </w:p>
        </w:tc>
        <w:tc>
          <w:tcPr>
            <w:tcW w:w="3498" w:type="dxa"/>
            <w:tcMar>
              <w:top w:w="60" w:type="dxa"/>
              <w:left w:w="120" w:type="dxa"/>
              <w:bottom w:w="30" w:type="dxa"/>
              <w:right w:w="120" w:type="dxa"/>
            </w:tcMar>
            <w:vAlign w:val="center"/>
          </w:tcPr>
          <w:p w14:paraId="1BBFA396">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 xml:space="preserve">(a) Statistical methods include: non-parametric test for continuous variables (Kruskal-Wallis test), χ² test/Monte Carlo exact test for categorical variables, and circular distribution analysis (Rayleigh’s test); no specific methods to control confounding factors (descriptive study); (b) No subgroup or interaction analyses were conducted; (c) Missing data were handled by excluding cases with missing key data; (d) No analyses related to loss to follow-up, matching, or sampling strategies; (e) No sensitivity analyses were performed. </w:t>
            </w:r>
            <w:r>
              <w:rPr>
                <w:rFonts w:hint="default" w:ascii="Times New Roman" w:hAnsi="Times New Roman" w:eastAsia="等线" w:cs="Times New Roman"/>
                <w:sz w:val="22"/>
              </w:rPr>
              <w:br w:type="textWrapping"/>
            </w:r>
            <w:r>
              <w:rPr>
                <w:rFonts w:hint="default" w:ascii="Times New Roman" w:hAnsi="Times New Roman" w:eastAsia="等线" w:cs="Times New Roman"/>
                <w:sz w:val="22"/>
              </w:rPr>
              <w:t xml:space="preserve">RECORD 12.1: Data were extracted from the backend of the medical record management system by hospital information department engineers using standardized query protocols; researchers obtained anonymized data after sorting and verification; </w:t>
            </w:r>
            <w:r>
              <w:rPr>
                <w:rFonts w:hint="default" w:ascii="Times New Roman" w:hAnsi="Times New Roman" w:eastAsia="等线" w:cs="Times New Roman"/>
                <w:sz w:val="22"/>
              </w:rPr>
              <w:br w:type="textWrapping"/>
            </w:r>
            <w:r>
              <w:rPr>
                <w:rFonts w:hint="default" w:ascii="Times New Roman" w:hAnsi="Times New Roman" w:eastAsia="等线" w:cs="Times New Roman"/>
                <w:sz w:val="22"/>
              </w:rPr>
              <w:t xml:space="preserve">RECORD 12.2: Data cleaning methods involved sorting and verification by 2 independent orthopedic doctors, with discrepancies resolved through consensus with a third senior physician; </w:t>
            </w:r>
            <w:r>
              <w:rPr>
                <w:rFonts w:hint="default" w:ascii="Times New Roman" w:hAnsi="Times New Roman" w:eastAsia="等线" w:cs="Times New Roman"/>
                <w:sz w:val="22"/>
              </w:rPr>
              <w:br w:type="textWrapping"/>
            </w:r>
            <w:r>
              <w:rPr>
                <w:rFonts w:hint="default" w:ascii="Times New Roman" w:hAnsi="Times New Roman" w:eastAsia="等线" w:cs="Times New Roman"/>
                <w:sz w:val="22"/>
              </w:rPr>
              <w:t>RECORD 12.3: No cross-database linkage; no need for linkage methods or quality assessment.</w:t>
            </w:r>
          </w:p>
        </w:tc>
      </w:tr>
      <w:tr w14:paraId="7790E85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1291" w:type="dxa"/>
            <w:tcMar>
              <w:top w:w="60" w:type="dxa"/>
              <w:left w:w="120" w:type="dxa"/>
              <w:bottom w:w="30" w:type="dxa"/>
              <w:right w:w="120" w:type="dxa"/>
            </w:tcMar>
            <w:vAlign w:val="center"/>
          </w:tcPr>
          <w:p w14:paraId="1CF2B79E">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Study Participants</w:t>
            </w:r>
          </w:p>
        </w:tc>
        <w:tc>
          <w:tcPr>
            <w:tcW w:w="1878" w:type="dxa"/>
            <w:tcMar>
              <w:top w:w="60" w:type="dxa"/>
              <w:left w:w="120" w:type="dxa"/>
              <w:bottom w:w="30" w:type="dxa"/>
              <w:right w:w="120" w:type="dxa"/>
            </w:tcMar>
            <w:vAlign w:val="center"/>
          </w:tcPr>
          <w:p w14:paraId="6CD78CA8">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 xml:space="preserve">13. (a) Report the number of individuals at each study stage (e.g., potentially eligible individuals, those screened for eligibility, confirmed eligible individuals, those included in the study, those who completed follow-up, and those included in the analysis). </w:t>
            </w:r>
            <w:r>
              <w:rPr>
                <w:rFonts w:hint="default" w:ascii="Times New Roman" w:hAnsi="Times New Roman" w:eastAsia="等线" w:cs="Times New Roman"/>
                <w:sz w:val="22"/>
              </w:rPr>
              <w:br w:type="textWrapping"/>
            </w:r>
            <w:r>
              <w:rPr>
                <w:rFonts w:hint="default" w:ascii="Times New Roman" w:hAnsi="Times New Roman" w:eastAsia="等线" w:cs="Times New Roman"/>
                <w:sz w:val="22"/>
              </w:rPr>
              <w:t xml:space="preserve">(b) Explain the reasons for non-participation at each stage. </w:t>
            </w:r>
            <w:r>
              <w:rPr>
                <w:rFonts w:hint="default" w:ascii="Times New Roman" w:hAnsi="Times New Roman" w:eastAsia="等线" w:cs="Times New Roman"/>
                <w:sz w:val="22"/>
              </w:rPr>
              <w:br w:type="textWrapping"/>
            </w:r>
            <w:r>
              <w:rPr>
                <w:rFonts w:hint="default" w:ascii="Times New Roman" w:hAnsi="Times New Roman" w:eastAsia="等线" w:cs="Times New Roman"/>
                <w:sz w:val="22"/>
              </w:rPr>
              <w:t>(c) Consider using a flowchart to illustrate.</w:t>
            </w:r>
          </w:p>
        </w:tc>
        <w:tc>
          <w:tcPr>
            <w:tcW w:w="1854" w:type="dxa"/>
            <w:tcMar>
              <w:top w:w="60" w:type="dxa"/>
              <w:left w:w="120" w:type="dxa"/>
              <w:bottom w:w="30" w:type="dxa"/>
              <w:right w:w="120" w:type="dxa"/>
            </w:tcMar>
            <w:vAlign w:val="center"/>
          </w:tcPr>
          <w:p w14:paraId="39D42F98">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RECORD 13.1: Provide a detailed description of the selection process of the study population (i.e., study population screening), including screening based on data quality, data availability, and data linkage; this can be described in text and/or via a study flowchart.</w:t>
            </w:r>
          </w:p>
        </w:tc>
        <w:tc>
          <w:tcPr>
            <w:tcW w:w="3498" w:type="dxa"/>
            <w:tcMar>
              <w:top w:w="60" w:type="dxa"/>
              <w:left w:w="120" w:type="dxa"/>
              <w:bottom w:w="30" w:type="dxa"/>
              <w:right w:w="120" w:type="dxa"/>
            </w:tcMar>
            <w:vAlign w:val="center"/>
          </w:tcPr>
          <w:p w14:paraId="7639E979">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 xml:space="preserve">(a) Reported the number of individuals at each study stage: initial screening of 24,203 military inpatients during 2013–2022; exclusion of 23,109 cases with non-orthopedic/osteoarticular diseases, 17 cases with unsettled discharge, 9 cases with missing key data, 15 cases with inter-hospital transfer, and 29 cases with non-injury-related orthopedic diseases; final inclusion of 1024 cases; (b) Reasons for non-inclusion were non-compliance with inclusion criteria or data/settlement issues; (c) A patient selection flowchart (Figure 1) has been provided. </w:t>
            </w:r>
            <w:r>
              <w:rPr>
                <w:rFonts w:hint="default" w:ascii="Times New Roman" w:hAnsi="Times New Roman" w:eastAsia="等线" w:cs="Times New Roman"/>
                <w:sz w:val="22"/>
              </w:rPr>
              <w:br w:type="textWrapping"/>
            </w:r>
            <w:r>
              <w:rPr>
                <w:rFonts w:hint="default" w:ascii="Times New Roman" w:hAnsi="Times New Roman" w:eastAsia="等线" w:cs="Times New Roman"/>
                <w:sz w:val="22"/>
              </w:rPr>
              <w:t>RECORD 13.1: The study population screening process, including initial screening by ICD codes, application of inclusion/exclusion criteria, and verification of data integrity and settlement status, was described in text and via a flowchart.</w:t>
            </w:r>
          </w:p>
        </w:tc>
      </w:tr>
      <w:tr w14:paraId="785D2DB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1291" w:type="dxa"/>
            <w:tcMar>
              <w:top w:w="60" w:type="dxa"/>
              <w:left w:w="120" w:type="dxa"/>
              <w:bottom w:w="30" w:type="dxa"/>
              <w:right w:w="120" w:type="dxa"/>
            </w:tcMar>
            <w:vAlign w:val="center"/>
          </w:tcPr>
          <w:p w14:paraId="71CD6944">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Descriptive Data</w:t>
            </w:r>
          </w:p>
        </w:tc>
        <w:tc>
          <w:tcPr>
            <w:tcW w:w="1878" w:type="dxa"/>
            <w:tcMar>
              <w:top w:w="60" w:type="dxa"/>
              <w:left w:w="120" w:type="dxa"/>
              <w:bottom w:w="30" w:type="dxa"/>
              <w:right w:w="120" w:type="dxa"/>
            </w:tcMar>
            <w:vAlign w:val="center"/>
          </w:tcPr>
          <w:p w14:paraId="2A0CB4E5">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 xml:space="preserve">14. (a) Provide characteristics of the study participants (e.g., demographic, clinical, and social characteristics) as well as information on exposure factors and potential confounding factors. </w:t>
            </w:r>
            <w:r>
              <w:rPr>
                <w:rFonts w:hint="default" w:ascii="Times New Roman" w:hAnsi="Times New Roman" w:eastAsia="等线" w:cs="Times New Roman"/>
                <w:sz w:val="22"/>
              </w:rPr>
              <w:br w:type="textWrapping"/>
            </w:r>
            <w:r>
              <w:rPr>
                <w:rFonts w:hint="default" w:ascii="Times New Roman" w:hAnsi="Times New Roman" w:eastAsia="等线" w:cs="Times New Roman"/>
                <w:sz w:val="22"/>
              </w:rPr>
              <w:t xml:space="preserve">(b) Indicate the number of individuals with missing data for each variable of interest. </w:t>
            </w:r>
            <w:r>
              <w:rPr>
                <w:rFonts w:hint="default" w:ascii="Times New Roman" w:hAnsi="Times New Roman" w:eastAsia="等线" w:cs="Times New Roman"/>
                <w:sz w:val="22"/>
              </w:rPr>
              <w:br w:type="textWrapping"/>
            </w:r>
            <w:r>
              <w:rPr>
                <w:rFonts w:hint="default" w:ascii="Times New Roman" w:hAnsi="Times New Roman" w:eastAsia="等线" w:cs="Times New Roman"/>
                <w:sz w:val="22"/>
              </w:rPr>
              <w:t>(c) Cohort study: Summarize follow-up time (e.g., mean follow-up time and total follow-up time).</w:t>
            </w:r>
          </w:p>
        </w:tc>
        <w:tc>
          <w:tcPr>
            <w:tcW w:w="1854" w:type="dxa"/>
            <w:tcMar>
              <w:top w:w="60" w:type="dxa"/>
              <w:left w:w="120" w:type="dxa"/>
              <w:bottom w:w="30" w:type="dxa"/>
              <w:right w:w="120" w:type="dxa"/>
            </w:tcMar>
            <w:vAlign w:val="center"/>
          </w:tcPr>
          <w:p w14:paraId="48758BF0">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w:t>
            </w:r>
          </w:p>
        </w:tc>
        <w:tc>
          <w:tcPr>
            <w:tcW w:w="3498" w:type="dxa"/>
            <w:tcMar>
              <w:top w:w="60" w:type="dxa"/>
              <w:left w:w="120" w:type="dxa"/>
              <w:bottom w:w="30" w:type="dxa"/>
              <w:right w:w="120" w:type="dxa"/>
            </w:tcMar>
            <w:vAlign w:val="center"/>
          </w:tcPr>
          <w:p w14:paraId="68346DB8">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(a) Provided descriptive data on demographic characteristics (gender, age, ethnicity, unit type), hospitalization characteristics (admission method, length of hospital stay, costs), and injury-related characteristics (cause, site, type of injury) of the study participants (Tables 1–6); (b) Cases with missing key data were excluded; no missing variables among included cases; (c) No follow-up time (hospital-based study; length of hospital stay was reported).</w:t>
            </w:r>
          </w:p>
        </w:tc>
      </w:tr>
      <w:tr w14:paraId="3E28F74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1291" w:type="dxa"/>
            <w:tcMar>
              <w:top w:w="60" w:type="dxa"/>
              <w:left w:w="120" w:type="dxa"/>
              <w:bottom w:w="30" w:type="dxa"/>
              <w:right w:w="120" w:type="dxa"/>
            </w:tcMar>
            <w:vAlign w:val="center"/>
          </w:tcPr>
          <w:p w14:paraId="3966E0F5">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Outcome Data</w:t>
            </w:r>
          </w:p>
        </w:tc>
        <w:tc>
          <w:tcPr>
            <w:tcW w:w="1878" w:type="dxa"/>
            <w:tcMar>
              <w:top w:w="60" w:type="dxa"/>
              <w:left w:w="120" w:type="dxa"/>
              <w:bottom w:w="30" w:type="dxa"/>
              <w:right w:w="120" w:type="dxa"/>
            </w:tcMar>
            <w:vAlign w:val="center"/>
          </w:tcPr>
          <w:p w14:paraId="07CC5743">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 xml:space="preserve">15. Cohort study: Report the number of outcome events or summary measures at different time points. </w:t>
            </w:r>
            <w:r>
              <w:rPr>
                <w:rFonts w:hint="default" w:ascii="Times New Roman" w:hAnsi="Times New Roman" w:eastAsia="等线" w:cs="Times New Roman"/>
                <w:sz w:val="22"/>
              </w:rPr>
              <w:br w:type="textWrapping"/>
            </w:r>
            <w:r>
              <w:rPr>
                <w:rFonts w:hint="default" w:ascii="Times New Roman" w:hAnsi="Times New Roman" w:eastAsia="等线" w:cs="Times New Roman"/>
                <w:sz w:val="22"/>
              </w:rPr>
              <w:t xml:space="preserve">Case-control study: Report the number of individuals or summary measures of exposure in each exposure group. </w:t>
            </w:r>
            <w:r>
              <w:rPr>
                <w:rFonts w:hint="default" w:ascii="Times New Roman" w:hAnsi="Times New Roman" w:eastAsia="等线" w:cs="Times New Roman"/>
                <w:sz w:val="22"/>
              </w:rPr>
              <w:br w:type="textWrapping"/>
            </w:r>
            <w:r>
              <w:rPr>
                <w:rFonts w:hint="default" w:ascii="Times New Roman" w:hAnsi="Times New Roman" w:eastAsia="等线" w:cs="Times New Roman"/>
                <w:sz w:val="22"/>
              </w:rPr>
              <w:t>Cross-sectional study: Report the number of outcome events or summary measures.</w:t>
            </w:r>
          </w:p>
        </w:tc>
        <w:tc>
          <w:tcPr>
            <w:tcW w:w="1854" w:type="dxa"/>
            <w:tcMar>
              <w:top w:w="60" w:type="dxa"/>
              <w:left w:w="120" w:type="dxa"/>
              <w:bottom w:w="30" w:type="dxa"/>
              <w:right w:w="120" w:type="dxa"/>
            </w:tcMar>
            <w:vAlign w:val="center"/>
          </w:tcPr>
          <w:p w14:paraId="5BC920A3">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w:t>
            </w:r>
          </w:p>
        </w:tc>
        <w:tc>
          <w:tcPr>
            <w:tcW w:w="3498" w:type="dxa"/>
            <w:tcMar>
              <w:top w:w="60" w:type="dxa"/>
              <w:left w:w="120" w:type="dxa"/>
              <w:bottom w:w="30" w:type="dxa"/>
              <w:right w:w="120" w:type="dxa"/>
            </w:tcMar>
            <w:vAlign w:val="center"/>
          </w:tcPr>
          <w:p w14:paraId="21C3D9BD">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Reported outcome-related indicators: surgery rate (86%), distribution of injury causes/sites/types, temporal distribution of injuries, and median length of hospital stay and costs, which meet the requirements for reporting outcome data in descriptive studies.</w:t>
            </w:r>
          </w:p>
        </w:tc>
      </w:tr>
      <w:tr w14:paraId="76E852A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1291" w:type="dxa"/>
            <w:tcMar>
              <w:top w:w="60" w:type="dxa"/>
              <w:left w:w="120" w:type="dxa"/>
              <w:bottom w:w="30" w:type="dxa"/>
              <w:right w:w="120" w:type="dxa"/>
            </w:tcMar>
            <w:vAlign w:val="center"/>
          </w:tcPr>
          <w:p w14:paraId="1E83BA3B">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Main Results</w:t>
            </w:r>
          </w:p>
        </w:tc>
        <w:tc>
          <w:tcPr>
            <w:tcW w:w="1878" w:type="dxa"/>
            <w:tcMar>
              <w:top w:w="60" w:type="dxa"/>
              <w:left w:w="120" w:type="dxa"/>
              <w:bottom w:w="30" w:type="dxa"/>
              <w:right w:w="120" w:type="dxa"/>
            </w:tcMar>
            <w:vAlign w:val="center"/>
          </w:tcPr>
          <w:p w14:paraId="61A1A479">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 xml:space="preserve">16. (a) Provide unadjusted estimates and, if applicable, adjusted estimates for confounding factors with their precision (e.g., 95% confidence intervals); clearly state the confounding factors adjusted for and the basis for adjustment. </w:t>
            </w:r>
            <w:r>
              <w:rPr>
                <w:rFonts w:hint="default" w:ascii="Times New Roman" w:hAnsi="Times New Roman" w:eastAsia="等线" w:cs="Times New Roman"/>
                <w:sz w:val="22"/>
              </w:rPr>
              <w:br w:type="textWrapping"/>
            </w:r>
            <w:r>
              <w:rPr>
                <w:rFonts w:hint="default" w:ascii="Times New Roman" w:hAnsi="Times New Roman" w:eastAsia="等线" w:cs="Times New Roman"/>
                <w:sz w:val="22"/>
              </w:rPr>
              <w:t xml:space="preserve">(b) If continuous variables were grouped, report the grouping cutoffs. </w:t>
            </w:r>
            <w:r>
              <w:rPr>
                <w:rFonts w:hint="default" w:ascii="Times New Roman" w:hAnsi="Times New Roman" w:eastAsia="等线" w:cs="Times New Roman"/>
                <w:sz w:val="22"/>
              </w:rPr>
              <w:br w:type="textWrapping"/>
            </w:r>
            <w:r>
              <w:rPr>
                <w:rFonts w:hint="default" w:ascii="Times New Roman" w:hAnsi="Times New Roman" w:eastAsia="等线" w:cs="Times New Roman"/>
                <w:sz w:val="22"/>
              </w:rPr>
              <w:t>(c) If relevant, consider converting relative risk estimates to absolute risks for specific time periods.</w:t>
            </w:r>
          </w:p>
        </w:tc>
        <w:tc>
          <w:tcPr>
            <w:tcW w:w="1854" w:type="dxa"/>
            <w:tcMar>
              <w:top w:w="60" w:type="dxa"/>
              <w:left w:w="120" w:type="dxa"/>
              <w:bottom w:w="30" w:type="dxa"/>
              <w:right w:w="120" w:type="dxa"/>
            </w:tcMar>
            <w:vAlign w:val="center"/>
          </w:tcPr>
          <w:p w14:paraId="4DBD6376">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w:t>
            </w:r>
          </w:p>
        </w:tc>
        <w:tc>
          <w:tcPr>
            <w:tcW w:w="3498" w:type="dxa"/>
            <w:tcMar>
              <w:top w:w="60" w:type="dxa"/>
              <w:left w:w="120" w:type="dxa"/>
              <w:bottom w:w="30" w:type="dxa"/>
              <w:right w:w="120" w:type="dxa"/>
            </w:tcMar>
            <w:vAlign w:val="center"/>
          </w:tcPr>
          <w:p w14:paraId="78EE046E">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(a) Provided unadjusted descriptive estimates (percentages, medians with interquartile ranges, Rayleigh’s Z-value/P-value); no adjusted estimates for confounding factors (descriptive study); (b) No grouping of continuous variables; (c) No conversion of relative risks to absolute risks.</w:t>
            </w:r>
          </w:p>
        </w:tc>
      </w:tr>
      <w:tr w14:paraId="1E9E078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1291" w:type="dxa"/>
            <w:tcMar>
              <w:top w:w="60" w:type="dxa"/>
              <w:left w:w="120" w:type="dxa"/>
              <w:bottom w:w="30" w:type="dxa"/>
              <w:right w:w="120" w:type="dxa"/>
            </w:tcMar>
            <w:vAlign w:val="center"/>
          </w:tcPr>
          <w:p w14:paraId="1A44C538">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Other Analyses</w:t>
            </w:r>
          </w:p>
        </w:tc>
        <w:tc>
          <w:tcPr>
            <w:tcW w:w="1878" w:type="dxa"/>
            <w:tcMar>
              <w:top w:w="60" w:type="dxa"/>
              <w:left w:w="120" w:type="dxa"/>
              <w:bottom w:w="30" w:type="dxa"/>
              <w:right w:w="120" w:type="dxa"/>
            </w:tcMar>
            <w:vAlign w:val="center"/>
          </w:tcPr>
          <w:p w14:paraId="4C07A3F7">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17. Report any other analyses conducted (e.g., subgroup analyses, interaction analyses, and sensitivity analyses).</w:t>
            </w:r>
          </w:p>
        </w:tc>
        <w:tc>
          <w:tcPr>
            <w:tcW w:w="1854" w:type="dxa"/>
            <w:tcMar>
              <w:top w:w="60" w:type="dxa"/>
              <w:left w:w="120" w:type="dxa"/>
              <w:bottom w:w="30" w:type="dxa"/>
              <w:right w:w="120" w:type="dxa"/>
            </w:tcMar>
            <w:vAlign w:val="center"/>
          </w:tcPr>
          <w:p w14:paraId="0B71CEE8">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w:t>
            </w:r>
          </w:p>
        </w:tc>
        <w:tc>
          <w:tcPr>
            <w:tcW w:w="3498" w:type="dxa"/>
            <w:tcMar>
              <w:top w:w="60" w:type="dxa"/>
              <w:left w:w="120" w:type="dxa"/>
              <w:bottom w:w="30" w:type="dxa"/>
              <w:right w:w="120" w:type="dxa"/>
            </w:tcMar>
            <w:vAlign w:val="center"/>
          </w:tcPr>
          <w:p w14:paraId="584B202D">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No other analyses were conducted except for the main descriptive analyses and circular distribution analysis of temporal distribution.</w:t>
            </w:r>
          </w:p>
        </w:tc>
      </w:tr>
      <w:tr w14:paraId="39967BB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1291" w:type="dxa"/>
            <w:tcMar>
              <w:top w:w="60" w:type="dxa"/>
              <w:left w:w="120" w:type="dxa"/>
              <w:bottom w:w="30" w:type="dxa"/>
              <w:right w:w="120" w:type="dxa"/>
            </w:tcMar>
            <w:vAlign w:val="center"/>
          </w:tcPr>
          <w:p w14:paraId="71F7F3BB">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Main Results</w:t>
            </w:r>
          </w:p>
        </w:tc>
        <w:tc>
          <w:tcPr>
            <w:tcW w:w="1878" w:type="dxa"/>
            <w:tcMar>
              <w:top w:w="60" w:type="dxa"/>
              <w:left w:w="120" w:type="dxa"/>
              <w:bottom w:w="30" w:type="dxa"/>
              <w:right w:w="120" w:type="dxa"/>
            </w:tcMar>
            <w:vAlign w:val="center"/>
          </w:tcPr>
          <w:p w14:paraId="6DAF698C">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18. Summarize the main results in the context of the study objectives.</w:t>
            </w:r>
          </w:p>
        </w:tc>
        <w:tc>
          <w:tcPr>
            <w:tcW w:w="1854" w:type="dxa"/>
            <w:tcMar>
              <w:top w:w="60" w:type="dxa"/>
              <w:left w:w="120" w:type="dxa"/>
              <w:bottom w:w="30" w:type="dxa"/>
              <w:right w:w="120" w:type="dxa"/>
            </w:tcMar>
            <w:vAlign w:val="center"/>
          </w:tcPr>
          <w:p w14:paraId="3D09993B">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w:t>
            </w:r>
          </w:p>
        </w:tc>
        <w:tc>
          <w:tcPr>
            <w:tcW w:w="3498" w:type="dxa"/>
            <w:tcMar>
              <w:top w:w="60" w:type="dxa"/>
              <w:left w:w="120" w:type="dxa"/>
              <w:bottom w:w="30" w:type="dxa"/>
              <w:right w:w="120" w:type="dxa"/>
            </w:tcMar>
            <w:vAlign w:val="center"/>
          </w:tcPr>
          <w:p w14:paraId="4F7EB116">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Summarized the main results in line with the study objectives: patients from ordinary units accounted for the highest proportion (72.4%), the peak of injuries occurred from late July to early August, the surgery rate was 86%, the main causes of injury were falls/sprains, the main injury sites were the wrist/hand and knee joint, and there were differences in the distribution of injury causes and sites across different years.</w:t>
            </w:r>
          </w:p>
        </w:tc>
      </w:tr>
      <w:tr w14:paraId="2F67907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1291" w:type="dxa"/>
            <w:tcMar>
              <w:top w:w="60" w:type="dxa"/>
              <w:left w:w="120" w:type="dxa"/>
              <w:bottom w:w="30" w:type="dxa"/>
              <w:right w:w="120" w:type="dxa"/>
            </w:tcMar>
            <w:vAlign w:val="center"/>
          </w:tcPr>
          <w:p w14:paraId="5E5CA3FF">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Limitations</w:t>
            </w:r>
          </w:p>
        </w:tc>
        <w:tc>
          <w:tcPr>
            <w:tcW w:w="1878" w:type="dxa"/>
            <w:tcMar>
              <w:top w:w="60" w:type="dxa"/>
              <w:left w:w="120" w:type="dxa"/>
              <w:bottom w:w="30" w:type="dxa"/>
              <w:right w:w="120" w:type="dxa"/>
            </w:tcMar>
            <w:vAlign w:val="center"/>
          </w:tcPr>
          <w:p w14:paraId="47C9D786">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19. Discuss the limitations of the study, considering sources of potential bias or imprecision; discuss the direction and magnitude of any potential bias.</w:t>
            </w:r>
          </w:p>
        </w:tc>
        <w:tc>
          <w:tcPr>
            <w:tcW w:w="1854" w:type="dxa"/>
            <w:tcMar>
              <w:top w:w="60" w:type="dxa"/>
              <w:left w:w="120" w:type="dxa"/>
              <w:bottom w:w="30" w:type="dxa"/>
              <w:right w:w="120" w:type="dxa"/>
            </w:tcMar>
            <w:vAlign w:val="center"/>
          </w:tcPr>
          <w:p w14:paraId="44806F3A">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RECORD 19.1: Discuss the impact of using data not collected for the specific research question; include discussions on misclassification bias, unmeasured confounding, missing data, and changes in eligibility over time relevant to the reported study.</w:t>
            </w:r>
          </w:p>
        </w:tc>
        <w:tc>
          <w:tcPr>
            <w:tcW w:w="3498" w:type="dxa"/>
            <w:tcMar>
              <w:top w:w="60" w:type="dxa"/>
              <w:left w:w="120" w:type="dxa"/>
              <w:bottom w:w="30" w:type="dxa"/>
              <w:right w:w="120" w:type="dxa"/>
            </w:tcMar>
            <w:vAlign w:val="center"/>
          </w:tcPr>
          <w:p w14:paraId="6312C8AE">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 xml:space="preserve">Discussed the study limitations: lack of a denominator for the at-risk population (inability to calculate incidence), selection bias due to single-center design (only hospitalized patients included, excluding mild cases), lack of long-term follow-up data, and limited generalizability of results to Ningxia PAP personnel only. </w:t>
            </w:r>
            <w:r>
              <w:rPr>
                <w:rFonts w:hint="default" w:ascii="Times New Roman" w:hAnsi="Times New Roman" w:eastAsia="等线" w:cs="Times New Roman"/>
                <w:sz w:val="22"/>
              </w:rPr>
              <w:br w:type="textWrapping"/>
            </w:r>
            <w:r>
              <w:rPr>
                <w:rFonts w:hint="default" w:ascii="Times New Roman" w:hAnsi="Times New Roman" w:eastAsia="等线" w:cs="Times New Roman"/>
                <w:sz w:val="22"/>
              </w:rPr>
              <w:t>RECORD 19.1: Discussed the impact of using routinely collected data, including limited analysis of injury mechanisms due to unrecorded training-related specific factors, underreporting of mild cases due to inclusion of only hospitalized patients, and impact on incidence calculation due to lack of a denominator for the at-risk population.</w:t>
            </w:r>
          </w:p>
        </w:tc>
      </w:tr>
      <w:tr w14:paraId="3866BC9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1291" w:type="dxa"/>
            <w:tcMar>
              <w:top w:w="60" w:type="dxa"/>
              <w:left w:w="120" w:type="dxa"/>
              <w:bottom w:w="30" w:type="dxa"/>
              <w:right w:w="120" w:type="dxa"/>
            </w:tcMar>
            <w:vAlign w:val="center"/>
          </w:tcPr>
          <w:p w14:paraId="1F2A5FAB">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Interpretation of Results</w:t>
            </w:r>
          </w:p>
        </w:tc>
        <w:tc>
          <w:tcPr>
            <w:tcW w:w="1878" w:type="dxa"/>
            <w:tcMar>
              <w:top w:w="60" w:type="dxa"/>
              <w:left w:w="120" w:type="dxa"/>
              <w:bottom w:w="30" w:type="dxa"/>
              <w:right w:w="120" w:type="dxa"/>
            </w:tcMar>
            <w:vAlign w:val="center"/>
          </w:tcPr>
          <w:p w14:paraId="3EB36E56">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20. Provide a cautious overall interpretation of the results in the context of the study objectives, limitations, multiple analyses, results of similar studies, and other relevant evidence.</w:t>
            </w:r>
          </w:p>
        </w:tc>
        <w:tc>
          <w:tcPr>
            <w:tcW w:w="1854" w:type="dxa"/>
            <w:tcMar>
              <w:top w:w="60" w:type="dxa"/>
              <w:left w:w="120" w:type="dxa"/>
              <w:bottom w:w="30" w:type="dxa"/>
              <w:right w:w="120" w:type="dxa"/>
            </w:tcMar>
            <w:vAlign w:val="center"/>
          </w:tcPr>
          <w:p w14:paraId="54CAA639">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w:t>
            </w:r>
          </w:p>
        </w:tc>
        <w:tc>
          <w:tcPr>
            <w:tcW w:w="3498" w:type="dxa"/>
            <w:tcMar>
              <w:top w:w="60" w:type="dxa"/>
              <w:left w:w="120" w:type="dxa"/>
              <w:bottom w:w="30" w:type="dxa"/>
              <w:right w:w="120" w:type="dxa"/>
            </w:tcMar>
            <w:vAlign w:val="center"/>
          </w:tcPr>
          <w:p w14:paraId="5004D170">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Interpreted the clinical significance of injury characteristics and temporal distribution cautiously in the context of the study objectives, limitations, and results of similar studies at home and abroad, and proposed targeted prevention strategies and resource optimization suggestions.</w:t>
            </w:r>
          </w:p>
        </w:tc>
      </w:tr>
      <w:tr w14:paraId="1B9BF0C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1291" w:type="dxa"/>
            <w:tcMar>
              <w:top w:w="60" w:type="dxa"/>
              <w:left w:w="120" w:type="dxa"/>
              <w:bottom w:w="30" w:type="dxa"/>
              <w:right w:w="120" w:type="dxa"/>
            </w:tcMar>
            <w:vAlign w:val="center"/>
          </w:tcPr>
          <w:p w14:paraId="23B14B52">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Generalizability</w:t>
            </w:r>
          </w:p>
        </w:tc>
        <w:tc>
          <w:tcPr>
            <w:tcW w:w="1878" w:type="dxa"/>
            <w:tcMar>
              <w:top w:w="60" w:type="dxa"/>
              <w:left w:w="120" w:type="dxa"/>
              <w:bottom w:w="30" w:type="dxa"/>
              <w:right w:w="120" w:type="dxa"/>
            </w:tcMar>
            <w:vAlign w:val="center"/>
          </w:tcPr>
          <w:p w14:paraId="0D419D65">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21. Discuss the generalizability (external validity) of the study results.</w:t>
            </w:r>
          </w:p>
        </w:tc>
        <w:tc>
          <w:tcPr>
            <w:tcW w:w="1854" w:type="dxa"/>
            <w:tcMar>
              <w:top w:w="60" w:type="dxa"/>
              <w:left w:w="120" w:type="dxa"/>
              <w:bottom w:w="30" w:type="dxa"/>
              <w:right w:w="120" w:type="dxa"/>
            </w:tcMar>
            <w:vAlign w:val="center"/>
          </w:tcPr>
          <w:p w14:paraId="27989FB7">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w:t>
            </w:r>
          </w:p>
        </w:tc>
        <w:tc>
          <w:tcPr>
            <w:tcW w:w="3498" w:type="dxa"/>
            <w:tcMar>
              <w:top w:w="60" w:type="dxa"/>
              <w:left w:w="120" w:type="dxa"/>
              <w:bottom w:w="30" w:type="dxa"/>
              <w:right w:w="120" w:type="dxa"/>
            </w:tcMar>
            <w:vAlign w:val="center"/>
          </w:tcPr>
          <w:p w14:paraId="0A6B92C0">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Discussed the generalizability of the results: applicable only to active-duty military personnel of Ningxia PAP; due to differences in training models and regional characteristics, it is difficult to directly generalize to other military branches or regions, but the circular distribution analysis method and some prevention strategies have certain generalizability.</w:t>
            </w:r>
          </w:p>
        </w:tc>
      </w:tr>
      <w:tr w14:paraId="5471EB7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1291" w:type="dxa"/>
            <w:tcMar>
              <w:top w:w="60" w:type="dxa"/>
              <w:left w:w="120" w:type="dxa"/>
              <w:bottom w:w="30" w:type="dxa"/>
              <w:right w:w="120" w:type="dxa"/>
            </w:tcMar>
            <w:vAlign w:val="center"/>
          </w:tcPr>
          <w:p w14:paraId="34659680">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Funding Support</w:t>
            </w:r>
          </w:p>
        </w:tc>
        <w:tc>
          <w:tcPr>
            <w:tcW w:w="1878" w:type="dxa"/>
            <w:tcMar>
              <w:top w:w="60" w:type="dxa"/>
              <w:left w:w="120" w:type="dxa"/>
              <w:bottom w:w="30" w:type="dxa"/>
              <w:right w:w="120" w:type="dxa"/>
            </w:tcMar>
            <w:vAlign w:val="center"/>
          </w:tcPr>
          <w:p w14:paraId="10A670C7">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22. State the source of funding for the study and the role of the funders; if applicable, state the source of funding for the original study on which this study is based and the role of the funders.</w:t>
            </w:r>
          </w:p>
        </w:tc>
        <w:tc>
          <w:tcPr>
            <w:tcW w:w="1854" w:type="dxa"/>
            <w:tcMar>
              <w:top w:w="60" w:type="dxa"/>
              <w:left w:w="120" w:type="dxa"/>
              <w:bottom w:w="30" w:type="dxa"/>
              <w:right w:w="120" w:type="dxa"/>
            </w:tcMar>
            <w:vAlign w:val="center"/>
          </w:tcPr>
          <w:p w14:paraId="5E8C2754">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RECORD 22.1: Authors should provide information on the availability of supplementary materials (e.g., study protocol, raw data, or program code).</w:t>
            </w:r>
          </w:p>
        </w:tc>
        <w:tc>
          <w:tcPr>
            <w:tcW w:w="3498" w:type="dxa"/>
            <w:tcMar>
              <w:top w:w="60" w:type="dxa"/>
              <w:left w:w="120" w:type="dxa"/>
              <w:bottom w:w="30" w:type="dxa"/>
              <w:right w:w="120" w:type="dxa"/>
            </w:tcMar>
            <w:vAlign w:val="center"/>
          </w:tcPr>
          <w:p w14:paraId="2FBFF607">
            <w:pPr>
              <w:snapToGrid w:val="0"/>
              <w:spacing w:before="120" w:after="120" w:line="240" w:lineRule="auto"/>
              <w:ind w:left="0" w:leftChars="0" w:right="0" w:rightChars="0" w:firstLine="0" w:firstLineChars="0"/>
              <w:jc w:val="left"/>
              <w:rPr>
                <w:rFonts w:hint="default" w:ascii="Times New Roman" w:hAnsi="Times New Roman" w:eastAsia="等线" w:cs="Times New Roman"/>
                <w:sz w:val="22"/>
              </w:rPr>
            </w:pPr>
            <w:r>
              <w:rPr>
                <w:rFonts w:hint="default" w:ascii="Times New Roman" w:hAnsi="Times New Roman" w:eastAsia="等线" w:cs="Times New Roman"/>
                <w:sz w:val="22"/>
              </w:rPr>
              <w:t xml:space="preserve">This study received no funding support; no information on the funding source of the original study was provided. </w:t>
            </w:r>
            <w:r>
              <w:rPr>
                <w:rFonts w:hint="default" w:ascii="Times New Roman" w:hAnsi="Times New Roman" w:eastAsia="等线" w:cs="Times New Roman"/>
                <w:sz w:val="22"/>
              </w:rPr>
              <w:br w:type="textWrapping"/>
            </w:r>
            <w:r>
              <w:rPr>
                <w:rFonts w:hint="default" w:ascii="Times New Roman" w:hAnsi="Times New Roman" w:eastAsia="等线" w:cs="Times New Roman"/>
                <w:sz w:val="22"/>
              </w:rPr>
              <w:t>RECORD 22.1: Relevant data supporting this study are available upon reasonable request from the authors.</w:t>
            </w:r>
          </w:p>
        </w:tc>
      </w:tr>
    </w:tbl>
    <w:p w14:paraId="6F98A270">
      <w:pPr>
        <w:spacing w:before="120" w:after="120" w:line="288" w:lineRule="auto"/>
        <w:ind w:left="0"/>
        <w:jc w:val="left"/>
      </w:pPr>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B0F26"/>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AAC5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documentProtection w:enforcement="0"/>
  <w:compat>
    <w:useFELayout/>
    <w:splitPgBreakAndParaMark/>
    <w:compatSetting w:name="compatibilityMode" w:uri="http://schemas.microsoft.com/office/word" w:val="12"/>
  </w:compat>
  <w:rsids>
    <w:rsidRoot w:val="00000000"/>
    <w:rsid w:val="3CB26E4D"/>
    <w:rsid w:val="70D164A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Pages>
  <Words>2323</Words>
  <Characters>14237</Characters>
  <TotalTime>2</TotalTime>
  <ScaleCrop>false</ScaleCrop>
  <LinksUpToDate>false</LinksUpToDate>
  <CharactersWithSpaces>16467</CharactersWithSpaces>
  <Application>WPS Office_12.1.0.24657_F1E327BC-269C-435d-A152-05C5408002CA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2026-01-27T18:49:00Z</dcterms:created>
  <dc:creator>我</dc:creator>
  <cp:lastModifiedBy>我</cp:lastModifiedBy>
  <dcterms:modified xsi:type="dcterms:W3CDTF">2026-01-27T18:54:20Z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eyJoZGlkIjoiMDY5NmFjMmM4ZTljMGJiZDAxN2JmYTc0NGI0NmFiNDgiLCJ1c2VySWQiOiI0MzA2MzI5MjEifQ==</vt:lpwstr>
  </property>
  <property fmtid="{D5CDD505-2E9C-101B-9397-08002B2CF9AE}" pid="3" name="KSOProductBuildVer">
    <vt:lpwstr>2052-12.1.0.24657</vt:lpwstr>
  </property>
  <property fmtid="{D5CDD505-2E9C-101B-9397-08002B2CF9AE}" pid="4" name="ICV">
    <vt:lpwstr>F0900FA725C74A2291A6B9966797AD03_12</vt:lpwstr>
  </property>
</Properties>
</file>