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C45F53">
      <w:pPr>
        <w:spacing w:line="360" w:lineRule="auto"/>
        <w:jc w:val="center"/>
        <w:rPr>
          <w:rFonts w:hint="eastAsia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heading_1"/>
      <w:r>
        <w:rPr>
          <w:rFonts w:hint="eastAsia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Statistical Tables with 95% Confidence Intervals</w:t>
      </w:r>
    </w:p>
    <w:p w14:paraId="0D6CD270">
      <w:pPr>
        <w:spacing w:line="360" w:lineRule="auto"/>
        <w:jc w:val="center"/>
        <w:rPr>
          <w:rFonts w:hint="default" w:ascii="Times New Roman" w:hAnsi="Times New Roman" w:cs="Times New Roman" w:eastAsiaTheme="majorEastAsia"/>
          <w:b w:val="0"/>
          <w:bCs w:val="0"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 w:eastAsiaTheme="majorEastAsia"/>
          <w:b w:val="0"/>
          <w:bCs w:val="0"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Epidemiological Characteristics of Military Musculoskeletal Injury Inpatients (2013-2022)</w:t>
      </w:r>
    </w:p>
    <w:p w14:paraId="65E7E3A3">
      <w:pPr>
        <w:jc w:val="center"/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1075CA60">
      <w:pPr>
        <w:jc w:val="center"/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S2-</w:t>
      </w:r>
      <w:r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1. Patient demographic characteristics.</w:t>
      </w:r>
      <w:bookmarkEnd w:id="0"/>
    </w:p>
    <w:tbl>
      <w:tblPr>
        <w:tblStyle w:val="2"/>
        <w:tblW w:w="8568" w:type="dxa"/>
        <w:tblInd w:w="0" w:type="dxa"/>
        <w:tblBorders>
          <w:top w:val="none" w:color="DEE0E3" w:sz="0" w:space="0"/>
          <w:left w:val="none" w:color="DEE0E3" w:sz="0" w:space="0"/>
          <w:bottom w:val="none" w:color="DEE0E3" w:sz="0" w:space="0"/>
          <w:right w:val="none" w:color="DEE0E3" w:sz="0" w:space="0"/>
          <w:insideH w:val="none" w:color="DEE0E3" w:sz="0" w:space="0"/>
          <w:insideV w:val="non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58"/>
        <w:gridCol w:w="600"/>
        <w:gridCol w:w="600"/>
        <w:gridCol w:w="600"/>
        <w:gridCol w:w="601"/>
        <w:gridCol w:w="601"/>
        <w:gridCol w:w="601"/>
        <w:gridCol w:w="601"/>
        <w:gridCol w:w="601"/>
        <w:gridCol w:w="601"/>
        <w:gridCol w:w="601"/>
        <w:gridCol w:w="601"/>
        <w:gridCol w:w="601"/>
        <w:gridCol w:w="601"/>
      </w:tblGrid>
      <w:tr w14:paraId="0F07B4DE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7" w:hRule="exact"/>
        </w:trPr>
        <w:tc>
          <w:tcPr>
            <w:tcW w:w="1531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6CBC9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Year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68EC7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2013 (n=83)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18061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2014 (n=78)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CE8B2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2015 (n=87)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2279A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2016 (n=111)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388BA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2017 (n=107)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14E27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2018 (n=145)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5567A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2019 (n=147)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C8E1D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2020 (n=97)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837CD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2021 (n=93)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07E69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2022 (n=76)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DCD58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Total (n=1024)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9822D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Test statistic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E6102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P</w:t>
            </w:r>
          </w:p>
        </w:tc>
      </w:tr>
      <w:tr w14:paraId="16599863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</w:trPr>
        <w:tc>
          <w:tcPr>
            <w:tcW w:w="1531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83000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Gender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20827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82294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6F335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1328B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F01DC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4B909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E65DE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F2E3B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68F65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E6342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0D4FE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0FD7A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χ²=10.8, df=9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E5D45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0.29</w:t>
            </w:r>
          </w:p>
        </w:tc>
      </w:tr>
      <w:tr w14:paraId="7F32DB91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7" w:hRule="exact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C420C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b w:val="0"/>
                <w:bCs w:val="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bCs w:val="0"/>
                <w:sz w:val="10"/>
                <w:szCs w:val="10"/>
              </w:rPr>
              <w:t>Male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7897A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81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(97.6%, 94.3%-100%)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D17C5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78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(100%, 95.4%-100%)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85C8D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86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(98.9%, 96.6%-100%)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CD14A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107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(96.4%, 92.8%-99.9%)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A5638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104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(97.2%, 93.9%-100%)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CFA89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141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(97.2%, 94.5%-99.9%)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066B3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145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(98.6%, 96.7%-100%)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F4E62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97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(100%, 96.3%-100%)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B36F6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92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(98.9%, 96.8%-100%)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82763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72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(94.7%, 89.7%-99.7%)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4DE85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1003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(97.9%, 97.0%-98.8%)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77EF7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91236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14:paraId="1A2F751A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7" w:hRule="exact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C7574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b w:val="0"/>
                <w:bCs w:val="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bCs w:val="0"/>
                <w:sz w:val="10"/>
                <w:szCs w:val="10"/>
              </w:rPr>
              <w:t>Female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72F99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(2.4%, 0%-5.7%)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ED439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(0%, 0%-4.6%)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B7004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(1.1%, 0%-3.4%)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14302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4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(3.6%, 0.1%-7.2%)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41B8B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(2.8%, 0%-6.1%)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9B0FF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4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(2.8%, 0.1%-5.5%)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DF764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(1.4%, 0%-3.3%)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4B894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(0%, 0%-3.7%)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A5DA8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(1.1%, 0%-3.2%)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604F7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4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(5.3%, 0.3%-10.3%)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AE3CA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21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(2.1%, 1.2%-3.0%)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47A2D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8D0BA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14:paraId="58866F10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7" w:hRule="exact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6E553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Age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AB899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21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(19-23, 95%CI 20-22)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C0AAE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(19-23, 95%CI 19-21)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A1097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21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(20-24, 95%CI 20-22)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CA274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21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(20-24, 95%CI 20-22)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7F198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22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(20-28, 95%CI 21-23)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225CE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22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(20-25, 95%CI 21-23)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6CA26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22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(20-24, 95%CI 21-23)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AF8D4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(20-25, 95%CI 22-24)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F0309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(20.5-25, 95%CI 22-24)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E2CAE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(21-27, 95%CI 22-24)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842F0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22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(20-25, 95%CI 21.7-22.3)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38FA1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H=35.6, df=9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DB6FF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&lt;0.01</w:t>
            </w:r>
          </w:p>
        </w:tc>
      </w:tr>
      <w:tr w14:paraId="4C144D58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7C01E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Age distribution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90CE1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4B53A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C5467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A162C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50164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4F828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1D32A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2D40B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F6463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73454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FEB14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2D68B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color w:val="FF0000"/>
                <w:sz w:val="10"/>
                <w:szCs w:val="10"/>
              </w:rPr>
              <w:t>χ²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=42.2, df=18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BF6CC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&lt;0.01</w:t>
            </w:r>
          </w:p>
        </w:tc>
      </w:tr>
      <w:tr w14:paraId="6BF169A8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7" w:hRule="exact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80BDE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b w:val="0"/>
                <w:bCs w:val="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bCs w:val="0"/>
                <w:sz w:val="10"/>
                <w:szCs w:val="10"/>
              </w:rPr>
              <w:t>&lt;20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E526E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40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(48.2%, 37.4%-59.0%)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12A78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43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(55.1%, 44.0%-66.2%)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A1601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36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(41.4%, 30.9%-51.9%)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608CE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46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(41.4%, 32.2%-50.6%)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52FB5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(30.8%, 22.1%-39.5%)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19397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46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(31.7%, 24.0%-39.4%)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DD4AC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51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(34.7%, 26.9%-42.5%)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374C7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27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(27.8%, 18.7%-36.9%)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25220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(24.7%, 15.8%-33.6%)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D513C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15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(19.7%, 10.7%-28.7%)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E0657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360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(35.2%, 32.3%-38.1%)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5578F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3C048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14:paraId="67952FB7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7" w:hRule="exact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96FFF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b w:val="0"/>
                <w:bCs w:val="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bCs w:val="0"/>
                <w:sz w:val="10"/>
                <w:szCs w:val="10"/>
              </w:rPr>
              <w:t>20-30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9B513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38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(45.8%, 35.0%-56.6%)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5AA2F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(42.3%, 31.3%-53.3%)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9F52A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42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(48.3%, 37.7%-58.9%)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180A5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54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(48.6%, 39.3%-57.9%)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EE32B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52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(48.6%, 39.1%-58.1%)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DC3D7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79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(54.5%, 46.3%-62.7%)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89D4F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77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(52.4%, 44.3%-60.5%)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EE080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60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(61.9%, 52.1%-71.7%)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F2DCB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60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(64.5%, 54.9%-74.1%)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F93C3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50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(65.8%, 55.3%-76.3%)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31651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545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(53.2%, 50.1%-56.3%)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A6E49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47702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14:paraId="5F1396C1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7" w:hRule="exact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59E54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b w:val="0"/>
                <w:bCs w:val="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bCs w:val="0"/>
                <w:sz w:val="10"/>
                <w:szCs w:val="10"/>
              </w:rPr>
              <w:t>&gt;30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EAEB0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5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(6.0%, 0.9%-11.1%)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DA21F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(2.6%, 0%-6.1%)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37A30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9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(10.3%, 3.9%-16.7%)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AB266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11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(10.0%, 4.3%-15.7%)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B5533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22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(20.6%, 12.9%-28.3%)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9D587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(13.8%, 8.1%-19.5%)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6930F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19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(12.9%, 7.5%-18.3%)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28BC3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(10.3%, 4.1%-16.5%)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C7E10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(10.8%, 4.4%-17.2%)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39230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11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(14.5%, 6.6%-22.4%)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3D0BB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119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(11.6%, 9.6%-13.6%)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1379B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6574E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14:paraId="42FBBC53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3B225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Ethnicity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0DAD2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666D4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2FB88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9CB03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F9C27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A83E1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33240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DCD01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46B25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0E401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8A542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344497">
            <w:pPr>
              <w:spacing w:before="120" w:after="120" w:line="288" w:lineRule="auto"/>
              <w:ind w:left="0"/>
              <w:jc w:val="center"/>
              <w:rPr>
                <w:rFonts w:hint="eastAsia" w:ascii="Times New Roman" w:hAnsi="Times New Roman" w:eastAsia="等线"/>
                <w:color w:val="FF0000"/>
                <w:sz w:val="10"/>
                <w:szCs w:val="10"/>
                <w:lang w:eastAsia="zh-CN"/>
              </w:rPr>
            </w:pPr>
            <w:r>
              <w:rPr>
                <w:rFonts w:ascii="Times New Roman" w:hAnsi="Times New Roman" w:eastAsia="等线" w:cs="Arial"/>
                <w:color w:val="FF0000"/>
                <w:sz w:val="10"/>
                <w:szCs w:val="10"/>
              </w:rPr>
              <w:t>χ²=10.3, df=</w:t>
            </w:r>
            <w:r>
              <w:rPr>
                <w:rFonts w:hint="eastAsia" w:ascii="Times New Roman" w:hAnsi="Times New Roman" w:eastAsia="等线" w:cs="Arial"/>
                <w:color w:val="FF0000"/>
                <w:sz w:val="10"/>
                <w:szCs w:val="10"/>
                <w:lang w:val="en-US" w:eastAsia="zh-CN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180385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Theme="minorEastAsia"/>
                <w:color w:val="FF0000"/>
                <w:sz w:val="10"/>
                <w:szCs w:val="10"/>
                <w:lang w:val="en-US" w:eastAsia="zh-CN"/>
              </w:rPr>
            </w:pPr>
            <w:r>
              <w:rPr>
                <w:rFonts w:hint="eastAsia" w:ascii="Times New Roman" w:hAnsi="Times New Roman" w:eastAsia="等线" w:cs="Arial"/>
                <w:color w:val="FF0000"/>
                <w:sz w:val="10"/>
                <w:szCs w:val="10"/>
                <w:lang w:val="en-US" w:eastAsia="zh-CN"/>
              </w:rPr>
              <w:t>0.33</w:t>
            </w:r>
          </w:p>
        </w:tc>
      </w:tr>
      <w:tr w14:paraId="674A0B28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7" w:hRule="exact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A8FC5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b w:val="0"/>
                <w:bCs w:val="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bCs w:val="0"/>
                <w:sz w:val="10"/>
                <w:szCs w:val="10"/>
              </w:rPr>
              <w:t>Han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F8762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76 (91.6%, 85.6%-97.6%)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31256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75 (96.2%, 92.0%-100%)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33D9A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82 (94.3%, 89.1%-99.5%)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5E3DF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103 (92.8%, 87.9%-97.7%)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0D414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100 (93.5%, 88.7%-98.3%)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5CD29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135 (93.1%, 88.9%-97.3%)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B716C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136 (92.5%, 88.1%-96.9%)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C73B7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90 (92.8%, 87.6%-98.0%)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9E1AA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86 (92.5%, 87.0%-98.0%)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40463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75 (98.7%, 96.1%-100%)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C6A6A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958 (93.6%, 92.1%-95.1%)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581EB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318F7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14:paraId="72104553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7" w:hRule="exact"/>
        </w:trPr>
        <w:tc>
          <w:tcPr>
            <w:tcW w:w="1531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6D055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b w:val="0"/>
                <w:bCs w:val="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bCs w:val="0"/>
                <w:sz w:val="10"/>
                <w:szCs w:val="10"/>
              </w:rPr>
              <w:t>Others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3F0A2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7 (8.4%, 2.4%-14.4%)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CAE9A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 (3.8%, 0%-8.0%)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224B3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5 (5.7%, 0.5%-10.9%)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1035A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8 (7.2%, 2.3%-12.1%)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0F422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7 (6.5%, 1.7%-11.3%)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09C90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10 (6.9%, 2.7%-11.1%)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98D00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11 (7.5%, 3.1%-11.9%)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A8AFF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7 (7.2%, 2.0%-12.4%)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780DF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7 (7.5%, 2.0%-13.0%)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C9F21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 (1.3%, 0%-3.9%)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7E966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66 (6.4%, 4.9%-7.9%)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10E2A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29275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</w:tr>
    </w:tbl>
    <w:p w14:paraId="42C3F53A">
      <w:pPr>
        <w:spacing w:before="120" w:after="120" w:line="288" w:lineRule="auto"/>
        <w:ind w:left="0"/>
        <w:jc w:val="left"/>
        <w:rPr>
          <w:rFonts w:ascii="Times New Roman" w:hAnsi="Times New Roman" w:eastAsia="等线" w:cs="Arial"/>
          <w:sz w:val="13"/>
          <w:szCs w:val="13"/>
        </w:rPr>
      </w:pPr>
      <w:r>
        <w:rPr>
          <w:rFonts w:ascii="Times New Roman" w:hAnsi="Times New Roman" w:eastAsia="等线" w:cs="Arial"/>
          <w:sz w:val="13"/>
          <w:szCs w:val="13"/>
        </w:rPr>
        <w:t>Continuous variables are presented as median (interquartile range, 95% confidence interval); categorical variables are presented as n (%, 95% confidence interval). P-values were calculated by Kruskal-Wallis test for continuous variables and chi-square test (or Monte Carlo exact test for cells with small expected counts) for categorical variables.</w:t>
      </w:r>
    </w:p>
    <w:p w14:paraId="64D31539">
      <w:pPr>
        <w:spacing w:before="120" w:after="120" w:line="288" w:lineRule="auto"/>
        <w:ind w:left="0"/>
        <w:jc w:val="left"/>
        <w:rPr>
          <w:rFonts w:ascii="Times New Roman" w:hAnsi="Times New Roman" w:eastAsia="等线" w:cs="Arial"/>
          <w:sz w:val="13"/>
          <w:szCs w:val="13"/>
        </w:rPr>
      </w:pPr>
    </w:p>
    <w:p w14:paraId="2C7EED22">
      <w:pPr>
        <w:spacing w:before="120" w:after="120" w:line="288" w:lineRule="auto"/>
        <w:ind w:left="0"/>
        <w:jc w:val="left"/>
        <w:rPr>
          <w:rFonts w:ascii="Times New Roman" w:hAnsi="Times New Roman" w:eastAsia="等线" w:cs="Arial"/>
          <w:sz w:val="13"/>
          <w:szCs w:val="13"/>
        </w:rPr>
      </w:pPr>
    </w:p>
    <w:p w14:paraId="0F8E2751">
      <w:pPr>
        <w:spacing w:before="120" w:after="120" w:line="288" w:lineRule="auto"/>
        <w:ind w:left="0"/>
        <w:jc w:val="left"/>
        <w:rPr>
          <w:rFonts w:ascii="Times New Roman" w:hAnsi="Times New Roman" w:eastAsia="等线" w:cs="Arial"/>
          <w:sz w:val="13"/>
          <w:szCs w:val="13"/>
        </w:rPr>
      </w:pPr>
    </w:p>
    <w:p w14:paraId="33452A04">
      <w:pPr>
        <w:spacing w:before="120" w:after="120" w:line="288" w:lineRule="auto"/>
        <w:ind w:left="0"/>
        <w:jc w:val="left"/>
        <w:rPr>
          <w:rFonts w:ascii="Times New Roman" w:hAnsi="Times New Roman" w:eastAsia="等线" w:cs="Arial"/>
          <w:sz w:val="13"/>
          <w:szCs w:val="13"/>
        </w:rPr>
      </w:pPr>
    </w:p>
    <w:p w14:paraId="51B8D31D">
      <w:pPr>
        <w:spacing w:before="120" w:after="120" w:line="288" w:lineRule="auto"/>
        <w:ind w:left="0"/>
        <w:jc w:val="left"/>
        <w:rPr>
          <w:rFonts w:ascii="Times New Roman" w:hAnsi="Times New Roman" w:eastAsia="等线" w:cs="Arial"/>
          <w:sz w:val="13"/>
          <w:szCs w:val="13"/>
        </w:rPr>
      </w:pPr>
    </w:p>
    <w:p w14:paraId="77F77826">
      <w:pPr>
        <w:spacing w:before="120" w:after="120" w:line="288" w:lineRule="auto"/>
        <w:ind w:left="0"/>
        <w:jc w:val="left"/>
        <w:rPr>
          <w:rFonts w:ascii="Times New Roman" w:hAnsi="Times New Roman" w:eastAsia="等线" w:cs="Arial"/>
          <w:sz w:val="13"/>
          <w:szCs w:val="13"/>
        </w:rPr>
      </w:pPr>
    </w:p>
    <w:p w14:paraId="4BD550D0">
      <w:pPr>
        <w:spacing w:before="120" w:after="120" w:line="288" w:lineRule="auto"/>
        <w:ind w:left="0"/>
        <w:jc w:val="left"/>
        <w:rPr>
          <w:rFonts w:ascii="Times New Roman" w:hAnsi="Times New Roman" w:eastAsia="等线" w:cs="Arial"/>
          <w:sz w:val="13"/>
          <w:szCs w:val="13"/>
        </w:rPr>
      </w:pPr>
    </w:p>
    <w:p w14:paraId="5826ECE9">
      <w:pPr>
        <w:spacing w:before="120" w:after="120" w:line="288" w:lineRule="auto"/>
        <w:ind w:left="0"/>
        <w:jc w:val="left"/>
        <w:rPr>
          <w:rFonts w:ascii="Times New Roman" w:hAnsi="Times New Roman" w:eastAsia="等线" w:cs="Arial"/>
          <w:sz w:val="13"/>
          <w:szCs w:val="13"/>
        </w:rPr>
      </w:pPr>
    </w:p>
    <w:p w14:paraId="6D82FDBA">
      <w:pPr>
        <w:spacing w:before="120" w:after="120" w:line="288" w:lineRule="auto"/>
        <w:ind w:left="0"/>
        <w:jc w:val="left"/>
        <w:rPr>
          <w:rFonts w:ascii="Times New Roman" w:hAnsi="Times New Roman" w:eastAsia="等线" w:cs="Arial"/>
          <w:sz w:val="13"/>
          <w:szCs w:val="13"/>
        </w:rPr>
      </w:pPr>
    </w:p>
    <w:p w14:paraId="5EDA222C">
      <w:pPr>
        <w:spacing w:before="120" w:after="120" w:line="288" w:lineRule="auto"/>
        <w:ind w:left="0"/>
        <w:jc w:val="left"/>
        <w:rPr>
          <w:rFonts w:ascii="Times New Roman" w:hAnsi="Times New Roman" w:eastAsia="等线" w:cs="Arial"/>
          <w:sz w:val="13"/>
          <w:szCs w:val="13"/>
        </w:rPr>
      </w:pPr>
    </w:p>
    <w:p w14:paraId="4E54AC18">
      <w:pPr>
        <w:spacing w:before="120" w:after="120" w:line="288" w:lineRule="auto"/>
        <w:ind w:left="0"/>
        <w:jc w:val="left"/>
        <w:rPr>
          <w:rFonts w:ascii="Times New Roman" w:hAnsi="Times New Roman" w:eastAsia="等线" w:cs="Arial"/>
          <w:sz w:val="13"/>
          <w:szCs w:val="13"/>
        </w:rPr>
      </w:pPr>
    </w:p>
    <w:p w14:paraId="77F420F6">
      <w:pPr>
        <w:spacing w:before="120" w:after="120" w:line="288" w:lineRule="auto"/>
        <w:ind w:left="0"/>
        <w:jc w:val="left"/>
        <w:rPr>
          <w:rFonts w:ascii="Times New Roman" w:hAnsi="Times New Roman" w:eastAsia="等线" w:cs="Arial"/>
          <w:sz w:val="13"/>
          <w:szCs w:val="13"/>
        </w:rPr>
      </w:pPr>
    </w:p>
    <w:p w14:paraId="6AB80A84">
      <w:pPr>
        <w:spacing w:before="120" w:after="120" w:line="288" w:lineRule="auto"/>
        <w:ind w:left="0"/>
        <w:jc w:val="left"/>
        <w:rPr>
          <w:rFonts w:ascii="Times New Roman" w:hAnsi="Times New Roman" w:eastAsia="等线" w:cs="Arial"/>
          <w:sz w:val="13"/>
          <w:szCs w:val="13"/>
        </w:rPr>
      </w:pPr>
    </w:p>
    <w:p w14:paraId="55E91AAA">
      <w:pPr>
        <w:jc w:val="center"/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S2-</w:t>
      </w:r>
      <w:r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2. Patient hospitalization-related characteristics.</w:t>
      </w:r>
    </w:p>
    <w:tbl>
      <w:tblPr>
        <w:tblStyle w:val="2"/>
        <w:tblpPr w:leftFromText="180" w:rightFromText="180" w:vertAnchor="text" w:horzAnchor="page" w:tblpX="1784" w:tblpY="233"/>
        <w:tblOverlap w:val="never"/>
        <w:tblW w:w="5000" w:type="pct"/>
        <w:tblInd w:w="0" w:type="dxa"/>
        <w:tblBorders>
          <w:top w:val="none" w:color="DEE0E3" w:sz="0" w:space="0"/>
          <w:left w:val="none" w:color="DEE0E3" w:sz="0" w:space="0"/>
          <w:bottom w:val="none" w:color="DEE0E3" w:sz="0" w:space="0"/>
          <w:right w:val="none" w:color="DEE0E3" w:sz="0" w:space="0"/>
          <w:insideH w:val="none" w:color="DEE0E3" w:sz="0" w:space="0"/>
          <w:insideV w:val="none" w:color="DEE0E3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24"/>
        <w:gridCol w:w="609"/>
        <w:gridCol w:w="609"/>
        <w:gridCol w:w="609"/>
        <w:gridCol w:w="609"/>
        <w:gridCol w:w="609"/>
        <w:gridCol w:w="609"/>
        <w:gridCol w:w="609"/>
        <w:gridCol w:w="618"/>
        <w:gridCol w:w="619"/>
        <w:gridCol w:w="619"/>
        <w:gridCol w:w="653"/>
        <w:gridCol w:w="576"/>
        <w:gridCol w:w="473"/>
      </w:tblGrid>
      <w:tr w14:paraId="17BC244C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9" w:hRule="exact"/>
        </w:trPr>
        <w:tc>
          <w:tcPr>
            <w:tcW w:w="411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1CA6E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bookmarkStart w:id="1" w:name="heading_2"/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Year</w:t>
            </w:r>
          </w:p>
        </w:tc>
        <w:tc>
          <w:tcPr>
            <w:tcW w:w="357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220F7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2013 </w:t>
            </w:r>
          </w:p>
        </w:tc>
        <w:tc>
          <w:tcPr>
            <w:tcW w:w="357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149BA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2014 </w:t>
            </w:r>
          </w:p>
        </w:tc>
        <w:tc>
          <w:tcPr>
            <w:tcW w:w="357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92445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2015 </w:t>
            </w:r>
          </w:p>
        </w:tc>
        <w:tc>
          <w:tcPr>
            <w:tcW w:w="357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7E6CD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2016 </w:t>
            </w:r>
          </w:p>
        </w:tc>
        <w:tc>
          <w:tcPr>
            <w:tcW w:w="357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A4158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2017 </w:t>
            </w:r>
          </w:p>
        </w:tc>
        <w:tc>
          <w:tcPr>
            <w:tcW w:w="357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CA9E2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2018 </w:t>
            </w:r>
          </w:p>
        </w:tc>
        <w:tc>
          <w:tcPr>
            <w:tcW w:w="357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A48D9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2019 </w:t>
            </w:r>
          </w:p>
        </w:tc>
        <w:tc>
          <w:tcPr>
            <w:tcW w:w="362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EC9E3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2020 </w:t>
            </w:r>
          </w:p>
        </w:tc>
        <w:tc>
          <w:tcPr>
            <w:tcW w:w="363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4C1EC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2021 </w:t>
            </w:r>
          </w:p>
        </w:tc>
        <w:tc>
          <w:tcPr>
            <w:tcW w:w="363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A6F1A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2022 </w:t>
            </w:r>
          </w:p>
        </w:tc>
        <w:tc>
          <w:tcPr>
            <w:tcW w:w="382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57779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Total </w:t>
            </w:r>
          </w:p>
        </w:tc>
        <w:tc>
          <w:tcPr>
            <w:tcW w:w="337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5799D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Test statistic</w:t>
            </w:r>
          </w:p>
        </w:tc>
        <w:tc>
          <w:tcPr>
            <w:tcW w:w="276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7EE43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P</w:t>
            </w:r>
          </w:p>
        </w:tc>
      </w:tr>
      <w:tr w14:paraId="49F2D309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</w:trPr>
        <w:tc>
          <w:tcPr>
            <w:tcW w:w="411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03539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Admission</w:t>
            </w:r>
          </w:p>
        </w:tc>
        <w:tc>
          <w:tcPr>
            <w:tcW w:w="357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97C4F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357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C7299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357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E8C18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357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3D557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357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0F233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357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DB680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357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67145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362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E9824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363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A3796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363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F8F98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382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01692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337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CD7A3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χ²=6.5, df=9</w:t>
            </w:r>
          </w:p>
        </w:tc>
        <w:tc>
          <w:tcPr>
            <w:tcW w:w="276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30B90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0.69</w:t>
            </w:r>
          </w:p>
        </w:tc>
      </w:tr>
      <w:tr w14:paraId="2D47FAD9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9" w:hRule="exact"/>
        </w:trPr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66FD5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Emergency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03928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21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(25.3%, 15.7%-34.9%)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348F7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19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(24.4%, 14.7%-34.1%)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AAC3A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(23.0%, 14.0%-32.0%)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74F5C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21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(18.9%, 11.5%-26.3%)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0494F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25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(23.4%, 15.2%-31.6%)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41CE8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28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(19.3%, 12.8%-25.8%)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71987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34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(23.1%, 16.2%-30.0%)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A5598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17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(17.5%, 9.8%-25.2%)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7B80F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(21.5%, 13.1%-29.9%)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8B8D4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(13.2%, 5.5%-20.9%)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3F231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215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(21.0%, 18.5%-23.5%)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DB616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E4561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</w:tr>
      <w:tr w14:paraId="5BD1732B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9" w:hRule="exact"/>
        </w:trPr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E35DB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Outpatient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8E69A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62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(74.7%, 65.1%-84.3%)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EDC02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59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(75.6%, 65.9%-85.3%)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2988C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67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(77.0%, 68.0%-86.0%)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5F5BB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90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(81.1%, 73.7%-88.5%)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DFAE4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82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(76.6%, 68.4%-84.8%)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3C960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117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(80.7%, 74.2%-87.2%)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873F0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113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(76.9%, 70.0%-83.8%)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EDA63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80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(82.5%, 74.8%-90.2%)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3BAA3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73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(78.5%, 70.1%-86.9%)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601B0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66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(86.8%, 79.1%-94.5%)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12F7E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809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(79.0%, 76.5%-81.5%)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64CA6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bookmarkStart w:id="3" w:name="_GoBack"/>
            <w:bookmarkEnd w:id="3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C7BB8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</w:tr>
      <w:tr w14:paraId="643E33F2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</w:trPr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AA07A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Unit type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9663A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C2034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4484E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C1DB7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8D867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8A39C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0634E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C53F4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A1864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D3C89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BF25B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21AAB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color w:val="FF0000"/>
                <w:sz w:val="10"/>
                <w:szCs w:val="10"/>
              </w:rPr>
            </w:pPr>
            <w:r>
              <w:rPr>
                <w:rFonts w:hint="default" w:ascii="Times New Roman" w:hAnsi="Times New Roman" w:eastAsia="等线" w:cs="Arial"/>
                <w:color w:val="FF0000"/>
                <w:sz w:val="10"/>
                <w:szCs w:val="10"/>
              </w:rPr>
              <w:t>χ²=</w:t>
            </w:r>
            <w:r>
              <w:rPr>
                <w:rFonts w:hint="eastAsia" w:ascii="Times New Roman" w:hAnsi="Times New Roman" w:eastAsia="等线" w:cs="Arial"/>
                <w:color w:val="FF0000"/>
                <w:sz w:val="10"/>
                <w:szCs w:val="10"/>
                <w:lang w:val="en-US" w:eastAsia="zh-CN"/>
              </w:rPr>
              <w:t>14.7</w:t>
            </w:r>
            <w:r>
              <w:rPr>
                <w:rFonts w:hint="default" w:ascii="Times New Roman" w:hAnsi="Times New Roman" w:eastAsia="等线" w:cs="Arial"/>
                <w:color w:val="FF0000"/>
                <w:sz w:val="10"/>
                <w:szCs w:val="10"/>
              </w:rPr>
              <w:t>, df=18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9A7F3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color w:val="FF0000"/>
                <w:sz w:val="10"/>
                <w:szCs w:val="10"/>
              </w:rPr>
            </w:pPr>
            <w:r>
              <w:rPr>
                <w:rFonts w:hint="eastAsia" w:ascii="Times New Roman" w:hAnsi="Times New Roman" w:eastAsia="等线" w:cs="Arial"/>
                <w:color w:val="FF0000"/>
                <w:sz w:val="10"/>
                <w:szCs w:val="10"/>
                <w:lang w:val="en-US" w:eastAsia="zh-CN"/>
              </w:rPr>
              <w:t>0.68</w:t>
            </w:r>
          </w:p>
        </w:tc>
      </w:tr>
      <w:tr w14:paraId="48D40419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9" w:hRule="exact"/>
        </w:trPr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D119D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bCs w:val="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bCs w:val="0"/>
                <w:sz w:val="10"/>
                <w:szCs w:val="10"/>
              </w:rPr>
              <w:t>Ordinary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396DB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51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(61.5%, 50.9%-72.1%)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FECBB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56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(71.8%, 61.8%-81.8%)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ED9BB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73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(83.9%, 76.1%-91.7%)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5E34D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80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(72.1%, 63.7%-80.5%)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02C17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83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(77.6%, 69.7%-85.5%)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9A8F6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110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(75.9%, 68.8%-83.0%)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FE723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97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(66.0%, 58.1%-73.9%)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AAFEF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67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(69.1%, 59.7%-78.5%)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4F0E6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67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(72.0%, 62.9%-81.1%)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D6D7C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57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(75.0%, 65.1%-84.9%)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8936B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741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(72.4%, 69.7%-75.1%)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30A91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87A28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</w:tr>
      <w:tr w14:paraId="70FE4D63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9" w:hRule="exact"/>
        </w:trPr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1836D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bCs w:val="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bCs w:val="0"/>
                <w:sz w:val="10"/>
                <w:szCs w:val="10"/>
              </w:rPr>
              <w:t>Special operations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AF1C1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29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(34.9%, 24.4%-45.4%)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A3BC0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19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(24.4%, 14.7%-34.1%)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0BD6B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(14.9%, 7.3%-22.5%)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1456E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28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(25.2%, 17.1%-33.3%)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F53D0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24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(22.4%, 14.4%-30.4%)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41B41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32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(22.1%, 15.1%-29.1%)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D1FEA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48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(32.7%, 24.8%-40.6%)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6F259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(30.9%, 21.5%-40.3%)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61412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(24.7%, 15.8%-33.6%)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9675E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18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(23.7%, 13.9%-33.5%)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B765E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264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(25.8%, 23.1%-28.5%)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7B87A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199C2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</w:tr>
      <w:tr w14:paraId="6B9C31C3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9" w:hRule="exact"/>
        </w:trPr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DC5D0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bCs w:val="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bCs w:val="0"/>
                <w:sz w:val="10"/>
                <w:szCs w:val="10"/>
              </w:rPr>
              <w:t>Recruit training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A8A87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(3.6%, 0%-7.7%)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D9D36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(3.8%, 0%-8.2%)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12569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(1.1%, 0%-3.4%)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90FC3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(2.7%, 0%-5.8%)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365A0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(0%, 0%-3.4%)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CD473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(2.0%, 0%-4.3%)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4968D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(1.4%, 0%-3.3%)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F2E2E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(0%, 0%-3.7%)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F2AD8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(3.2%, 0%-6.9%)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A35A8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(1.3%, 0%-3.9%)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CF30F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19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(1.9%, 1.0%-2.8%)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FBD23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0E09D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</w:tr>
      <w:tr w14:paraId="50DF399A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9" w:hRule="exact"/>
        </w:trPr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C62CE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Hospital stay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5BFCA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20.5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(13-32, 95%CI 17-24)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A5E21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22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(15-30, 95%CI 19-25)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11A0F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19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(12-25, 95%CI 17-21)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3B755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18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(14-23, 95%CI 17-19)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440CC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18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(14-23, 95%CI 17-19)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9296B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18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(13-22, 95%CI 17-19)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80503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15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(11-19, 95%CI 14-16)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5DD32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16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(13-20, 95%CI 15-17)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FA270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18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(13-20, 95%CI 17-19)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2B891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19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(14-27, 95%CI 17-21)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F8ED9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18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(13-23, 95%CI 17.3-18.7)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A4B06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H=48.3, df=9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177F2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&lt;0.01</w:t>
            </w:r>
          </w:p>
        </w:tc>
      </w:tr>
      <w:tr w14:paraId="6338A969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9" w:hRule="exact"/>
        </w:trPr>
        <w:tc>
          <w:tcPr>
            <w:tcW w:w="411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83EC0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Cost</w:t>
            </w:r>
          </w:p>
        </w:tc>
        <w:tc>
          <w:tcPr>
            <w:tcW w:w="357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DB4A2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3375.8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(2075.1-6023.4, 95%CI 2812-3940)</w:t>
            </w:r>
          </w:p>
        </w:tc>
        <w:tc>
          <w:tcPr>
            <w:tcW w:w="357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56F8F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3863.8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(2247.8-9055.2, 95%CI 3021-4707)</w:t>
            </w:r>
          </w:p>
        </w:tc>
        <w:tc>
          <w:tcPr>
            <w:tcW w:w="357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1360A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3696.4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(2634.0-5770.6, 95%CI 3205-4188)</w:t>
            </w:r>
          </w:p>
        </w:tc>
        <w:tc>
          <w:tcPr>
            <w:tcW w:w="357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C0730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4384.0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(2769.5-6393.2, 95%CI 3879-4889)</w:t>
            </w:r>
          </w:p>
        </w:tc>
        <w:tc>
          <w:tcPr>
            <w:tcW w:w="357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822AF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4666.9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(3195.8-7713.5, 95%CI 4012-5322)</w:t>
            </w:r>
          </w:p>
        </w:tc>
        <w:tc>
          <w:tcPr>
            <w:tcW w:w="357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82583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4489.3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(3382.1-8802.6, 95%CI 3908-5071)</w:t>
            </w:r>
          </w:p>
        </w:tc>
        <w:tc>
          <w:tcPr>
            <w:tcW w:w="357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95EF0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4610.3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(2957.2-9348.9, 95%CI 3921-5300)</w:t>
            </w:r>
          </w:p>
        </w:tc>
        <w:tc>
          <w:tcPr>
            <w:tcW w:w="362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5FE48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7167.1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(3830.0-17136.2, 95%CI 5518-8816)</w:t>
            </w:r>
          </w:p>
        </w:tc>
        <w:tc>
          <w:tcPr>
            <w:tcW w:w="363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6FB22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7981.5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(4187.8-17354.3, 95%CI 6188-9775)</w:t>
            </w:r>
          </w:p>
        </w:tc>
        <w:tc>
          <w:tcPr>
            <w:tcW w:w="363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DC168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6186.6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(3651.5-15464.4, 95%CI 4691-7682)</w:t>
            </w:r>
          </w:p>
        </w:tc>
        <w:tc>
          <w:tcPr>
            <w:tcW w:w="382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2F492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4666.9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(3056.9-9210.3, 95%CI 4281.5-5052.3)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03A41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H=52.2, df=9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38180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&lt;0.01</w:t>
            </w:r>
          </w:p>
        </w:tc>
      </w:tr>
      <w:bookmarkEnd w:id="1"/>
    </w:tbl>
    <w:p w14:paraId="69A64B8E">
      <w:pPr>
        <w:spacing w:before="120" w:after="120" w:line="288" w:lineRule="auto"/>
        <w:ind w:left="0"/>
        <w:jc w:val="left"/>
        <w:rPr>
          <w:rFonts w:ascii="Times New Roman" w:hAnsi="Times New Roman" w:eastAsia="等线" w:cs="Arial"/>
          <w:sz w:val="13"/>
          <w:szCs w:val="13"/>
        </w:rPr>
      </w:pPr>
      <w:r>
        <w:rPr>
          <w:rFonts w:ascii="Times New Roman" w:hAnsi="Times New Roman" w:eastAsia="等线" w:cs="Arial"/>
          <w:sz w:val="13"/>
          <w:szCs w:val="13"/>
        </w:rPr>
        <w:t>Continuous variables are presented as median (interquartile range, 95% confidence interval); categorical variablesare presented as n (%, 95% confidence interval). P-values were calculated by Kruskal-Wallis test for continuous variables and chi-square test (or Monte Carlo exact test for cells with small expected counts) for categorical variables.</w:t>
      </w:r>
    </w:p>
    <w:p w14:paraId="11FFF2EA">
      <w:pPr>
        <w:spacing w:before="260" w:after="120" w:line="288" w:lineRule="auto"/>
        <w:ind w:left="0"/>
        <w:jc w:val="left"/>
        <w:outlineLvl w:val="3"/>
        <w:rPr>
          <w:rFonts w:ascii="Times New Roman" w:hAnsi="Times New Roman" w:eastAsia="等线" w:cs="Arial"/>
          <w:b/>
          <w:sz w:val="28"/>
        </w:rPr>
      </w:pPr>
      <w:bookmarkStart w:id="2" w:name="heading_3"/>
    </w:p>
    <w:p w14:paraId="0CEDE4B3">
      <w:pPr>
        <w:spacing w:before="260" w:after="120" w:line="288" w:lineRule="auto"/>
        <w:ind w:left="0"/>
        <w:jc w:val="left"/>
        <w:outlineLvl w:val="3"/>
        <w:rPr>
          <w:rFonts w:ascii="Times New Roman" w:hAnsi="Times New Roman" w:eastAsia="等线" w:cs="Arial"/>
          <w:b/>
          <w:sz w:val="28"/>
        </w:rPr>
      </w:pPr>
    </w:p>
    <w:p w14:paraId="68A68065">
      <w:pPr>
        <w:spacing w:before="260" w:after="120" w:line="288" w:lineRule="auto"/>
        <w:ind w:left="0"/>
        <w:jc w:val="left"/>
        <w:outlineLvl w:val="3"/>
        <w:rPr>
          <w:rFonts w:ascii="Times New Roman" w:hAnsi="Times New Roman" w:eastAsia="等线" w:cs="Arial"/>
          <w:b/>
          <w:sz w:val="28"/>
        </w:rPr>
      </w:pPr>
    </w:p>
    <w:p w14:paraId="72CB342C">
      <w:pPr>
        <w:spacing w:before="260" w:after="120" w:line="288" w:lineRule="auto"/>
        <w:ind w:left="0"/>
        <w:jc w:val="left"/>
        <w:outlineLvl w:val="3"/>
        <w:rPr>
          <w:rFonts w:ascii="Times New Roman" w:hAnsi="Times New Roman" w:eastAsia="等线" w:cs="Arial"/>
          <w:b/>
          <w:sz w:val="28"/>
        </w:rPr>
      </w:pPr>
    </w:p>
    <w:p w14:paraId="3148B494">
      <w:pPr>
        <w:spacing w:before="260" w:after="120" w:line="288" w:lineRule="auto"/>
        <w:ind w:left="0"/>
        <w:jc w:val="left"/>
        <w:outlineLvl w:val="3"/>
        <w:rPr>
          <w:rFonts w:ascii="Times New Roman" w:hAnsi="Times New Roman" w:eastAsia="等线" w:cs="Arial"/>
          <w:b/>
          <w:sz w:val="28"/>
        </w:rPr>
      </w:pPr>
    </w:p>
    <w:p w14:paraId="2C93CFD6">
      <w:pPr>
        <w:spacing w:before="260" w:after="120" w:line="288" w:lineRule="auto"/>
        <w:ind w:left="0"/>
        <w:jc w:val="left"/>
        <w:outlineLvl w:val="3"/>
        <w:rPr>
          <w:rFonts w:ascii="Times New Roman" w:hAnsi="Times New Roman" w:eastAsia="等线" w:cs="Arial"/>
          <w:b/>
          <w:sz w:val="28"/>
        </w:rPr>
      </w:pPr>
    </w:p>
    <w:p w14:paraId="76360FA1">
      <w:pPr>
        <w:spacing w:before="260" w:after="120" w:line="288" w:lineRule="auto"/>
        <w:ind w:left="0"/>
        <w:jc w:val="left"/>
        <w:outlineLvl w:val="3"/>
        <w:rPr>
          <w:rFonts w:ascii="Times New Roman" w:hAnsi="Times New Roman" w:eastAsia="等线" w:cs="Arial"/>
          <w:b/>
          <w:sz w:val="28"/>
        </w:rPr>
      </w:pPr>
    </w:p>
    <w:p w14:paraId="748AC99E">
      <w:pPr>
        <w:spacing w:before="260" w:after="120" w:line="288" w:lineRule="auto"/>
        <w:ind w:left="0"/>
        <w:jc w:val="left"/>
        <w:outlineLvl w:val="3"/>
        <w:rPr>
          <w:rFonts w:ascii="Times New Roman" w:hAnsi="Times New Roman" w:eastAsia="等线" w:cs="Arial"/>
          <w:b/>
          <w:sz w:val="28"/>
        </w:rPr>
      </w:pPr>
    </w:p>
    <w:p w14:paraId="15C328AC">
      <w:pPr>
        <w:spacing w:before="260" w:after="120" w:line="288" w:lineRule="auto"/>
        <w:ind w:left="0"/>
        <w:jc w:val="left"/>
        <w:outlineLvl w:val="3"/>
        <w:rPr>
          <w:rFonts w:ascii="Times New Roman" w:hAnsi="Times New Roman" w:eastAsia="等线" w:cs="Arial"/>
          <w:b/>
          <w:sz w:val="28"/>
        </w:rPr>
      </w:pPr>
    </w:p>
    <w:p w14:paraId="57859F6C">
      <w:pPr>
        <w:jc w:val="center"/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S2-</w:t>
      </w:r>
      <w:r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3. Surgery status and surgery waiting time of patients.</w:t>
      </w:r>
      <w:bookmarkEnd w:id="2"/>
    </w:p>
    <w:p w14:paraId="0013D508">
      <w:pPr>
        <w:jc w:val="center"/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tbl>
      <w:tblPr>
        <w:tblStyle w:val="2"/>
        <w:tblW w:w="8596" w:type="dxa"/>
        <w:tblInd w:w="0" w:type="dxa"/>
        <w:tblBorders>
          <w:top w:val="none" w:color="DEE0E3" w:sz="0" w:space="0"/>
          <w:left w:val="none" w:color="DEE0E3" w:sz="0" w:space="0"/>
          <w:bottom w:val="none" w:color="DEE0E3" w:sz="0" w:space="0"/>
          <w:right w:val="none" w:color="DEE0E3" w:sz="0" w:space="0"/>
          <w:insideH w:val="none" w:color="DEE0E3" w:sz="0" w:space="0"/>
          <w:insideV w:val="non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14"/>
        <w:gridCol w:w="614"/>
        <w:gridCol w:w="614"/>
        <w:gridCol w:w="614"/>
        <w:gridCol w:w="614"/>
        <w:gridCol w:w="614"/>
        <w:gridCol w:w="614"/>
        <w:gridCol w:w="614"/>
        <w:gridCol w:w="614"/>
        <w:gridCol w:w="614"/>
        <w:gridCol w:w="614"/>
        <w:gridCol w:w="614"/>
        <w:gridCol w:w="614"/>
        <w:gridCol w:w="614"/>
      </w:tblGrid>
      <w:tr w14:paraId="0DDEFDFF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9" w:hRule="exact"/>
        </w:trPr>
        <w:tc>
          <w:tcPr>
            <w:tcW w:w="61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D285A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Year</w:t>
            </w:r>
          </w:p>
        </w:tc>
        <w:tc>
          <w:tcPr>
            <w:tcW w:w="61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B8794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2013</w:t>
            </w:r>
          </w:p>
        </w:tc>
        <w:tc>
          <w:tcPr>
            <w:tcW w:w="61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F6A1B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2014 </w:t>
            </w:r>
          </w:p>
        </w:tc>
        <w:tc>
          <w:tcPr>
            <w:tcW w:w="61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98A07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2015 </w:t>
            </w:r>
          </w:p>
        </w:tc>
        <w:tc>
          <w:tcPr>
            <w:tcW w:w="61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07E3B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2016 </w:t>
            </w:r>
          </w:p>
        </w:tc>
        <w:tc>
          <w:tcPr>
            <w:tcW w:w="61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7CEA7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2017 </w:t>
            </w:r>
          </w:p>
        </w:tc>
        <w:tc>
          <w:tcPr>
            <w:tcW w:w="61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F2A6F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2018 </w:t>
            </w:r>
          </w:p>
        </w:tc>
        <w:tc>
          <w:tcPr>
            <w:tcW w:w="61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71DEE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2019 </w:t>
            </w:r>
          </w:p>
        </w:tc>
        <w:tc>
          <w:tcPr>
            <w:tcW w:w="61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E248D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2020 </w:t>
            </w:r>
          </w:p>
        </w:tc>
        <w:tc>
          <w:tcPr>
            <w:tcW w:w="61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384A8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2021 </w:t>
            </w:r>
          </w:p>
        </w:tc>
        <w:tc>
          <w:tcPr>
            <w:tcW w:w="61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210B1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2022 </w:t>
            </w:r>
          </w:p>
        </w:tc>
        <w:tc>
          <w:tcPr>
            <w:tcW w:w="61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A62FC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Total </w:t>
            </w:r>
          </w:p>
        </w:tc>
        <w:tc>
          <w:tcPr>
            <w:tcW w:w="61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E5951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Test statistic</w:t>
            </w:r>
          </w:p>
        </w:tc>
        <w:tc>
          <w:tcPr>
            <w:tcW w:w="61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361B8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P</w:t>
            </w:r>
          </w:p>
        </w:tc>
      </w:tr>
      <w:tr w14:paraId="01CE4FCF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</w:trPr>
        <w:tc>
          <w:tcPr>
            <w:tcW w:w="61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7DCF4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Surgery</w:t>
            </w:r>
          </w:p>
        </w:tc>
        <w:tc>
          <w:tcPr>
            <w:tcW w:w="61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05374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960F6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55A6C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AA398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3F1B7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DF549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D3F6E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D7B3B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45414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FCAD2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FB2A5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E71FA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χ²=22.4, df=9</w:t>
            </w:r>
          </w:p>
        </w:tc>
        <w:tc>
          <w:tcPr>
            <w:tcW w:w="61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1159D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&lt;0.01</w:t>
            </w:r>
          </w:p>
        </w:tc>
      </w:tr>
      <w:tr w14:paraId="2197A55A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9" w:hRule="exact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8209B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bCs w:val="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bCs w:val="0"/>
                <w:sz w:val="10"/>
                <w:szCs w:val="10"/>
              </w:rPr>
              <w:t>Yes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80A55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70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(84.3%, 76.4%-92.2%)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750AB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66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(84.6%, 76.5%-92.7%)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26535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70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(80.5%, 72.0%-89.0%)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B1EB2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86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(77.5%, 69.7%-85.3%)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1C088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93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(86.9%, 80.4%-93.4%)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74F60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127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(87.6%, 82.1%-93.1%)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4302F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134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(91.2%, 86.6%-95.8%)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8A944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91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(93.8%, 89.1%-98.5%)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9FA5A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84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(90.3%, 83.9%-96.7%)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3E4A6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60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(78.9%, 69.7%-88.1%)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36DD0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881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(86.0%, 83.9%-88.1%)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B606A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5BE7E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</w:tr>
      <w:tr w14:paraId="54C0AE20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9" w:hRule="exact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C4974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bCs w:val="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bCs w:val="0"/>
                <w:sz w:val="10"/>
                <w:szCs w:val="10"/>
              </w:rPr>
              <w:t>No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D7C07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(15.7%, 7.8%-23.6%)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A0969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12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(15.4%, 7.3%-23.5%)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0602C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17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(19.5%, 11.0%-28.0%)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75BC1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25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(22.5%, 14.7%-30.3%)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AFFA5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14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(13.1%, 6.6%-19.6%)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844A3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18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(12.4%, 6.9%-17.9%)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BED25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(8.8%, 4.2%-13.4%)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68B3F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6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(6.2%, 1.5%-10.9%)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52487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9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(9.7%, 3.3%-16.1%)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55316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16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(21.1%, 11.9%-30.3%)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7D352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143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(14.0%, 11.9%-16.1%)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B367F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09D66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</w:p>
        </w:tc>
      </w:tr>
      <w:tr w14:paraId="57FBBA77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9" w:hRule="exact"/>
        </w:trPr>
        <w:tc>
          <w:tcPr>
            <w:tcW w:w="61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99829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Surgery waiting time</w:t>
            </w:r>
          </w:p>
        </w:tc>
        <w:tc>
          <w:tcPr>
            <w:tcW w:w="61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D226D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4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(2-5, 95%CI 3-5)</w:t>
            </w:r>
          </w:p>
        </w:tc>
        <w:tc>
          <w:tcPr>
            <w:tcW w:w="61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2FFCD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5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(2-7, 95%CI 4-6)</w:t>
            </w:r>
          </w:p>
        </w:tc>
        <w:tc>
          <w:tcPr>
            <w:tcW w:w="61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9B87B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4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(3-5.25, 95%CI 3-5)</w:t>
            </w:r>
          </w:p>
        </w:tc>
        <w:tc>
          <w:tcPr>
            <w:tcW w:w="61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FDDB0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4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(2-5, 95%CI 3-5)</w:t>
            </w:r>
          </w:p>
        </w:tc>
        <w:tc>
          <w:tcPr>
            <w:tcW w:w="61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B275F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4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(3-6.25, 95%CI 3-5)</w:t>
            </w:r>
          </w:p>
        </w:tc>
        <w:tc>
          <w:tcPr>
            <w:tcW w:w="61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C002D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4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(2-6, 95%CI 3-5)</w:t>
            </w:r>
          </w:p>
        </w:tc>
        <w:tc>
          <w:tcPr>
            <w:tcW w:w="61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356AD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4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(2-5, 95%CI 3-5)</w:t>
            </w:r>
          </w:p>
        </w:tc>
        <w:tc>
          <w:tcPr>
            <w:tcW w:w="61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52499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4.5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(2.75-6.25, 95%CI 4-5)</w:t>
            </w:r>
          </w:p>
        </w:tc>
        <w:tc>
          <w:tcPr>
            <w:tcW w:w="61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A52ED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5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(3-6, 95%CI 4-6)</w:t>
            </w:r>
          </w:p>
        </w:tc>
        <w:tc>
          <w:tcPr>
            <w:tcW w:w="61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74DF9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4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(2-5, 95%CI 3-5)</w:t>
            </w:r>
          </w:p>
        </w:tc>
        <w:tc>
          <w:tcPr>
            <w:tcW w:w="61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E6FB4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4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(2-6, 95%CI 3.8-4.2)</w:t>
            </w:r>
          </w:p>
        </w:tc>
        <w:tc>
          <w:tcPr>
            <w:tcW w:w="61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2C1C4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H=5.9, df=9</w:t>
            </w:r>
          </w:p>
        </w:tc>
        <w:tc>
          <w:tcPr>
            <w:tcW w:w="61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E6583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0.47</w:t>
            </w:r>
          </w:p>
        </w:tc>
      </w:tr>
    </w:tbl>
    <w:p w14:paraId="661B4842">
      <w:pPr>
        <w:spacing w:before="120" w:after="120" w:line="288" w:lineRule="auto"/>
        <w:ind w:left="0"/>
        <w:jc w:val="left"/>
        <w:rPr>
          <w:rFonts w:ascii="Times New Roman" w:hAnsi="Times New Roman" w:eastAsia="等线" w:cs="Arial"/>
          <w:sz w:val="13"/>
          <w:szCs w:val="13"/>
        </w:rPr>
      </w:pPr>
      <w:r>
        <w:rPr>
          <w:rFonts w:ascii="Times New Roman" w:hAnsi="Times New Roman" w:eastAsia="等线" w:cs="Arial"/>
          <w:sz w:val="13"/>
          <w:szCs w:val="13"/>
        </w:rPr>
        <w:t>Continuous variables are presented as median (interquartile range, 95% confidence interval); categorical variables are presented as n (%, 95% confidence interval). P-values were calculated by Kruskal-Wallis test for continuous variables and chi-square test (or Monte Carlo exact test for cells with small expected counts) for categorical variables.</w:t>
      </w:r>
    </w:p>
    <w:p w14:paraId="10B865E9">
      <w:pPr>
        <w:spacing w:before="120" w:after="120" w:line="288" w:lineRule="auto"/>
        <w:ind w:left="0"/>
        <w:jc w:val="left"/>
        <w:rPr>
          <w:rFonts w:ascii="Times New Roman" w:hAnsi="Times New Roman" w:eastAsia="等线" w:cs="Arial"/>
          <w:sz w:val="13"/>
          <w:szCs w:val="13"/>
        </w:rPr>
      </w:pPr>
    </w:p>
    <w:p w14:paraId="3C721C05">
      <w:pPr>
        <w:spacing w:before="120" w:after="120" w:line="288" w:lineRule="auto"/>
        <w:ind w:left="0"/>
        <w:jc w:val="left"/>
        <w:rPr>
          <w:rFonts w:ascii="Times New Roman" w:hAnsi="Times New Roman" w:eastAsia="等线" w:cs="Arial"/>
          <w:sz w:val="13"/>
          <w:szCs w:val="13"/>
        </w:rPr>
      </w:pPr>
    </w:p>
    <w:p w14:paraId="6E804A49">
      <w:pPr>
        <w:jc w:val="center"/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S2-</w:t>
      </w:r>
      <w:r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4. Distribution of injury causes among patients.</w:t>
      </w:r>
    </w:p>
    <w:p w14:paraId="651720E4">
      <w:pPr>
        <w:jc w:val="center"/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tbl>
      <w:tblPr>
        <w:tblStyle w:val="2"/>
        <w:tblW w:w="0" w:type="auto"/>
        <w:tblInd w:w="0" w:type="dxa"/>
        <w:tblBorders>
          <w:top w:val="none" w:color="DEE0E3" w:sz="0" w:space="0"/>
          <w:left w:val="none" w:color="DEE0E3" w:sz="0" w:space="0"/>
          <w:bottom w:val="none" w:color="DEE0E3" w:sz="0" w:space="0"/>
          <w:right w:val="none" w:color="DEE0E3" w:sz="0" w:space="0"/>
          <w:insideH w:val="none" w:color="DEE0E3" w:sz="0" w:space="0"/>
          <w:insideV w:val="non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90"/>
        <w:gridCol w:w="690"/>
        <w:gridCol w:w="690"/>
        <w:gridCol w:w="690"/>
        <w:gridCol w:w="690"/>
        <w:gridCol w:w="690"/>
        <w:gridCol w:w="690"/>
        <w:gridCol w:w="690"/>
        <w:gridCol w:w="690"/>
        <w:gridCol w:w="690"/>
        <w:gridCol w:w="690"/>
        <w:gridCol w:w="690"/>
      </w:tblGrid>
      <w:tr w14:paraId="5E3E2565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8754E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Year</w:t>
            </w:r>
          </w:p>
        </w:tc>
        <w:tc>
          <w:tcPr>
            <w:tcW w:w="69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35D1F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2013 </w:t>
            </w:r>
          </w:p>
        </w:tc>
        <w:tc>
          <w:tcPr>
            <w:tcW w:w="69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6156C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2014 </w:t>
            </w:r>
          </w:p>
        </w:tc>
        <w:tc>
          <w:tcPr>
            <w:tcW w:w="69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D81EB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2015 </w:t>
            </w:r>
          </w:p>
        </w:tc>
        <w:tc>
          <w:tcPr>
            <w:tcW w:w="69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16A04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2016 </w:t>
            </w:r>
          </w:p>
        </w:tc>
        <w:tc>
          <w:tcPr>
            <w:tcW w:w="69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EED51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2017 </w:t>
            </w:r>
          </w:p>
        </w:tc>
        <w:tc>
          <w:tcPr>
            <w:tcW w:w="69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6EAB1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2018 </w:t>
            </w:r>
          </w:p>
        </w:tc>
        <w:tc>
          <w:tcPr>
            <w:tcW w:w="69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7ED21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2019 </w:t>
            </w:r>
          </w:p>
        </w:tc>
        <w:tc>
          <w:tcPr>
            <w:tcW w:w="69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21460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2020 </w:t>
            </w:r>
          </w:p>
        </w:tc>
        <w:tc>
          <w:tcPr>
            <w:tcW w:w="69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CE00F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2021 </w:t>
            </w:r>
          </w:p>
        </w:tc>
        <w:tc>
          <w:tcPr>
            <w:tcW w:w="69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F658F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2022 </w:t>
            </w:r>
          </w:p>
        </w:tc>
        <w:tc>
          <w:tcPr>
            <w:tcW w:w="69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A79B8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 xml:space="preserve">Total </w:t>
            </w:r>
          </w:p>
        </w:tc>
      </w:tr>
      <w:tr w14:paraId="10D899A9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BA3B9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Falls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AF2F8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29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(34.9%, 24.7%-45.1%)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C9386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22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(28.2%, 18.1%-38.3%)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08442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40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(46.0%, 35.5%-56.5%)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ACBA0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40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(36.0%, 27.0%-45.0%)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7096A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51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(47.7%, 38.2%-57.2%)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5CDD0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44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(30.3%, 22.7%-37.9%)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2061C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(20.4%, 13.8%-27.0%)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52FEE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19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(19.6%, 11.5%-27.7%)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44DCD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16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(17.2%, 9.5%-24.9%)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F5678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16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(21.1%, 11.7%-30.5%)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E4992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307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(30.0%, 27.2%-32.8%)</w:t>
            </w:r>
          </w:p>
        </w:tc>
      </w:tr>
      <w:tr w14:paraId="5315B628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544B0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Sprains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3D062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18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(21.7%, 12.7%-30.7%)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D36DC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12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(15.4%, 7.4%-23.4%)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C2FD1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(11.5%, 4.7%-18.3%)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425CC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(20.7%, 13.1%-28.3%)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B8098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18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(16.8%, 9.6%-24.0%)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6502C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36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(24.8%, 17.8%-31.8%)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92570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45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(30.6%, 23.0%-38.2%)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DCE9C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(34.0%, 24.4%-43.6%)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0C2A5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(32.3%, 22.5%-42.1%)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ED82F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22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(28.9%, 18.5%-39.3%)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7B7C1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247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(24.1%, 21.5%-26.7%)</w:t>
            </w:r>
          </w:p>
        </w:tc>
      </w:tr>
      <w:tr w14:paraId="50CFE540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9BB8A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Secondary infections after trauma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D4E23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6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(7.2%, 1.6%-12.8%)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E6F7F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8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(10.3%, 3.5%-17.1%)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15B4A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(11.5%, 4.7%-18.3%)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AB7E9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19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(17.1%, 10.1%-24.1%)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927B7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(12.1%, 5.9%-18.3%)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DE8A7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19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(13.1%, 7.5%-18.7%)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03EB4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27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(18.4%, 12.1%-24.7%)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2E728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14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(14.4%, 7.4%-21.4%)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E0EB3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17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(18.3%, 10.4%-26.2%)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DEFEC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(13.2%, 5.5%-20.9%)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4824D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143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(14.0%, 11.9%-16.1%)</w:t>
            </w:r>
          </w:p>
        </w:tc>
      </w:tr>
      <w:tr w14:paraId="66A4E88B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31FF6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No obvious cause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4F3AB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12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(14.5%, 6.9%-22.1%)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ADCAE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(12.8%, 5.4%-20.2%)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855A9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15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(17.2%, 9.2%-25.2%)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14D31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12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(10.8%, 4.9%-16.7%)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F0F3F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5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(4.7%, 0.6%-8.8%)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857E6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19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(13.1%, 7.5%-18.7%)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3CA14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14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(9.5%, 4.7%-14.3%)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E594C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(10.3%, 4.1%-16.5%)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E094F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14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(15.1%, 7.9%-22.3%)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7385C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(17.1%, 8.7%-25.5%)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86F0B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124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(12.1%, 10.1%-14.1%)</w:t>
            </w:r>
          </w:p>
        </w:tc>
      </w:tr>
      <w:tr w14:paraId="6F4FDCC9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766A4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Cuts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FA338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(3.6%, 0%-7.7%)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ADC3A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8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(10.3%, 3.5%-17.1%)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B74CB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(3.4%, 0%-7.3%)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C9C2B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(2.7%, 0%-5.8%)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2E14B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(1.9%, 0%-4.5%)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043B7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(2.1%, 0%-4.4%)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754D7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5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(3.4%, 0.4%-6.4%)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D56CF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6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(6.2%, 1.5%-10.9%)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26556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(2.2%, 0%-5.2%)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7E65F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(2.6%, 0%-6.2%)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49CE4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37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(3.6%, 2.5%-4.7%)</w:t>
            </w:r>
          </w:p>
        </w:tc>
      </w:tr>
      <w:tr w14:paraId="7C4A6AF3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C4575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Strain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968C4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7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(8.4%, 2.4%-14.4%)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A056E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6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(7.7%, 1.6%-13.8%)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9BBC5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(3.4%, 0%-7.3%)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7C544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4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(3.6%, 0.2%-7.0%)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4F6DC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(2.8%, 0%-6.0%)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CFF7F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(2.1%, 0%-4.4%)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CFE42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(0%, 0%-2.5%)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85371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(1.0%, 0%-3.0%)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44B99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(2.2%, 0%-5.2%)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8BEA3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6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(7.9%, 1.7%-14.1%)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110C0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35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(3.4%, 2.3%-4.5%)</w:t>
            </w:r>
          </w:p>
        </w:tc>
      </w:tr>
      <w:tr w14:paraId="5206C716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D85B1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sz w:val="10"/>
                <w:szCs w:val="10"/>
              </w:rPr>
              <w:t>Others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D5C56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8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(9.6%, 3.2%-16.0%)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CF2C3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12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(15.4%, 7.4%-23.4%)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22275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6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(6.9%, 1.4%-12.4%)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5740A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10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(9.0%, 3.6%-14.4%)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FA860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15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(14.0%, 7.4%-20.6%)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708D3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21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(14.5%, 8.7%-20.3%)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27632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26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(17.7%, 11.5%-23.9%)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BED1E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14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(14.4%, 7.4%-21.4%)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08C05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12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(12.9%, 6.1%-19.7%)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B586C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7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(9.2%, 2.6%-15.8%)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C8147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sz w:val="10"/>
                <w:szCs w:val="10"/>
              </w:rPr>
              <w:t>131</w:t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sz w:val="10"/>
                <w:szCs w:val="10"/>
              </w:rPr>
              <w:t>(12.8%, 10.8%-14.8%)</w:t>
            </w:r>
          </w:p>
        </w:tc>
      </w:tr>
    </w:tbl>
    <w:p w14:paraId="7890143B">
      <w:pPr>
        <w:spacing w:before="120" w:after="120" w:line="288" w:lineRule="auto"/>
        <w:ind w:left="0"/>
        <w:jc w:val="left"/>
        <w:rPr>
          <w:rFonts w:ascii="Times New Roman" w:hAnsi="Times New Roman" w:eastAsia="等线" w:cs="Arial"/>
          <w:sz w:val="13"/>
          <w:szCs w:val="13"/>
        </w:rPr>
      </w:pPr>
      <w:r>
        <w:rPr>
          <w:rFonts w:ascii="Times New Roman" w:hAnsi="Times New Roman" w:eastAsia="等线" w:cs="Arial"/>
          <w:sz w:val="13"/>
          <w:szCs w:val="13"/>
        </w:rPr>
        <w:t>Categorical variables are presented as n (%, 95% confidence interval). P-values were calculated by chi-square test (or Monte Carlo exact test for cells with small expected counts).</w:t>
      </w:r>
    </w:p>
    <w:p w14:paraId="09DCA41C">
      <w:pPr>
        <w:jc w:val="center"/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700CA9A1">
      <w:pPr>
        <w:jc w:val="center"/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S2-</w:t>
      </w:r>
      <w:r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5. Distribution of injury sites among patients.</w:t>
      </w:r>
    </w:p>
    <w:p w14:paraId="0F07EA28">
      <w:pPr>
        <w:jc w:val="center"/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tbl>
      <w:tblPr>
        <w:tblStyle w:val="2"/>
        <w:tblW w:w="0" w:type="auto"/>
        <w:tblInd w:w="0" w:type="dxa"/>
        <w:tblBorders>
          <w:top w:val="none" w:color="DEE0E3" w:sz="0" w:space="0"/>
          <w:left w:val="none" w:color="DEE0E3" w:sz="0" w:space="0"/>
          <w:bottom w:val="none" w:color="DEE0E3" w:sz="0" w:space="0"/>
          <w:right w:val="none" w:color="DEE0E3" w:sz="0" w:space="0"/>
          <w:insideH w:val="none" w:color="DEE0E3" w:sz="0" w:space="0"/>
          <w:insideV w:val="non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90"/>
        <w:gridCol w:w="690"/>
        <w:gridCol w:w="690"/>
        <w:gridCol w:w="690"/>
        <w:gridCol w:w="690"/>
        <w:gridCol w:w="690"/>
        <w:gridCol w:w="690"/>
        <w:gridCol w:w="690"/>
        <w:gridCol w:w="690"/>
        <w:gridCol w:w="690"/>
        <w:gridCol w:w="690"/>
        <w:gridCol w:w="690"/>
      </w:tblGrid>
      <w:tr w14:paraId="50DD15F6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441D3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>Year</w:t>
            </w:r>
          </w:p>
        </w:tc>
        <w:tc>
          <w:tcPr>
            <w:tcW w:w="69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BEEA0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 xml:space="preserve">2013 </w:t>
            </w:r>
          </w:p>
        </w:tc>
        <w:tc>
          <w:tcPr>
            <w:tcW w:w="69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2A267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 xml:space="preserve">2014 </w:t>
            </w:r>
          </w:p>
        </w:tc>
        <w:tc>
          <w:tcPr>
            <w:tcW w:w="69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5DFDB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 xml:space="preserve">2015 </w:t>
            </w:r>
          </w:p>
        </w:tc>
        <w:tc>
          <w:tcPr>
            <w:tcW w:w="69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F6AA8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 xml:space="preserve">2016 </w:t>
            </w:r>
          </w:p>
        </w:tc>
        <w:tc>
          <w:tcPr>
            <w:tcW w:w="69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45948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 xml:space="preserve">2017 </w:t>
            </w:r>
          </w:p>
        </w:tc>
        <w:tc>
          <w:tcPr>
            <w:tcW w:w="69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7A64D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 xml:space="preserve">2018 </w:t>
            </w:r>
          </w:p>
        </w:tc>
        <w:tc>
          <w:tcPr>
            <w:tcW w:w="69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E09A8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 xml:space="preserve">2019 </w:t>
            </w:r>
          </w:p>
        </w:tc>
        <w:tc>
          <w:tcPr>
            <w:tcW w:w="69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C0DF6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 xml:space="preserve">2020 </w:t>
            </w:r>
          </w:p>
        </w:tc>
        <w:tc>
          <w:tcPr>
            <w:tcW w:w="69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24759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 xml:space="preserve">2021 </w:t>
            </w:r>
          </w:p>
        </w:tc>
        <w:tc>
          <w:tcPr>
            <w:tcW w:w="69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9760C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 xml:space="preserve">2022 </w:t>
            </w:r>
          </w:p>
        </w:tc>
        <w:tc>
          <w:tcPr>
            <w:tcW w:w="69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7533F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 xml:space="preserve">Total </w:t>
            </w:r>
          </w:p>
        </w:tc>
      </w:tr>
      <w:tr w14:paraId="4DC53D15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73E0B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Shoulder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3DC8F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(2.4%, 0%-5.7%)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00859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6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(7.7%, 1.6%-13.8%)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0DBB4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6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(6.9%, 1.4%-12.4%)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68DA4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4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(3.6%, 0.2%-7.0%)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26650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4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(3.7%, 0.1%-7.3%)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524DE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15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(10.3%, 5.3%-15.3%)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BE65F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16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(10.9%, 5.9%-15.9%)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D1912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7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(7.2%, 2.0%-12.4%)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973F3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6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(6.5%, 1.4%-11.6%)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DF67E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3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(3.9%, 0%-8.3%)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AB8028">
            <w:pPr>
              <w:spacing w:before="120" w:after="120" w:line="288" w:lineRule="auto"/>
              <w:ind w:left="0"/>
              <w:jc w:val="center"/>
              <w:rPr>
                <w:rFonts w:hint="eastAsia" w:ascii="Times New Roman" w:hAnsi="Times New Roman" w:eastAsia="等线" w:cs="Arial"/>
                <w:b w:val="0"/>
                <w:color w:val="FF0000"/>
                <w:sz w:val="10"/>
                <w:szCs w:val="10"/>
                <w:lang w:val="en-US" w:eastAsia="zh-CN"/>
              </w:rPr>
            </w:pPr>
            <w:r>
              <w:rPr>
                <w:rFonts w:hint="eastAsia" w:ascii="Times New Roman" w:hAnsi="Times New Roman" w:eastAsia="等线" w:cs="Arial"/>
                <w:b w:val="0"/>
                <w:color w:val="FF0000"/>
                <w:sz w:val="10"/>
                <w:szCs w:val="10"/>
                <w:lang w:val="en-US" w:eastAsia="zh-CN"/>
              </w:rPr>
              <w:t>69 (6.2%, 4.8%-7.6%)</w:t>
            </w:r>
          </w:p>
        </w:tc>
      </w:tr>
      <w:tr w14:paraId="3DE8D671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D55D9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>Elbow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E6C7F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(2.4%, 0%-5.7%)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D2CB8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(2.6%, 0%-6.1%)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66D98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(1.1%, 0%-3.4%)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7B56E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(1.8%, 0%-4.3%)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0F5C0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3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(2.8%, 0%-5.9%)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80B61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13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(9.0%, 4.2%-13.8%)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C1C9B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(1.4%, 0%-3.3%)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17E54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(1.0%, 0%-3.0%)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48E3C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(2.2%, 0%-5.2%)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09F71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4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(5.3%, 0.3%-10.3%)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E2F98E">
            <w:pPr>
              <w:spacing w:before="120" w:after="120" w:line="288" w:lineRule="auto"/>
              <w:ind w:left="0"/>
              <w:jc w:val="center"/>
              <w:rPr>
                <w:rFonts w:hint="eastAsia" w:ascii="Times New Roman" w:hAnsi="Times New Roman" w:eastAsia="等线" w:cs="Arial"/>
                <w:b w:val="0"/>
                <w:color w:val="FF0000"/>
                <w:sz w:val="10"/>
                <w:szCs w:val="10"/>
                <w:lang w:val="en-US" w:eastAsia="zh-CN"/>
              </w:rPr>
            </w:pPr>
            <w:r>
              <w:rPr>
                <w:rFonts w:hint="eastAsia" w:ascii="Times New Roman" w:hAnsi="Times New Roman" w:eastAsia="等线" w:cs="Arial"/>
                <w:b w:val="0"/>
                <w:color w:val="FF0000"/>
                <w:sz w:val="10"/>
                <w:szCs w:val="10"/>
                <w:lang w:val="en-US" w:eastAsia="zh-CN"/>
              </w:rPr>
              <w:t>32 (2.9%, 1.9%-3.9%)</w:t>
            </w:r>
          </w:p>
        </w:tc>
      </w:tr>
      <w:tr w14:paraId="4B9222A3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4E1E1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>Forearm/upper arm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7851F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8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(9.6%, 3.2%-16.0%)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D9CFE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14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(17.9%, 9.6%-26.2%)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95C56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13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(14.9%, 7.3%-22.5%)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DC7B5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15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(13.5%, 7.1%-19.9%)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0DADB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15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(14.0%, 7.4%-20.6%)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5D354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20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(13.8%, 8.1%-19.5%)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C4B85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16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(10.9%, 5.9%-15.9%)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853AF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9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(9.3%, 3.5%-15.1%)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2E6B8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10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(10.8%, 4.5%-17.1%)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9FDB8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11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(14.5%, 6.6%-22.4%)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D5859B">
            <w:pPr>
              <w:spacing w:before="120" w:after="120" w:line="288" w:lineRule="auto"/>
              <w:ind w:left="0"/>
              <w:jc w:val="center"/>
              <w:rPr>
                <w:rFonts w:hint="eastAsia" w:ascii="Times New Roman" w:hAnsi="Times New Roman" w:eastAsia="等线" w:cs="Arial"/>
                <w:b w:val="0"/>
                <w:color w:val="FF0000"/>
                <w:sz w:val="10"/>
                <w:szCs w:val="10"/>
                <w:lang w:val="en-US" w:eastAsia="zh-CN"/>
              </w:rPr>
            </w:pPr>
            <w:r>
              <w:rPr>
                <w:rFonts w:hint="eastAsia" w:ascii="Times New Roman" w:hAnsi="Times New Roman" w:eastAsia="等线" w:cs="Arial"/>
                <w:b w:val="0"/>
                <w:color w:val="FF0000"/>
                <w:sz w:val="10"/>
                <w:szCs w:val="10"/>
                <w:lang w:val="en-US" w:eastAsia="zh-CN"/>
              </w:rPr>
              <w:t>131 (11.8%, 9.9%-13.7%)</w:t>
            </w:r>
          </w:p>
        </w:tc>
      </w:tr>
      <w:tr w14:paraId="69D9D075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9103F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>Wrist and hand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F71F6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16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(19.3%, 10.9%-27.7%)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FAA21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22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(28.2%, 18.1%-38.3%)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5960B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19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(21.8%, 13.0%-30.6%)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3E81B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28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(25.2%, 17.1%-33.3%)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04D0B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28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(26.2%, 17.6%-34.8%)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1F5F1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34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(23.4%, 16.6%-30.2%)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51689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41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(27.9%, 20.4%-35.4%)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33743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28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(28.9%, 19.7%-38.1%)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99FD5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26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(28.0%, 18.7%-37.3%)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2F542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16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(21.1%, 11.7%-30.5%)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E1B097">
            <w:pPr>
              <w:spacing w:before="120" w:after="120" w:line="288" w:lineRule="auto"/>
              <w:ind w:left="0"/>
              <w:jc w:val="center"/>
              <w:rPr>
                <w:rFonts w:hint="eastAsia" w:ascii="Times New Roman" w:hAnsi="Times New Roman" w:eastAsia="等线" w:cs="Arial"/>
                <w:b w:val="0"/>
                <w:color w:val="FF0000"/>
                <w:sz w:val="10"/>
                <w:szCs w:val="10"/>
                <w:lang w:val="en-US" w:eastAsia="zh-CN"/>
              </w:rPr>
            </w:pPr>
            <w:r>
              <w:rPr>
                <w:rFonts w:hint="eastAsia" w:ascii="Times New Roman" w:hAnsi="Times New Roman" w:eastAsia="等线" w:cs="Arial"/>
                <w:b w:val="0"/>
                <w:color w:val="FF0000"/>
                <w:sz w:val="10"/>
                <w:szCs w:val="10"/>
                <w:lang w:val="en-US" w:eastAsia="zh-CN"/>
              </w:rPr>
              <w:t>258 (23.2%, 20.7%-25.7%)</w:t>
            </w:r>
          </w:p>
        </w:tc>
      </w:tr>
      <w:tr w14:paraId="3C709937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B28B7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>Spine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F5F67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14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(16.9%, 8.9%-24.9%)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F6CE3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4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(5.1%, 0.1%-10.1%)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1A8BC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5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(5.7%, 0.5%-10.9%)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FD3EE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4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(3.6%, 0.2%-7.0%)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DC83C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5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(4.7%, 0.6%-8.8%)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3955D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7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(4.8%, 1.3%-8.3%)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D6044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(0.7%, 0%-2.1%)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C4B62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(1.0%, 0%-3.0%)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EB807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(1.1%, 0%-3.2%)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7047B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5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(6.6%, 0.9%-12.3%)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325664">
            <w:pPr>
              <w:spacing w:before="120" w:after="120" w:line="288" w:lineRule="auto"/>
              <w:ind w:left="0"/>
              <w:jc w:val="center"/>
              <w:rPr>
                <w:rFonts w:hint="eastAsia" w:ascii="Times New Roman" w:hAnsi="Times New Roman" w:eastAsia="等线" w:cs="Arial"/>
                <w:b w:val="0"/>
                <w:color w:val="FF0000"/>
                <w:sz w:val="10"/>
                <w:szCs w:val="10"/>
                <w:lang w:val="en-US" w:eastAsia="zh-CN"/>
              </w:rPr>
            </w:pPr>
            <w:r>
              <w:rPr>
                <w:rFonts w:hint="eastAsia" w:ascii="Times New Roman" w:hAnsi="Times New Roman" w:eastAsia="等线" w:cs="Arial"/>
                <w:b w:val="0"/>
                <w:color w:val="FF0000"/>
                <w:sz w:val="10"/>
                <w:szCs w:val="10"/>
                <w:lang w:val="en-US" w:eastAsia="zh-CN"/>
              </w:rPr>
              <w:t>47 (4.2%, 3.0%-5.4%)</w:t>
            </w:r>
          </w:p>
        </w:tc>
      </w:tr>
      <w:tr w14:paraId="626588DC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4E6F9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>Thigh/lower leg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762D1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13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(15.7%, 7.8%-23.6%)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F831A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10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(12.8%, 5.4%-20.2%)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90D04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22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(25.3%, 16.1%-34.5%)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6313F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17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(15.3%, 8.7%-21.9%)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DF43E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13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(12.1%, 5.9%-18.3%)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ED22C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19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(13.1%, 7.5%-18.7%)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5F194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15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(10.2%, 5.3%-15.1%)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8F04C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13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(13.4%, 6.6%-20.2%)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CBC98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8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(8.6%, 2.9%-14.3%)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1FA9F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10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(13.2%, 5.5%-20.9%)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EC48BA">
            <w:pPr>
              <w:spacing w:before="120" w:after="120" w:line="288" w:lineRule="auto"/>
              <w:ind w:left="0"/>
              <w:jc w:val="center"/>
              <w:rPr>
                <w:rFonts w:hint="eastAsia" w:ascii="Times New Roman" w:hAnsi="Times New Roman" w:eastAsia="等线" w:cs="Arial"/>
                <w:b w:val="0"/>
                <w:color w:val="FF0000"/>
                <w:sz w:val="10"/>
                <w:szCs w:val="10"/>
                <w:lang w:val="en-US" w:eastAsia="zh-CN"/>
              </w:rPr>
            </w:pPr>
            <w:r>
              <w:rPr>
                <w:rFonts w:hint="eastAsia" w:ascii="Times New Roman" w:hAnsi="Times New Roman" w:eastAsia="等线" w:cs="Arial"/>
                <w:b w:val="0"/>
                <w:color w:val="FF0000"/>
                <w:sz w:val="10"/>
                <w:szCs w:val="10"/>
                <w:lang w:val="en-US" w:eastAsia="zh-CN"/>
              </w:rPr>
              <w:t>140 (12.6%, 10.7%-14.5%)</w:t>
            </w:r>
          </w:p>
        </w:tc>
      </w:tr>
      <w:tr w14:paraId="2CD0379E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12190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>Knee joint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647C1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14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(16.9%, 8.9%-24.9%)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66D44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15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(19.2%, 10.5%-27.9%)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9B30C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14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(16.1%, 8.5%-23.7%)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DE4F6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29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(26.1%, 17.9%-34.3%)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E72F0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30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(28.0%, 19.4%-36.6%)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CBB77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31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(21.4%, 14.8%-28.0%)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7EA32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39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(26.5%, 19.1%-33.9%)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F4F20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27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(27.8%, 18.7%-36.9%)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1B2E6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26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(28.0%, 18.7%-37.3%)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3D1CE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19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(25.0%, 15.1%-34.9%)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6BCAB8">
            <w:pPr>
              <w:spacing w:before="120" w:after="120" w:line="288" w:lineRule="auto"/>
              <w:ind w:left="0"/>
              <w:jc w:val="center"/>
              <w:rPr>
                <w:rFonts w:hint="eastAsia" w:ascii="Times New Roman" w:hAnsi="Times New Roman" w:eastAsia="等线" w:cs="Arial"/>
                <w:b w:val="0"/>
                <w:color w:val="FF0000"/>
                <w:sz w:val="10"/>
                <w:szCs w:val="10"/>
                <w:lang w:val="en-US" w:eastAsia="zh-CN"/>
              </w:rPr>
            </w:pPr>
            <w:r>
              <w:rPr>
                <w:rFonts w:hint="eastAsia" w:ascii="Times New Roman" w:hAnsi="Times New Roman" w:eastAsia="等线" w:cs="Arial"/>
                <w:b w:val="0"/>
                <w:color w:val="FF0000"/>
                <w:sz w:val="10"/>
                <w:szCs w:val="10"/>
                <w:lang w:val="en-US" w:eastAsia="zh-CN"/>
              </w:rPr>
              <w:t>244 (22.0%, 19.5%-24.5%)</w:t>
            </w:r>
          </w:p>
        </w:tc>
      </w:tr>
      <w:tr w14:paraId="4EE81A75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96C27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>Foot and ankle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291D0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17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(20.5%, 11.9%-29.1%)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D0DDF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11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(14.1%, 6.4%-21.8%)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92E2B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11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(12.6%, 5.6%-19.6%)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19EC1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18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(16.2%, 9.4%-23.0%)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1A685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16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(15.0%, 8.2%-21.8%)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6BCBB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22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(15.2%, 9.2%-21.2%)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8040B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27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(18.4%, 12.1%-24.7%)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2447B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22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(22.7%, 14.1%-31.3%)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948D9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22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(23.7%, 14.9%-32.5%)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BCB0D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18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(23.7%, 13.9%-33.5%)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6D133D">
            <w:pPr>
              <w:spacing w:before="120" w:after="120" w:line="288" w:lineRule="auto"/>
              <w:ind w:left="0"/>
              <w:jc w:val="center"/>
              <w:rPr>
                <w:rFonts w:hint="eastAsia" w:ascii="Times New Roman" w:hAnsi="Times New Roman" w:eastAsia="等线" w:cs="Arial"/>
                <w:b w:val="0"/>
                <w:color w:val="FF0000"/>
                <w:sz w:val="10"/>
                <w:szCs w:val="10"/>
                <w:lang w:val="en-US" w:eastAsia="zh-CN"/>
              </w:rPr>
            </w:pPr>
            <w:r>
              <w:rPr>
                <w:rFonts w:hint="eastAsia" w:ascii="Times New Roman" w:hAnsi="Times New Roman" w:eastAsia="等线" w:cs="Arial"/>
                <w:b w:val="0"/>
                <w:color w:val="FF0000"/>
                <w:sz w:val="10"/>
                <w:szCs w:val="10"/>
                <w:lang w:val="en-US" w:eastAsia="zh-CN"/>
              </w:rPr>
              <w:t>184 (16.6%, 14.4%-18.8%)</w:t>
            </w:r>
          </w:p>
        </w:tc>
      </w:tr>
      <w:tr w14:paraId="65CC024F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F4883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>Others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6B5FF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0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(0%, 0%-4.4%)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EC7BF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0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(0%, 0%-4.6%)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D5C4A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(1.1%, 0%-3.4%)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0EB11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(0.9%, 0%-2.7%)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84D72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0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(0%, 0%-3.4%)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78064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(0.7%, 0%-2.0%)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652EC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3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(2.0%, 0%-4.3%)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65AD0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0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(0%, 0%-3.7%)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22C5A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0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(0%, 0%-3.9%)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069B3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0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(0%, 0%-4.7%)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0B5DEC">
            <w:pPr>
              <w:spacing w:before="120" w:after="120" w:line="288" w:lineRule="auto"/>
              <w:ind w:left="0"/>
              <w:jc w:val="center"/>
              <w:rPr>
                <w:rFonts w:hint="eastAsia" w:ascii="Times New Roman" w:hAnsi="Times New Roman" w:eastAsia="等线" w:cs="Arial"/>
                <w:b w:val="0"/>
                <w:color w:val="FF0000"/>
                <w:sz w:val="10"/>
                <w:szCs w:val="10"/>
                <w:lang w:val="en-US" w:eastAsia="zh-CN"/>
              </w:rPr>
            </w:pPr>
            <w:r>
              <w:rPr>
                <w:rFonts w:hint="eastAsia" w:ascii="Times New Roman" w:hAnsi="Times New Roman" w:eastAsia="等线" w:cs="Arial"/>
                <w:b w:val="0"/>
                <w:color w:val="FF0000"/>
                <w:sz w:val="10"/>
                <w:szCs w:val="10"/>
                <w:lang w:val="en-US" w:eastAsia="zh-CN"/>
              </w:rPr>
              <w:t>6 (0.6%, 0.1%-0.9%)</w:t>
            </w:r>
          </w:p>
        </w:tc>
      </w:tr>
    </w:tbl>
    <w:p w14:paraId="098916E4">
      <w:pPr>
        <w:spacing w:before="120" w:after="120" w:line="288" w:lineRule="auto"/>
        <w:ind w:left="0"/>
        <w:jc w:val="left"/>
        <w:rPr>
          <w:rFonts w:hint="eastAsia" w:ascii="Times New Roman" w:hAnsi="Times New Roman" w:eastAsia="等线" w:cs="Arial"/>
          <w:sz w:val="13"/>
          <w:szCs w:val="13"/>
          <w:lang w:val="en-US" w:eastAsia="zh-CN"/>
        </w:rPr>
      </w:pPr>
      <w:r>
        <w:rPr>
          <w:rFonts w:ascii="Times New Roman" w:hAnsi="Times New Roman" w:eastAsia="等线" w:cs="Arial"/>
          <w:sz w:val="13"/>
          <w:szCs w:val="13"/>
        </w:rPr>
        <w:t>Categorical variables are presented as n (%, 95% confidence interval). P-values were calculated by chi-square test (or Monte Carlo exact test for cells with small expected counts).</w:t>
      </w:r>
      <w:r>
        <w:rPr>
          <w:rFonts w:hint="eastAsia" w:ascii="Times New Roman" w:hAnsi="Times New Roman" w:eastAsia="等线" w:cs="Arial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ajorEastAsia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ajorEastAsia"/>
          <w:color w:val="FF0000"/>
          <w:sz w:val="13"/>
          <w:szCs w:val="13"/>
          <w:lang w:val="en-US" w:eastAsia="zh-CN"/>
        </w:rPr>
        <w:t xml:space="preserve">Multiple injury sites per patient allowed; denominator = total injury sites (n=1111). </w:t>
      </w:r>
    </w:p>
    <w:p w14:paraId="341EAFB0">
      <w:pPr>
        <w:jc w:val="center"/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7AEAA4C6">
      <w:pPr>
        <w:jc w:val="center"/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054DC671">
      <w:pPr>
        <w:jc w:val="center"/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6C6CB358">
      <w:pPr>
        <w:jc w:val="center"/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6DC69395">
      <w:pPr>
        <w:jc w:val="center"/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64189EFC">
      <w:pPr>
        <w:jc w:val="center"/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15D3BCBE">
      <w:pPr>
        <w:jc w:val="center"/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25AED13F">
      <w:pPr>
        <w:jc w:val="center"/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36F76BA2">
      <w:pPr>
        <w:jc w:val="center"/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5E4ED66C">
      <w:pPr>
        <w:jc w:val="center"/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46CB819D">
      <w:pPr>
        <w:jc w:val="center"/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37E2B1B5">
      <w:pPr>
        <w:jc w:val="center"/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465F0CE7">
      <w:pPr>
        <w:jc w:val="center"/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61C8B64E">
      <w:pPr>
        <w:jc w:val="center"/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59243846">
      <w:pPr>
        <w:jc w:val="center"/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07A83B5D">
      <w:pPr>
        <w:jc w:val="center"/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03966C85">
      <w:pPr>
        <w:jc w:val="center"/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669BF27C">
      <w:pPr>
        <w:jc w:val="center"/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444B13AD">
      <w:pPr>
        <w:jc w:val="center"/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S2-</w:t>
      </w:r>
      <w:r>
        <w:rPr>
          <w:rFonts w:hint="default" w:ascii="Times New Roman" w:hAnsi="Times New Roman" w:cs="Times New Roman" w:eastAsiaTheme="majorEastAsia"/>
          <w:b/>
          <w:bCs/>
          <w:color w:val="000000" w:themeColor="text1"/>
          <w:kern w:val="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6. Distribution of injury types among patients.</w:t>
      </w:r>
    </w:p>
    <w:tbl>
      <w:tblPr>
        <w:tblStyle w:val="2"/>
        <w:tblpPr w:leftFromText="180" w:rightFromText="180" w:vertAnchor="text" w:horzAnchor="page" w:tblpX="1791" w:tblpY="243"/>
        <w:tblOverlap w:val="never"/>
        <w:tblW w:w="5000" w:type="pct"/>
        <w:tblInd w:w="0" w:type="dxa"/>
        <w:tblBorders>
          <w:top w:val="none" w:color="DEE0E3" w:sz="0" w:space="0"/>
          <w:left w:val="none" w:color="DEE0E3" w:sz="0" w:space="0"/>
          <w:bottom w:val="none" w:color="DEE0E3" w:sz="0" w:space="0"/>
          <w:right w:val="none" w:color="DEE0E3" w:sz="0" w:space="0"/>
          <w:insideH w:val="none" w:color="DEE0E3" w:sz="0" w:space="0"/>
          <w:insideV w:val="none" w:color="DEE0E3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8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</w:tblGrid>
      <w:tr w14:paraId="7396D2B2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6" w:hRule="atLeast"/>
        </w:trPr>
        <w:tc>
          <w:tcPr>
            <w:tcW w:w="513" w:type="pct"/>
            <w:tcBorders>
              <w:top w:val="single" w:color="auto" w:sz="12" w:space="0"/>
              <w:left w:val="nil"/>
              <w:bottom w:val="nil"/>
              <w:right w:val="nil"/>
              <w:tl2br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A4923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>Year</w:t>
            </w:r>
          </w:p>
        </w:tc>
        <w:tc>
          <w:tcPr>
            <w:tcW w:w="40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6733A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>2013</w:t>
            </w:r>
          </w:p>
        </w:tc>
        <w:tc>
          <w:tcPr>
            <w:tcW w:w="40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F0193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>2014</w:t>
            </w:r>
          </w:p>
        </w:tc>
        <w:tc>
          <w:tcPr>
            <w:tcW w:w="40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BF754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>2015</w:t>
            </w:r>
          </w:p>
        </w:tc>
        <w:tc>
          <w:tcPr>
            <w:tcW w:w="40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E4C84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>2016</w:t>
            </w:r>
          </w:p>
        </w:tc>
        <w:tc>
          <w:tcPr>
            <w:tcW w:w="40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740E2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>2017</w:t>
            </w:r>
          </w:p>
        </w:tc>
        <w:tc>
          <w:tcPr>
            <w:tcW w:w="40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10974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>2018</w:t>
            </w:r>
          </w:p>
        </w:tc>
        <w:tc>
          <w:tcPr>
            <w:tcW w:w="40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9FCE0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>2019</w:t>
            </w:r>
          </w:p>
        </w:tc>
        <w:tc>
          <w:tcPr>
            <w:tcW w:w="40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0B663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>2020</w:t>
            </w:r>
          </w:p>
        </w:tc>
        <w:tc>
          <w:tcPr>
            <w:tcW w:w="40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39761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>2021</w:t>
            </w:r>
          </w:p>
        </w:tc>
        <w:tc>
          <w:tcPr>
            <w:tcW w:w="40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212B8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>2022</w:t>
            </w:r>
          </w:p>
        </w:tc>
        <w:tc>
          <w:tcPr>
            <w:tcW w:w="40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8E345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>Total</w:t>
            </w:r>
          </w:p>
        </w:tc>
      </w:tr>
      <w:tr w14:paraId="530BD775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9" w:hRule="exact"/>
        </w:trPr>
        <w:tc>
          <w:tcPr>
            <w:tcW w:w="51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2875D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>Fractures</w:t>
            </w:r>
          </w:p>
        </w:tc>
        <w:tc>
          <w:tcPr>
            <w:tcW w:w="40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A99C6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41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(49.4%, 38.6%-60.2%)</w:t>
            </w:r>
          </w:p>
        </w:tc>
        <w:tc>
          <w:tcPr>
            <w:tcW w:w="40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143A0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30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(38.5%, 27.5%-49.5%)</w:t>
            </w:r>
          </w:p>
        </w:tc>
        <w:tc>
          <w:tcPr>
            <w:tcW w:w="40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B4256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47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(54.0%, 43.5%-64.5%)</w:t>
            </w:r>
          </w:p>
        </w:tc>
        <w:tc>
          <w:tcPr>
            <w:tcW w:w="40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94A60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54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(48.6%, 39.3%-57.9%)</w:t>
            </w:r>
          </w:p>
        </w:tc>
        <w:tc>
          <w:tcPr>
            <w:tcW w:w="40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A5DC2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47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(43.9%, 34.5%-53.3%)</w:t>
            </w:r>
          </w:p>
        </w:tc>
        <w:tc>
          <w:tcPr>
            <w:tcW w:w="40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EA234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65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(44.8%, 36.6%-53.0%)</w:t>
            </w:r>
          </w:p>
        </w:tc>
        <w:tc>
          <w:tcPr>
            <w:tcW w:w="40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390C5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58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(39.5%, 31.5%-47.5%)</w:t>
            </w:r>
          </w:p>
        </w:tc>
        <w:tc>
          <w:tcPr>
            <w:tcW w:w="40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54FE0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42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(43.3%, 33.3%-53.3%)</w:t>
            </w:r>
          </w:p>
        </w:tc>
        <w:tc>
          <w:tcPr>
            <w:tcW w:w="40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659E6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28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(30.1%, 20.5%-39.7%)</w:t>
            </w:r>
          </w:p>
        </w:tc>
        <w:tc>
          <w:tcPr>
            <w:tcW w:w="40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195F2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28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(36.8%, 25.7%-47.9%)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4985E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FF0000"/>
                <w:sz w:val="10"/>
                <w:szCs w:val="10"/>
              </w:rPr>
            </w:pPr>
            <w:r>
              <w:rPr>
                <w:rFonts w:hint="eastAsia" w:ascii="Times New Roman" w:hAnsi="Times New Roman" w:eastAsia="等线" w:cs="Arial"/>
                <w:b w:val="0"/>
                <w:color w:val="FF0000"/>
                <w:sz w:val="10"/>
                <w:szCs w:val="10"/>
                <w:lang w:val="en-US" w:eastAsia="zh-CN"/>
              </w:rPr>
              <w:t>440 (39.1%, 36.1%-42.1%)</w:t>
            </w:r>
          </w:p>
        </w:tc>
      </w:tr>
      <w:tr w14:paraId="3F57E696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9" w:hRule="exact"/>
        </w:trPr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D5CE9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>Joint injuries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6706A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15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(18.1%, 9.7%-26.5%)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7D822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20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(25.6%, 15.8%-35.4%)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7B359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16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(18.4%, 10.2%-26.6%)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7D96C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25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(22.5%, 14.7%-30.3%)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52931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28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(26.2%, 17.6%-34.8%)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9C1FB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41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(28.3%, 20.7%-35.9%)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0D483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45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(30.6%, 23.0%-38.2%)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DD640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29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(29.9%, 20.7%-39.1%)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23C7E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29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(31.2%, 21.5%-40.9%)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8F13D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26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(34.2%, 23.3%-45.1%)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1E759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FF0000"/>
                <w:sz w:val="10"/>
                <w:szCs w:val="10"/>
              </w:rPr>
            </w:pPr>
            <w:r>
              <w:rPr>
                <w:rFonts w:hint="eastAsia" w:ascii="Times New Roman" w:hAnsi="Times New Roman" w:eastAsia="等线" w:cs="Arial"/>
                <w:b w:val="0"/>
                <w:color w:val="FF0000"/>
                <w:sz w:val="10"/>
                <w:szCs w:val="10"/>
                <w:lang w:val="en-US" w:eastAsia="zh-CN"/>
              </w:rPr>
              <w:t>274 (24.4%, 21.8%-27.0%)</w:t>
            </w:r>
          </w:p>
        </w:tc>
      </w:tr>
      <w:tr w14:paraId="1FB9D68D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9" w:hRule="exact"/>
        </w:trPr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29032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>Dislocations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1FABD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5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(6.0%, 0.9%-11.1%)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C0A86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4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(5.1%, 0.1%-10.1%)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3E010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7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(8.0%, 2.1%-13.9%)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712D9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11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(9.9%, 4.3%-15.5%)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4B9EC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9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(8.4%, 3.1%-13.7%)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A1FED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16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(11.0%, 5.9%-16.1%)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B3A7A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17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(11.6%, 6.3%-16.9%)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12C18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6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(6.2%, 1.5%-10.9%)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09CD9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5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(5.4%, 0.7%-10.1%)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118C6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6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(7.9%, 1.7%-14.1%)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E3B23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FF0000"/>
                <w:sz w:val="10"/>
                <w:szCs w:val="10"/>
              </w:rPr>
            </w:pPr>
            <w:r>
              <w:rPr>
                <w:rFonts w:hint="eastAsia" w:ascii="Times New Roman" w:hAnsi="Times New Roman" w:eastAsia="等线" w:cs="Arial"/>
                <w:b w:val="0"/>
                <w:color w:val="FF0000"/>
                <w:sz w:val="10"/>
                <w:szCs w:val="10"/>
                <w:lang w:val="en-US" w:eastAsia="zh-CN"/>
              </w:rPr>
              <w:t>86 (7.7%, 6.1%-9.3%)</w:t>
            </w:r>
          </w:p>
        </w:tc>
      </w:tr>
      <w:tr w14:paraId="2D45A073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9" w:hRule="exact"/>
        </w:trPr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BC2E2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>Muscle and tendon injuries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9D302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6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(7.2%, 1.6%-12.8%)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0DA86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10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(12.8%, 5.4%-20.2%)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80007E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4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(4.6%, 0.1%-9.1%)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81901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5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(4.5%, 0.6%-8.4%)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D8DAC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11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(10.3%, 4.4%-16.2%)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22EBF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11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(7.6%, 3.2%-12.0%)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0BE78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15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(10.2%, 5.3%-15.1%)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35F3F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9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(9.3%, 3.5%-15.1%)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E6C5B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8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(8.6%, 2.9%-14.3%)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2DFD24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6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(7.9%, 1.7%-14.1%)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55515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FF0000"/>
                <w:sz w:val="10"/>
                <w:szCs w:val="10"/>
              </w:rPr>
            </w:pPr>
            <w:r>
              <w:rPr>
                <w:rFonts w:hint="eastAsia" w:ascii="Times New Roman" w:hAnsi="Times New Roman" w:eastAsia="等线" w:cs="Arial"/>
                <w:b w:val="0"/>
                <w:color w:val="FF0000"/>
                <w:sz w:val="10"/>
                <w:szCs w:val="10"/>
                <w:lang w:val="en-US" w:eastAsia="zh-CN"/>
              </w:rPr>
              <w:t>85 (7.6%, 6.0%-9.2%)</w:t>
            </w:r>
          </w:p>
        </w:tc>
      </w:tr>
      <w:tr w14:paraId="7F618909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9" w:hRule="exact"/>
        </w:trPr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E85CC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>Skin injuries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433FB6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7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(8.4%, 2.4%-14.4%)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A9607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11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(14.1%, 6.4%-21.8%)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DB876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7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(8.0%, 2.1%-13.9%)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608B6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5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(4.5%, 0.6%-8.4%)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E955A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6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(5.6%, 1.1%-10.1%)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5F10C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(1.4%, 0%-3.3%)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A7CAB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12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(8.2%, 3.7%-12.7%)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83CE1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9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(9.3%, 3.5%-15.1%)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3A4428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8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(8.6%, 2.9%-14.3%)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591FA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5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(6.6%, 0.9%-12.3%)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0B588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FF0000"/>
                <w:sz w:val="10"/>
                <w:szCs w:val="10"/>
              </w:rPr>
            </w:pPr>
            <w:r>
              <w:rPr>
                <w:rFonts w:hint="eastAsia" w:ascii="Times New Roman" w:hAnsi="Times New Roman" w:eastAsia="等线" w:cs="Arial"/>
                <w:b w:val="0"/>
                <w:color w:val="FF0000"/>
                <w:sz w:val="10"/>
                <w:szCs w:val="10"/>
                <w:lang w:val="en-US" w:eastAsia="zh-CN"/>
              </w:rPr>
              <w:t>72 (6.4%, 4.9%-7.9%)</w:t>
            </w:r>
          </w:p>
        </w:tc>
      </w:tr>
      <w:tr w14:paraId="45F698E4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9" w:hRule="exact"/>
        </w:trPr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4AA80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>Nerve and vascular injuries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ADC7B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(1.2%, 0%-3.6%)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AB228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(2.6%, 0%-6.1%)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7A054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2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(2.3%, 0%-5.4%)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4B821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3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(2.7%, 0%-5.8%)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84D7C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0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(0%, 0%-3.4%)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78679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7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(4.8%, 1.3%-8.3%)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77A6CD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4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(2.7%, 0.1%-5.3%)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B1EDA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3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(3.1%, 0%-6.6%)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64A89F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4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(4.3%, 0.1%-8.5%)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EF3A83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0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(0%, 0%-4.7%)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C7334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FF0000"/>
                <w:sz w:val="10"/>
                <w:szCs w:val="10"/>
              </w:rPr>
            </w:pPr>
            <w:r>
              <w:rPr>
                <w:rFonts w:hint="eastAsia" w:ascii="Times New Roman" w:hAnsi="Times New Roman" w:eastAsia="等线" w:cs="Arial"/>
                <w:b w:val="0"/>
                <w:color w:val="FF0000"/>
                <w:sz w:val="10"/>
                <w:szCs w:val="10"/>
                <w:lang w:val="en-US" w:eastAsia="zh-CN"/>
              </w:rPr>
              <w:t>26 (2.3%, 1.4%-3.2%)</w:t>
            </w:r>
          </w:p>
        </w:tc>
      </w:tr>
      <w:tr w14:paraId="41DF645A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9" w:hRule="exact"/>
        </w:trPr>
        <w:tc>
          <w:tcPr>
            <w:tcW w:w="51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14807B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/>
                <w:bCs/>
                <w:color w:val="000000"/>
                <w:sz w:val="10"/>
                <w:szCs w:val="10"/>
              </w:rPr>
              <w:t>Others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F4EC6C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8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(9.6%, 3.2%-16.0%)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CC8861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11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(14.1%, 6.4%-21.8%)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2ED41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11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(12.6%, 5.6%-19.6%)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AE4EBA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18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(16.2%, 9.4%-23.0%)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88987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13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(12.1%, 5.9%-18.3%)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FE6199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16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(11.0%, 5.9%-16.1%)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69AE9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18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(12.2%, 6.9%-17.5%)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0DFA97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10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(10.3%, 4.1%-16.5%)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C2069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16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(17.2%, 9.5%-24.9%)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1DCEC2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12</w:t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br w:type="textWrapping"/>
            </w:r>
            <w:r>
              <w:rPr>
                <w:rFonts w:ascii="Times New Roman" w:hAnsi="Times New Roman" w:eastAsia="等线" w:cs="Arial"/>
                <w:b w:val="0"/>
                <w:color w:val="000000"/>
                <w:sz w:val="10"/>
                <w:szCs w:val="10"/>
              </w:rPr>
              <w:t>(15.8%, 7.7%-23.9%)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413B30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eastAsia="等线" w:cs="Arial"/>
                <w:b w:val="0"/>
                <w:color w:val="FF0000"/>
                <w:sz w:val="10"/>
                <w:szCs w:val="10"/>
              </w:rPr>
            </w:pPr>
            <w:r>
              <w:rPr>
                <w:rFonts w:hint="eastAsia" w:ascii="Times New Roman" w:hAnsi="Times New Roman" w:eastAsia="等线" w:cs="Arial"/>
                <w:b w:val="0"/>
                <w:color w:val="FF0000"/>
                <w:sz w:val="10"/>
                <w:szCs w:val="10"/>
                <w:lang w:val="en-US" w:eastAsia="zh-CN"/>
              </w:rPr>
              <w:t>141 (12.5%, 10.6%-14.4%)</w:t>
            </w:r>
          </w:p>
        </w:tc>
      </w:tr>
    </w:tbl>
    <w:p w14:paraId="02E022FE">
      <w:pPr>
        <w:spacing w:before="120" w:after="120" w:line="288" w:lineRule="auto"/>
        <w:ind w:left="0"/>
        <w:jc w:val="left"/>
        <w:rPr>
          <w:rFonts w:hint="eastAsia" w:ascii="Times New Roman" w:hAnsi="Times New Roman" w:cs="Times New Roman" w:eastAsiaTheme="majorEastAsia"/>
          <w:color w:val="auto"/>
          <w:sz w:val="13"/>
          <w:szCs w:val="13"/>
          <w:lang w:val="en-US" w:eastAsia="zh-CN"/>
        </w:rPr>
      </w:pPr>
      <w:r>
        <w:rPr>
          <w:rFonts w:ascii="Times New Roman" w:hAnsi="Times New Roman" w:eastAsia="等线" w:cs="Arial"/>
          <w:sz w:val="13"/>
          <w:szCs w:val="13"/>
        </w:rPr>
        <w:t>Categorical variables are presented as n (%, 95% confidence interval). P-values were calculated by chi-square test (or Monte Carlo exact test for cells with small expected counts).</w:t>
      </w:r>
      <w:r>
        <w:rPr>
          <w:rFonts w:hint="eastAsia" w:ascii="Times New Roman" w:hAnsi="Times New Roman" w:eastAsia="等线" w:cs="Arial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ajorEastAsia"/>
          <w:color w:val="FF0000"/>
          <w:sz w:val="13"/>
          <w:szCs w:val="13"/>
          <w:lang w:val="en-US" w:eastAsia="zh-CN"/>
        </w:rPr>
        <w:t>Multiple injury types per patient allowed; denominator = total injury types (n=1124).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3F77A4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7DB5B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6E4327"/>
    <w:rsid w:val="554770DE"/>
    <w:rsid w:val="69A26638"/>
    <w:rsid w:val="6E4D3475"/>
    <w:rsid w:val="712F4B55"/>
    <w:rsid w:val="73956A02"/>
    <w:rsid w:val="75C160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1054</Words>
  <Characters>6704</Characters>
  <TotalTime>6</TotalTime>
  <ScaleCrop>false</ScaleCrop>
  <LinksUpToDate>false</LinksUpToDate>
  <CharactersWithSpaces>7240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2026-05-10T13:54:00Z</dcterms:created>
  <dc:creator>Apache POI</dc:creator>
  <cp:lastModifiedBy>我</cp:lastModifiedBy>
  <dcterms:modified xsi:type="dcterms:W3CDTF">2026-05-24T13:43:28Z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eyJoZGlkIjoiYjk5ODM0YmMxOWJiYWQyNDU4MGIzYWRmYTA0ZmI5NDciLCJ1c2VySWQiOiI0MzA2MzI5MjEifQ==</vt:lpwstr>
  </property>
  <property fmtid="{D5CDD505-2E9C-101B-9397-08002B2CF9AE}" pid="3" name="KSOProductBuildVer">
    <vt:lpwstr>2052-12.1.0.25865</vt:lpwstr>
  </property>
  <property fmtid="{D5CDD505-2E9C-101B-9397-08002B2CF9AE}" pid="4" name="ICV">
    <vt:lpwstr>66806D511B0F4A1C9DA018EB437BECA7_13</vt:lpwstr>
  </property>
</Properties>
</file>