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B08F7">
      <w:pPr>
        <w:spacing w:before="480" w:after="480" w:line="288" w:lineRule="auto"/>
        <w:ind w:left="0"/>
        <w:jc w:val="center"/>
        <w:rPr>
          <w:rFonts w:hint="default" w:ascii="Times New Roman" w:hAnsi="Times New Roman" w:cs="Times New Roman"/>
          <w:sz w:val="18"/>
          <w:szCs w:val="20"/>
        </w:rPr>
      </w:pPr>
      <w:r>
        <w:rPr>
          <w:rFonts w:hint="default" w:ascii="Times New Roman" w:hAnsi="Times New Roman" w:eastAsia="等线" w:cs="Times New Roman"/>
          <w:b/>
          <w:sz w:val="44"/>
          <w:szCs w:val="20"/>
        </w:rPr>
        <w:t>Classification Criteria for Causes, Injury sites and Types of Musculoskeletal Injuries</w:t>
      </w:r>
    </w:p>
    <w:p w14:paraId="4C6C272F">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Based on clinical diagnosis information and injury-related data from hospitalization medical records, combined with the data extraction specifications of this study, the causes, Injury sites, and types of musculoskeletal injuries of the subjects were classified and coded according to the following criteria. The classification results were consistent with clinical diagnoses and medical records, and the specific criteria are as follows:</w:t>
      </w:r>
    </w:p>
    <w:p w14:paraId="25D7AA8E">
      <w:pPr>
        <w:spacing w:before="300" w:after="120" w:line="288" w:lineRule="auto"/>
        <w:ind w:left="0"/>
        <w:jc w:val="left"/>
        <w:outlineLvl w:val="2"/>
        <w:rPr>
          <w:rFonts w:hint="default" w:ascii="Times New Roman" w:hAnsi="Times New Roman" w:cs="Times New Roman"/>
        </w:rPr>
      </w:pPr>
      <w:bookmarkStart w:id="0" w:name="heading_0"/>
      <w:r>
        <w:rPr>
          <w:rFonts w:hint="default" w:ascii="Times New Roman" w:hAnsi="Times New Roman" w:eastAsia="等线" w:cs="Times New Roman"/>
          <w:b/>
          <w:sz w:val="30"/>
        </w:rPr>
        <w:t>1. Classification Criteria for Injury Causes</w:t>
      </w:r>
      <w:bookmarkEnd w:id="0"/>
    </w:p>
    <w:p w14:paraId="276DE477">
      <w:pPr>
        <w:numPr>
          <w:ilvl w:val="0"/>
          <w:numId w:val="0"/>
        </w:numPr>
        <w:spacing w:before="120" w:after="120" w:line="288" w:lineRule="auto"/>
        <w:ind w:leftChars="0"/>
        <w:jc w:val="left"/>
        <w:rPr>
          <w:rFonts w:hint="default" w:ascii="Times New Roman" w:hAnsi="Times New Roman" w:cs="Times New Roman"/>
        </w:rPr>
      </w:pPr>
      <w:r>
        <w:rPr>
          <w:rFonts w:hint="default" w:ascii="Times New Roman" w:hAnsi="Times New Roman" w:eastAsia="等线" w:cs="Times New Roman"/>
          <w:sz w:val="22"/>
        </w:rPr>
        <w:t>Referring to clinical records of injury incentives and combining with injury occurrence scenarios and mechanisms, injuries were divided into 7 categories, as follows:</w:t>
      </w:r>
    </w:p>
    <w:p w14:paraId="35FA0928">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Falls: Injuries caused by accidental falls due to loss of balance, including those occurring during training, duty performance, and daily activities;</w:t>
      </w:r>
    </w:p>
    <w:p w14:paraId="70A6609B">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Sprains: Soft tissue injuries such as ligaments and joint capsules caused by excessive joint torsion, without fractures or dislocations;</w:t>
      </w:r>
    </w:p>
    <w:p w14:paraId="0890E314">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Secondary Infections After Trauma: Local infections induced by improper wound management or systemic factors after primary trauma, requiring hospitalization;</w:t>
      </w:r>
    </w:p>
    <w:p w14:paraId="6AE55677">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No Obvious Cause: Sudden musculoskeletal injuries without clear trauma or training history, or those with unclear specific incentives after examination;</w:t>
      </w:r>
    </w:p>
    <w:p w14:paraId="5FE4497E">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Cuts: Open wounds to the skin, subcutaneous tissue, and deep tissues caused by sharp instruments (such as knives, metal fragments, etc.), with concomitant muscle and tendon injuries or resulting in restricted joint mobility;</w:t>
      </w:r>
    </w:p>
    <w:p w14:paraId="2F9CB8C2">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Strain: Chronic injuries to muscles and tendons resulting from long-term repetitive movements, excessive load-bearing, or excessive training intensity;</w:t>
      </w:r>
    </w:p>
    <w:p w14:paraId="0845D6CE">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Others: Injury causes not covered in the above categories, including impact injuries, crush injuries, and other special types of injuries.</w:t>
      </w:r>
    </w:p>
    <w:p w14:paraId="14E9A687">
      <w:pPr>
        <w:spacing w:before="300" w:after="120" w:line="288" w:lineRule="auto"/>
        <w:ind w:left="0"/>
        <w:jc w:val="left"/>
        <w:outlineLvl w:val="2"/>
        <w:rPr>
          <w:rFonts w:hint="default" w:ascii="Times New Roman" w:hAnsi="Times New Roman" w:cs="Times New Roman"/>
        </w:rPr>
      </w:pPr>
      <w:bookmarkStart w:id="1" w:name="heading_1"/>
      <w:r>
        <w:rPr>
          <w:rFonts w:hint="default" w:ascii="Times New Roman" w:hAnsi="Times New Roman" w:eastAsia="等线" w:cs="Times New Roman"/>
          <w:b/>
          <w:sz w:val="30"/>
        </w:rPr>
        <w:t xml:space="preserve">2. Classification Criteria for </w:t>
      </w:r>
      <w:bookmarkEnd w:id="1"/>
      <w:r>
        <w:rPr>
          <w:rFonts w:hint="default" w:ascii="Times New Roman" w:hAnsi="Times New Roman" w:eastAsia="等线" w:cs="Times New Roman"/>
          <w:b/>
          <w:sz w:val="30"/>
        </w:rPr>
        <w:t>Injury sites</w:t>
      </w:r>
    </w:p>
    <w:p w14:paraId="28AB7AA2">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Divided according to human anatomical locations and combined with the characteristics of musculoskeletal injuries, injuries were categorized into 10 types, as follows:</w:t>
      </w:r>
    </w:p>
    <w:p w14:paraId="5C9D434A">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Shoulder: Including the shoulder joint, rotator cuff, and surrounding soft tissues;</w:t>
      </w:r>
    </w:p>
    <w:p w14:paraId="582E8425">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Elbow: Including the elbow joint, proximal forearm, and surrounding soft tissues;</w:t>
      </w:r>
    </w:p>
    <w:p w14:paraId="2895724B">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Forearm/Upper Arm: Including bones, muscles, and soft tissues of the upper arm and forearm, excluding the elbow and wrist joints;</w:t>
      </w:r>
    </w:p>
    <w:p w14:paraId="624DB7DF">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Wrist and Hand: Including the wrist joint, metacarpals, phalanges, hand joints, and soft tissues of the hand;</w:t>
      </w:r>
    </w:p>
    <w:p w14:paraId="1D524EB2">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Spine: Including the cervical, thoracic, lumbar, sacrococcygeal vertebrae, and surrounding ligaments and muscles;</w:t>
      </w:r>
    </w:p>
    <w:p w14:paraId="3BC4DAB3">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Chest and Ribs: Including the sternum, ribs, and chest wall muscles and soft tissues;</w:t>
      </w:r>
    </w:p>
    <w:p w14:paraId="4FC643DB">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Hip: Including the hip joint, proximal femur, and surrounding soft tissues;</w:t>
      </w:r>
    </w:p>
    <w:p w14:paraId="45F8C5BF">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Thigh/Lower Leg: Including bones, muscles, and soft tissues of the thigh and lower leg, excluding the hip and knee joints;</w:t>
      </w:r>
    </w:p>
    <w:p w14:paraId="6421E503">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Knee Joint: Including the knee joint, menisci, cruciate ligaments, collateral ligaments, and surrounding soft tissues;</w:t>
      </w:r>
    </w:p>
    <w:p w14:paraId="39771CCE">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Foot and Ankle: Including the ankle joint, tarsals, metatarsals, phalanges, and soft tissues of the foot.</w:t>
      </w:r>
    </w:p>
    <w:p w14:paraId="3DD4A8BA">
      <w:pPr>
        <w:numPr>
          <w:ilvl w:val="0"/>
          <w:numId w:val="0"/>
        </w:numPr>
        <w:spacing w:before="120" w:after="120" w:line="360" w:lineRule="auto"/>
        <w:ind w:leftChars="0"/>
        <w:jc w:val="left"/>
        <w:rPr>
          <w:rFonts w:hint="default" w:ascii="Times New Roman" w:hAnsi="Times New Roman" w:cs="Times New Roman"/>
          <w:color w:val="FF0000"/>
        </w:rPr>
      </w:pPr>
      <w:r>
        <w:rPr>
          <w:rFonts w:hint="default" w:ascii="Times New Roman" w:hAnsi="Times New Roman" w:cs="Times New Roman"/>
          <w:b/>
          <w:bCs/>
          <w:color w:val="FF0000"/>
        </w:rPr>
        <w:t>Note:</w:t>
      </w:r>
      <w:r>
        <w:rPr>
          <w:rFonts w:hint="default" w:ascii="Times New Roman" w:hAnsi="Times New Roman" w:cs="Times New Roman"/>
          <w:color w:val="FF0000"/>
        </w:rPr>
        <w:t xml:space="preserve"> Chest and ribs (n=1, 0.1%) and hip (n=5, 0.5%) injuries were extremely rare in this study cohort. These two categories were grouped into the </w:t>
      </w:r>
      <w:r>
        <w:rPr>
          <w:rFonts w:hint="default" w:ascii="Times New Roman" w:hAnsi="Times New Roman" w:cs="Times New Roman" w:eastAsiaTheme="majorEastAsia"/>
          <w:color w:val="FF0000"/>
          <w:lang w:val="en-US" w:eastAsia="zh-CN"/>
        </w:rPr>
        <w:t>“</w:t>
      </w:r>
      <w:r>
        <w:rPr>
          <w:rFonts w:hint="eastAsia" w:ascii="Times New Roman" w:hAnsi="Times New Roman" w:cs="Times New Roman" w:eastAsiaTheme="majorEastAsia"/>
          <w:color w:val="FF0000"/>
          <w:lang w:val="en-US" w:eastAsia="zh-CN"/>
        </w:rPr>
        <w:t>Others</w:t>
      </w:r>
      <w:r>
        <w:rPr>
          <w:rFonts w:hint="default" w:ascii="Times New Roman" w:hAnsi="Times New Roman" w:cs="Times New Roman" w:eastAsiaTheme="majorEastAsia"/>
          <w:color w:val="FF0000"/>
          <w:lang w:val="en-US" w:eastAsia="zh-CN"/>
        </w:rPr>
        <w:t>”</w:t>
      </w:r>
      <w:r>
        <w:rPr>
          <w:rFonts w:hint="default" w:ascii="Times New Roman" w:hAnsi="Times New Roman" w:cs="Times New Roman"/>
          <w:color w:val="FF0000"/>
        </w:rPr>
        <w:t xml:space="preserve"> category in the main text table</w:t>
      </w:r>
      <w:bookmarkStart w:id="3" w:name="_GoBack"/>
      <w:bookmarkEnd w:id="3"/>
      <w:r>
        <w:rPr>
          <w:rFonts w:hint="default" w:ascii="Times New Roman" w:hAnsi="Times New Roman" w:cs="Times New Roman"/>
          <w:color w:val="FF0000"/>
        </w:rPr>
        <w:t>s (Table 5) to improve readability.</w:t>
      </w:r>
    </w:p>
    <w:p w14:paraId="7796ECE4">
      <w:pPr>
        <w:spacing w:before="300" w:after="120" w:line="288" w:lineRule="auto"/>
        <w:ind w:left="0"/>
        <w:jc w:val="left"/>
        <w:outlineLvl w:val="2"/>
        <w:rPr>
          <w:rFonts w:hint="default" w:ascii="Times New Roman" w:hAnsi="Times New Roman" w:cs="Times New Roman"/>
        </w:rPr>
      </w:pPr>
      <w:bookmarkStart w:id="2" w:name="heading_2"/>
      <w:r>
        <w:rPr>
          <w:rFonts w:hint="default" w:ascii="Times New Roman" w:hAnsi="Times New Roman" w:eastAsia="等线" w:cs="Times New Roman"/>
          <w:b/>
          <w:sz w:val="30"/>
        </w:rPr>
        <w:t>3. Classification Criteria for Injury Types</w:t>
      </w:r>
      <w:bookmarkEnd w:id="2"/>
    </w:p>
    <w:p w14:paraId="0B738ECE">
      <w:pPr>
        <w:spacing w:before="120" w:after="120" w:line="288" w:lineRule="auto"/>
        <w:ind w:left="0"/>
        <w:jc w:val="left"/>
        <w:rPr>
          <w:rFonts w:hint="default" w:ascii="Times New Roman" w:hAnsi="Times New Roman" w:cs="Times New Roman"/>
        </w:rPr>
      </w:pPr>
      <w:r>
        <w:rPr>
          <w:rFonts w:hint="default" w:ascii="Times New Roman" w:hAnsi="Times New Roman" w:eastAsia="等线" w:cs="Times New Roman"/>
          <w:sz w:val="22"/>
        </w:rPr>
        <w:t>According to the pathological changes and clinical diagnosis types of injuries, they were divided into 7 categories, as follows:</w:t>
      </w:r>
    </w:p>
    <w:p w14:paraId="1F676008">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Fractures: Including closed and open fractures, involving the interruption of integrity or continuity of bones in various parts;</w:t>
      </w:r>
    </w:p>
    <w:p w14:paraId="12BD541A">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Joint Injuries: Including ligament injuries, joint capsule injuries, articular cartilage injuries, etc., excluding dislocations and fractures;</w:t>
      </w:r>
    </w:p>
    <w:p w14:paraId="57A80D33">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Dislocations: Loss of normal articular surface alignment, including complete and subluxation;</w:t>
      </w:r>
    </w:p>
    <w:p w14:paraId="258FF37F">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Muscle and Tendon Injuries: Including muscle tears, contusions, tendon ruptures, tendinitis, etc.;</w:t>
      </w:r>
    </w:p>
    <w:p w14:paraId="08525468">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Skin Injuries: This primarily refers to patients with extensive skin defects, which fail to adequately cover exposed tendons and soft tissues, necessitating skin grafting or flap reconstruction surgery;</w:t>
      </w:r>
    </w:p>
    <w:p w14:paraId="585C467E">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Nerve and Vascular Injuries: Including nerve entrapment, rupture, vascular rupture, etc., at the injury site;</w:t>
      </w:r>
    </w:p>
    <w:p w14:paraId="081087A6">
      <w:pPr>
        <w:numPr>
          <w:ilvl w:val="0"/>
          <w:numId w:val="1"/>
        </w:numPr>
        <w:spacing w:before="120" w:after="120" w:line="288" w:lineRule="auto"/>
        <w:ind w:left="420" w:leftChars="0" w:hanging="420" w:firstLineChars="0"/>
        <w:jc w:val="left"/>
        <w:rPr>
          <w:rFonts w:hint="default" w:ascii="Times New Roman" w:hAnsi="Times New Roman" w:cs="Times New Roman"/>
        </w:rPr>
      </w:pPr>
      <w:r>
        <w:rPr>
          <w:rFonts w:hint="default" w:ascii="Times New Roman" w:hAnsi="Times New Roman" w:eastAsia="等线" w:cs="Times New Roman"/>
          <w:sz w:val="22"/>
        </w:rPr>
        <w:t>Others: Injury types not covered in the above categories.</w:t>
      </w: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CB65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8494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251B28"/>
    <w:multiLevelType w:val="singleLevel"/>
    <w:tmpl w:val="8B251B2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1D4CAB"/>
    <w:rsid w:val="334B31D8"/>
    <w:rsid w:val="3AAF028C"/>
    <w:rsid w:val="43E268C5"/>
    <w:rsid w:val="610A6211"/>
    <w:rsid w:val="62830E1C"/>
    <w:rsid w:val="65A0126C"/>
    <w:rsid w:val="71E24F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597</Words>
  <Characters>3728</Characters>
  <TotalTime>0</TotalTime>
  <ScaleCrop>false</ScaleCrop>
  <LinksUpToDate>false</LinksUpToDate>
  <CharactersWithSpaces>4292</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2026-01-21T14:50:00Z</dcterms:created>
  <dc:creator>我</dc:creator>
  <cp:lastModifiedBy>我</cp:lastModifiedBy>
  <dcterms:modified xsi:type="dcterms:W3CDTF">2026-05-24T13:22:47Z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eyJoZGlkIjoiYjk5ODM0YmMxOWJiYWQyNDU4MGIzYWRmYTA0ZmI5NDciLCJ1c2VySWQiOiI0MzA2MzI5MjEifQ==</vt:lpwstr>
  </property>
  <property fmtid="{D5CDD505-2E9C-101B-9397-08002B2CF9AE}" pid="3" name="KSOProductBuildVer">
    <vt:lpwstr>2052-12.1.0.25865</vt:lpwstr>
  </property>
  <property fmtid="{D5CDD505-2E9C-101B-9397-08002B2CF9AE}" pid="4" name="ICV">
    <vt:lpwstr>BC9EF5319777478BB2FE2A7E9ABD6745_13</vt:lpwstr>
  </property>
</Properties>
</file>