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786CC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Supplementary Appendix</w:t>
      </w:r>
    </w:p>
    <w:p w14:paraId="3EE0C0D2">
      <w:pPr>
        <w:spacing w:line="360" w:lineRule="auto"/>
        <w:rPr>
          <w:rFonts w:hint="default" w:ascii="Times New Roman" w:hAnsi="Times New Roman" w:cs="Times New Roman"/>
          <w:b/>
          <w:bCs/>
          <w:highlight w:val="none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t xml:space="preserve">Table of Contents </w:t>
      </w:r>
    </w:p>
    <w:p w14:paraId="12008ECC">
      <w:pPr>
        <w:spacing w:line="360" w:lineRule="auto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Table S1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Univariate and multivariate Cox regression analyses for OS and PFS in patients with DLBCL.</w:t>
      </w:r>
    </w:p>
    <w:p w14:paraId="78AB9186">
      <w:pPr>
        <w:spacing w:line="360" w:lineRule="auto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Table S2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Time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noBreakHyphen/>
      </w:r>
      <w:r>
        <w:rPr>
          <w:rFonts w:hint="default" w:ascii="Times New Roman" w:hAnsi="Times New Roman" w:cs="Times New Roman"/>
          <w:highlight w:val="none"/>
          <w:lang w:val="en-US" w:eastAsia="zh-CN"/>
        </w:rPr>
        <w:t>dependent AUCs of EASIX, IPI, and IPI+EASIX models at 1 and 5 years.</w:t>
      </w:r>
    </w:p>
    <w:p w14:paraId="02585E01">
      <w:pPr>
        <w:spacing w:line="360" w:lineRule="auto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t xml:space="preserve">Figure 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S1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highlight w:val="none"/>
        </w:rPr>
        <w:t>Flowchart of patient selection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.</w:t>
      </w:r>
    </w:p>
    <w:p w14:paraId="2AB830D7">
      <w:pPr>
        <w:spacing w:line="360" w:lineRule="auto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t>Figure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 xml:space="preserve"> S2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highlight w:val="none"/>
        </w:rPr>
        <w:t>Kaplan-Meier survival curves for overall survival according to the EASIX score (A) in male patients; (B) in female patients; (C) in patients aged ≤ 60 years; (D) in patients aged &gt; 60 years; (E) in patients with A symptom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highlight w:val="none"/>
        </w:rPr>
        <w:t>; (F) in patients with B symptom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highlight w:val="none"/>
        </w:rPr>
        <w:t>; (G) in patients with ECOG PS of 0-1; (H) in patients with ECOG PS ≥ 2; (I) in patients with Ann Arbor stage I-II; (J) in patients with Ann Arbor stage III-IV; (K) in patients with extranodal involvement at 0-1 site; (L) in patients with extranodal involvement at ≥ 2 sites.</w:t>
      </w:r>
    </w:p>
    <w:p w14:paraId="7E1BE625">
      <w:pPr>
        <w:spacing w:line="360" w:lineRule="auto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t xml:space="preserve">Figure 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S3</w:t>
      </w:r>
      <w:r>
        <w:rPr>
          <w:rFonts w:hint="default" w:ascii="Times New Roman" w:hAnsi="Times New Roman" w:cs="Times New Roman"/>
          <w:highlight w:val="none"/>
        </w:rPr>
        <w:t xml:space="preserve"> Kaplan-Meier survival curves for progression-free survival according to the EASIX score (A) in male patients; (B) in female patients; (C) in patients aged ≤ 60 years; (D) in patients aged &gt; 60 years; (E) in patients with A symptom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highlight w:val="none"/>
        </w:rPr>
        <w:t>; (F) in patients with B symptom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highlight w:val="none"/>
        </w:rPr>
        <w:t>; (G) in patients with ECOG PS of 0-1; (H) in patients with ECOG PS ≥ 2; (I) in patients with Ann Arbor stage I-II; (J) in patients with Ann Arbor stage III-IV; (K) in patients with extranodal involvement at 0-1 site; (L) in patients with extranodal involvement at ≥ 2 sites.</w:t>
      </w:r>
    </w:p>
    <w:p w14:paraId="26DC5BFA">
      <w:pPr>
        <w:spacing w:line="360" w:lineRule="auto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t>Figure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 xml:space="preserve"> S4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highlight w:val="none"/>
        </w:rPr>
        <w:t>Kaplan</w:t>
      </w:r>
      <w:r>
        <w:rPr>
          <w:rFonts w:hint="default" w:ascii="Times New Roman" w:hAnsi="Times New Roman" w:cs="Times New Roman"/>
          <w:highlight w:val="none"/>
        </w:rPr>
        <w:noBreakHyphen/>
      </w:r>
      <w:r>
        <w:rPr>
          <w:rFonts w:hint="default" w:ascii="Times New Roman" w:hAnsi="Times New Roman" w:cs="Times New Roman"/>
          <w:highlight w:val="none"/>
        </w:rPr>
        <w:t>Meier survival curves of DLBCL patients treated with the R</w:t>
      </w:r>
      <w:r>
        <w:rPr>
          <w:rFonts w:hint="default" w:ascii="Times New Roman" w:hAnsi="Times New Roman" w:cs="Times New Roman"/>
          <w:highlight w:val="none"/>
        </w:rPr>
        <w:noBreakHyphen/>
      </w:r>
      <w:r>
        <w:rPr>
          <w:rFonts w:hint="default" w:ascii="Times New Roman" w:hAnsi="Times New Roman" w:cs="Times New Roman"/>
          <w:highlight w:val="none"/>
        </w:rPr>
        <w:t>CHOP regimen, stratified by quartiles of the EASIX score.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(A) Overall survival</w:t>
      </w:r>
      <w:r>
        <w:rPr>
          <w:rFonts w:hint="default" w:ascii="Times New Roman" w:hAnsi="Times New Roman" w:cs="Times New Roman"/>
          <w:highlight w:val="none"/>
        </w:rPr>
        <w:t xml:space="preserve">; (B) 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P</w:t>
      </w:r>
      <w:r>
        <w:rPr>
          <w:rFonts w:hint="default" w:ascii="Times New Roman" w:hAnsi="Times New Roman" w:cs="Times New Roman"/>
          <w:highlight w:val="none"/>
        </w:rPr>
        <w:t>rogression</w:t>
      </w:r>
      <w:r>
        <w:rPr>
          <w:rFonts w:hint="default" w:ascii="Times New Roman" w:hAnsi="Times New Roman" w:cs="Times New Roman"/>
          <w:highlight w:val="none"/>
        </w:rPr>
        <w:noBreakHyphen/>
      </w:r>
      <w:r>
        <w:rPr>
          <w:rFonts w:hint="default" w:ascii="Times New Roman" w:hAnsi="Times New Roman" w:cs="Times New Roman"/>
          <w:highlight w:val="none"/>
        </w:rPr>
        <w:t>free survival.</w:t>
      </w:r>
    </w:p>
    <w:p w14:paraId="0713E838">
      <w:pPr>
        <w:spacing w:line="360" w:lineRule="auto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t>Figure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 xml:space="preserve"> S5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Performance comparison of the EASIX score and the IPI model for predicting OS and PFS in DLBCL patients treated with the R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noBreakHyphen/>
      </w:r>
      <w:r>
        <w:rPr>
          <w:rFonts w:hint="default" w:ascii="Times New Roman" w:hAnsi="Times New Roman" w:cs="Times New Roman"/>
          <w:highlight w:val="none"/>
          <w:lang w:val="en-US" w:eastAsia="zh-CN"/>
        </w:rPr>
        <w:t>CHOP regimen</w:t>
      </w:r>
      <w:r>
        <w:rPr>
          <w:rFonts w:hint="default" w:ascii="Times New Roman" w:hAnsi="Times New Roman" w:cs="Times New Roman"/>
          <w:highlight w:val="none"/>
        </w:rPr>
        <w:t>: time</w:t>
      </w:r>
      <w:r>
        <w:rPr>
          <w:rFonts w:hint="default" w:ascii="Times New Roman" w:hAnsi="Times New Roman" w:cs="Times New Roman"/>
          <w:highlight w:val="none"/>
        </w:rPr>
        <w:noBreakHyphen/>
      </w:r>
      <w:r>
        <w:rPr>
          <w:rFonts w:hint="default" w:ascii="Times New Roman" w:hAnsi="Times New Roman" w:cs="Times New Roman"/>
          <w:highlight w:val="none"/>
        </w:rPr>
        <w:t>dependent ROC curve analysis.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(A) 1-year OS; (B) 1-year PFS; (C) 5-year OS; (D) 5-year PFS.</w:t>
      </w:r>
    </w:p>
    <w:p w14:paraId="1547238F">
      <w:pPr>
        <w:spacing w:line="360" w:lineRule="auto"/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</w:pPr>
    </w:p>
    <w:p w14:paraId="6D5F90AE">
      <w:pP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p w14:paraId="3EAB656A">
      <w:pP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p w14:paraId="4B731981">
      <w:pP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p w14:paraId="3C7A5A47">
      <w:pP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p w14:paraId="14D78388">
      <w:pP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p w14:paraId="67ABF59E">
      <w:pP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p w14:paraId="358FCE92">
      <w:pP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p w14:paraId="72B795D4">
      <w:pP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p w14:paraId="7B7557D3">
      <w:pP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p w14:paraId="6BB4F5A4">
      <w:pP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p w14:paraId="296E913E">
      <w:pP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p w14:paraId="65AB8E8E">
      <w:pP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p w14:paraId="4C174CDC">
      <w:pP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p w14:paraId="50DA7EDD">
      <w:pPr>
        <w:rPr>
          <w:rFonts w:hint="default"/>
          <w:highlight w:val="none"/>
          <w:lang w:val="en-US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Table S1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Univariate and multivariate Cox regression analyses for OS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 and PFS in patients with DLBCL.</w:t>
      </w:r>
    </w:p>
    <w:tbl>
      <w:tblPr>
        <w:tblStyle w:val="3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8"/>
        <w:gridCol w:w="869"/>
        <w:gridCol w:w="1370"/>
        <w:gridCol w:w="1070"/>
        <w:gridCol w:w="912"/>
        <w:gridCol w:w="1269"/>
        <w:gridCol w:w="942"/>
      </w:tblGrid>
      <w:tr w14:paraId="1741F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vMerge w:val="restart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8A61193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  <w:p w14:paraId="4D85E1EB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  <w:tc>
          <w:tcPr>
            <w:tcW w:w="3228" w:type="pct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E1C3D48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OS</w:t>
            </w:r>
          </w:p>
        </w:tc>
      </w:tr>
      <w:tr w14:paraId="71F8E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vMerge w:val="continue"/>
            <w:tcBorders>
              <w:top w:val="single" w:color="auto" w:sz="4" w:space="0"/>
            </w:tcBorders>
            <w:noWrap w:val="0"/>
            <w:vAlign w:val="top"/>
          </w:tcPr>
          <w:p w14:paraId="3A5B045F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  <w:tc>
          <w:tcPr>
            <w:tcW w:w="1661" w:type="pct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B76F0DE">
            <w:pP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Univariate</w:t>
            </w:r>
          </w:p>
        </w:tc>
        <w:tc>
          <w:tcPr>
            <w:tcW w:w="1566" w:type="pct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F44007E">
            <w:pP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Multivariate</w:t>
            </w:r>
          </w:p>
        </w:tc>
      </w:tr>
      <w:tr w14:paraId="1B6E0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0396B292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  <w:tc>
          <w:tcPr>
            <w:tcW w:w="436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731277E">
            <w:pP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 xml:space="preserve">HR </w:t>
            </w:r>
          </w:p>
        </w:tc>
        <w:tc>
          <w:tcPr>
            <w:tcW w:w="688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EEC7CCE">
            <w:pPr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95% CI</w:t>
            </w:r>
          </w:p>
        </w:tc>
        <w:tc>
          <w:tcPr>
            <w:tcW w:w="537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E2DA347">
            <w:pPr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-value</w:t>
            </w:r>
          </w:p>
        </w:tc>
        <w:tc>
          <w:tcPr>
            <w:tcW w:w="458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6D60F51">
            <w:pP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 xml:space="preserve">HR </w:t>
            </w:r>
          </w:p>
        </w:tc>
        <w:tc>
          <w:tcPr>
            <w:tcW w:w="637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FA51149">
            <w:pPr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95% CI</w:t>
            </w:r>
          </w:p>
        </w:tc>
        <w:tc>
          <w:tcPr>
            <w:tcW w:w="469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B988EF4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-value</w:t>
            </w:r>
          </w:p>
        </w:tc>
      </w:tr>
      <w:tr w14:paraId="20C86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top w:val="single" w:color="auto" w:sz="4" w:space="0"/>
            </w:tcBorders>
            <w:noWrap w:val="0"/>
            <w:vAlign w:val="top"/>
          </w:tcPr>
          <w:p w14:paraId="29D6D10A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Log 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EASIX</w:t>
            </w:r>
          </w:p>
        </w:tc>
        <w:tc>
          <w:tcPr>
            <w:tcW w:w="436" w:type="pct"/>
            <w:tcBorders>
              <w:top w:val="single" w:color="auto" w:sz="4" w:space="0"/>
            </w:tcBorders>
            <w:noWrap w:val="0"/>
            <w:vAlign w:val="top"/>
          </w:tcPr>
          <w:p w14:paraId="456518B7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88" w:type="pct"/>
            <w:tcBorders>
              <w:top w:val="single" w:color="auto" w:sz="4" w:space="0"/>
            </w:tcBorders>
            <w:noWrap w:val="0"/>
            <w:vAlign w:val="top"/>
          </w:tcPr>
          <w:p w14:paraId="7DF77B15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537" w:type="pct"/>
            <w:tcBorders>
              <w:top w:val="single" w:color="auto" w:sz="4" w:space="0"/>
            </w:tcBorders>
            <w:noWrap w:val="0"/>
            <w:vAlign w:val="top"/>
          </w:tcPr>
          <w:p w14:paraId="5AED0B97">
            <w:pPr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458" w:type="pct"/>
            <w:tcBorders>
              <w:top w:val="single" w:color="auto" w:sz="4" w:space="0"/>
            </w:tcBorders>
            <w:noWrap w:val="0"/>
            <w:vAlign w:val="top"/>
          </w:tcPr>
          <w:p w14:paraId="3567FCA1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37" w:type="pct"/>
            <w:tcBorders>
              <w:top w:val="single" w:color="auto" w:sz="4" w:space="0"/>
            </w:tcBorders>
            <w:noWrap w:val="0"/>
            <w:vAlign w:val="top"/>
          </w:tcPr>
          <w:p w14:paraId="5933ECC0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469" w:type="pct"/>
            <w:tcBorders>
              <w:top w:val="single" w:color="auto" w:sz="4" w:space="0"/>
            </w:tcBorders>
            <w:noWrap w:val="0"/>
            <w:vAlign w:val="top"/>
          </w:tcPr>
          <w:p w14:paraId="4C3B9675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46CD3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noWrap w:val="0"/>
            <w:vAlign w:val="top"/>
          </w:tcPr>
          <w:p w14:paraId="5BFB0E84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 Q2 vs. Q1</w:t>
            </w:r>
          </w:p>
        </w:tc>
        <w:tc>
          <w:tcPr>
            <w:tcW w:w="436" w:type="pct"/>
            <w:noWrap w:val="0"/>
            <w:vAlign w:val="top"/>
          </w:tcPr>
          <w:p w14:paraId="2A93D277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1.264</w:t>
            </w:r>
          </w:p>
        </w:tc>
        <w:tc>
          <w:tcPr>
            <w:tcW w:w="688" w:type="pct"/>
            <w:noWrap w:val="0"/>
            <w:vAlign w:val="top"/>
          </w:tcPr>
          <w:p w14:paraId="20BB0381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0.716-2.229</w:t>
            </w:r>
          </w:p>
        </w:tc>
        <w:tc>
          <w:tcPr>
            <w:tcW w:w="537" w:type="pct"/>
            <w:noWrap w:val="0"/>
            <w:vAlign w:val="top"/>
          </w:tcPr>
          <w:p w14:paraId="3886C80C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0.419</w:t>
            </w:r>
          </w:p>
        </w:tc>
        <w:tc>
          <w:tcPr>
            <w:tcW w:w="458" w:type="pct"/>
            <w:shd w:val="clear" w:color="auto" w:fill="auto"/>
            <w:noWrap w:val="0"/>
            <w:vAlign w:val="top"/>
          </w:tcPr>
          <w:p w14:paraId="122763BF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0.991</w:t>
            </w:r>
          </w:p>
        </w:tc>
        <w:tc>
          <w:tcPr>
            <w:tcW w:w="637" w:type="pct"/>
            <w:shd w:val="clear" w:color="auto" w:fill="auto"/>
            <w:noWrap w:val="0"/>
            <w:vAlign w:val="top"/>
          </w:tcPr>
          <w:p w14:paraId="365EFD8A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0.523-1.878</w:t>
            </w:r>
          </w:p>
        </w:tc>
        <w:tc>
          <w:tcPr>
            <w:tcW w:w="469" w:type="pct"/>
            <w:shd w:val="clear" w:color="auto" w:fill="auto"/>
            <w:noWrap w:val="0"/>
            <w:vAlign w:val="top"/>
          </w:tcPr>
          <w:p w14:paraId="1E40AAC9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0.978</w:t>
            </w:r>
          </w:p>
        </w:tc>
      </w:tr>
      <w:tr w14:paraId="73C98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noWrap w:val="0"/>
            <w:vAlign w:val="top"/>
          </w:tcPr>
          <w:p w14:paraId="4E672D49">
            <w:pPr>
              <w:ind w:firstLine="210" w:firstLineChars="100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Q3 vs. Q1</w:t>
            </w:r>
          </w:p>
        </w:tc>
        <w:tc>
          <w:tcPr>
            <w:tcW w:w="436" w:type="pct"/>
            <w:noWrap w:val="0"/>
            <w:vAlign w:val="top"/>
          </w:tcPr>
          <w:p w14:paraId="78C6725D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2.417</w:t>
            </w:r>
          </w:p>
        </w:tc>
        <w:tc>
          <w:tcPr>
            <w:tcW w:w="688" w:type="pct"/>
            <w:noWrap w:val="0"/>
            <w:vAlign w:val="top"/>
          </w:tcPr>
          <w:p w14:paraId="6961AE2B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1.459-4.003</w:t>
            </w:r>
          </w:p>
        </w:tc>
        <w:tc>
          <w:tcPr>
            <w:tcW w:w="537" w:type="pct"/>
            <w:noWrap w:val="0"/>
            <w:vAlign w:val="top"/>
          </w:tcPr>
          <w:p w14:paraId="374DDC24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  <w:tc>
          <w:tcPr>
            <w:tcW w:w="458" w:type="pct"/>
            <w:shd w:val="clear" w:color="auto" w:fill="auto"/>
            <w:noWrap w:val="0"/>
            <w:vAlign w:val="top"/>
          </w:tcPr>
          <w:p w14:paraId="62CE15B3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1.686</w:t>
            </w:r>
          </w:p>
        </w:tc>
        <w:tc>
          <w:tcPr>
            <w:tcW w:w="637" w:type="pct"/>
            <w:shd w:val="clear" w:color="auto" w:fill="auto"/>
            <w:noWrap w:val="0"/>
            <w:vAlign w:val="top"/>
          </w:tcPr>
          <w:p w14:paraId="2DF1352C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0.953-2.983</w:t>
            </w:r>
          </w:p>
        </w:tc>
        <w:tc>
          <w:tcPr>
            <w:tcW w:w="469" w:type="pct"/>
            <w:shd w:val="clear" w:color="auto" w:fill="auto"/>
            <w:noWrap w:val="0"/>
            <w:vAlign w:val="top"/>
          </w:tcPr>
          <w:p w14:paraId="48FB6C1B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0.073</w:t>
            </w:r>
          </w:p>
        </w:tc>
      </w:tr>
      <w:tr w14:paraId="27E0E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noWrap w:val="0"/>
            <w:vAlign w:val="top"/>
          </w:tcPr>
          <w:p w14:paraId="201767B0">
            <w:pPr>
              <w:ind w:firstLine="210" w:firstLineChars="100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Q4 vs. Q1</w:t>
            </w:r>
          </w:p>
        </w:tc>
        <w:tc>
          <w:tcPr>
            <w:tcW w:w="436" w:type="pct"/>
            <w:noWrap w:val="0"/>
            <w:vAlign w:val="top"/>
          </w:tcPr>
          <w:p w14:paraId="30246AD7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4.052</w:t>
            </w:r>
          </w:p>
        </w:tc>
        <w:tc>
          <w:tcPr>
            <w:tcW w:w="688" w:type="pct"/>
            <w:noWrap w:val="0"/>
            <w:vAlign w:val="top"/>
          </w:tcPr>
          <w:p w14:paraId="4976CAEF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2.472-6.644</w:t>
            </w:r>
          </w:p>
        </w:tc>
        <w:tc>
          <w:tcPr>
            <w:tcW w:w="537" w:type="pct"/>
            <w:noWrap w:val="0"/>
            <w:vAlign w:val="top"/>
          </w:tcPr>
          <w:p w14:paraId="0C5081E6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  <w:tc>
          <w:tcPr>
            <w:tcW w:w="458" w:type="pct"/>
            <w:shd w:val="clear" w:color="auto" w:fill="auto"/>
            <w:noWrap w:val="0"/>
            <w:vAlign w:val="top"/>
          </w:tcPr>
          <w:p w14:paraId="3B6C327D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2.254</w:t>
            </w:r>
          </w:p>
        </w:tc>
        <w:tc>
          <w:tcPr>
            <w:tcW w:w="637" w:type="pct"/>
            <w:shd w:val="clear" w:color="auto" w:fill="auto"/>
            <w:noWrap w:val="0"/>
            <w:vAlign w:val="top"/>
          </w:tcPr>
          <w:p w14:paraId="29DBFB2B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1.250-4.063</w:t>
            </w:r>
          </w:p>
        </w:tc>
        <w:tc>
          <w:tcPr>
            <w:tcW w:w="469" w:type="pct"/>
            <w:shd w:val="clear" w:color="auto" w:fill="auto"/>
            <w:noWrap w:val="0"/>
            <w:vAlign w:val="top"/>
          </w:tcPr>
          <w:p w14:paraId="4024BE80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0.007</w:t>
            </w:r>
          </w:p>
        </w:tc>
      </w:tr>
      <w:tr w14:paraId="7D164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noWrap w:val="0"/>
            <w:vAlign w:val="top"/>
          </w:tcPr>
          <w:p w14:paraId="084F3CEA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Age, &gt; 60 vs. ≤ 60</w:t>
            </w:r>
          </w:p>
        </w:tc>
        <w:tc>
          <w:tcPr>
            <w:tcW w:w="436" w:type="pct"/>
            <w:noWrap w:val="0"/>
            <w:vAlign w:val="top"/>
          </w:tcPr>
          <w:p w14:paraId="1DF380C4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2.278</w:t>
            </w:r>
          </w:p>
        </w:tc>
        <w:tc>
          <w:tcPr>
            <w:tcW w:w="688" w:type="pct"/>
            <w:noWrap w:val="0"/>
            <w:vAlign w:val="top"/>
          </w:tcPr>
          <w:p w14:paraId="66D85254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1.618-3.206</w:t>
            </w:r>
          </w:p>
        </w:tc>
        <w:tc>
          <w:tcPr>
            <w:tcW w:w="537" w:type="pct"/>
            <w:noWrap w:val="0"/>
            <w:vAlign w:val="top"/>
          </w:tcPr>
          <w:p w14:paraId="5F0C2A64">
            <w:pPr>
              <w:rPr>
                <w:rFonts w:hint="default" w:ascii="Times New Roman" w:hAnsi="Times New Roman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&lt;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0.001</w:t>
            </w:r>
          </w:p>
        </w:tc>
        <w:tc>
          <w:tcPr>
            <w:tcW w:w="458" w:type="pct"/>
            <w:shd w:val="clear" w:color="auto" w:fill="auto"/>
            <w:noWrap w:val="0"/>
            <w:vAlign w:val="top"/>
          </w:tcPr>
          <w:p w14:paraId="15B08957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637" w:type="pct"/>
            <w:shd w:val="clear" w:color="auto" w:fill="auto"/>
            <w:noWrap w:val="0"/>
            <w:vAlign w:val="top"/>
          </w:tcPr>
          <w:p w14:paraId="29B853A8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469" w:type="pct"/>
            <w:shd w:val="clear" w:color="auto" w:fill="auto"/>
            <w:noWrap w:val="0"/>
            <w:vAlign w:val="top"/>
          </w:tcPr>
          <w:p w14:paraId="4D3B9675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323FA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noWrap w:val="0"/>
            <w:vAlign w:val="top"/>
          </w:tcPr>
          <w:p w14:paraId="036877FD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Sex, Male vs. Female</w:t>
            </w:r>
          </w:p>
        </w:tc>
        <w:tc>
          <w:tcPr>
            <w:tcW w:w="436" w:type="pct"/>
            <w:noWrap w:val="0"/>
            <w:vAlign w:val="top"/>
          </w:tcPr>
          <w:p w14:paraId="71440E55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1.408</w:t>
            </w:r>
          </w:p>
        </w:tc>
        <w:tc>
          <w:tcPr>
            <w:tcW w:w="688" w:type="pct"/>
            <w:noWrap w:val="0"/>
            <w:vAlign w:val="top"/>
          </w:tcPr>
          <w:p w14:paraId="0F1877FC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1.011-1.961</w:t>
            </w:r>
          </w:p>
        </w:tc>
        <w:tc>
          <w:tcPr>
            <w:tcW w:w="537" w:type="pct"/>
            <w:noWrap w:val="0"/>
            <w:vAlign w:val="top"/>
          </w:tcPr>
          <w:p w14:paraId="59ED3D03">
            <w:pPr>
              <w:rPr>
                <w:rFonts w:hint="default" w:ascii="Times New Roman" w:hAnsi="Times New Roman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0.043</w:t>
            </w:r>
          </w:p>
        </w:tc>
        <w:tc>
          <w:tcPr>
            <w:tcW w:w="458" w:type="pct"/>
            <w:shd w:val="clear" w:color="auto" w:fill="auto"/>
            <w:noWrap w:val="0"/>
            <w:vAlign w:val="top"/>
          </w:tcPr>
          <w:p w14:paraId="2890F68A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637" w:type="pct"/>
            <w:shd w:val="clear" w:color="auto" w:fill="auto"/>
            <w:noWrap w:val="0"/>
            <w:vAlign w:val="top"/>
          </w:tcPr>
          <w:p w14:paraId="16356507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469" w:type="pct"/>
            <w:shd w:val="clear" w:color="auto" w:fill="auto"/>
            <w:noWrap w:val="0"/>
            <w:vAlign w:val="top"/>
          </w:tcPr>
          <w:p w14:paraId="1D966365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1EE2C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noWrap w:val="0"/>
            <w:vAlign w:val="top"/>
          </w:tcPr>
          <w:p w14:paraId="42D1389E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Symptom stage,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vs. A</w:t>
            </w:r>
          </w:p>
        </w:tc>
        <w:tc>
          <w:tcPr>
            <w:tcW w:w="436" w:type="pct"/>
            <w:noWrap w:val="0"/>
            <w:vAlign w:val="top"/>
          </w:tcPr>
          <w:p w14:paraId="4A5CE962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1.801</w:t>
            </w:r>
          </w:p>
        </w:tc>
        <w:tc>
          <w:tcPr>
            <w:tcW w:w="688" w:type="pct"/>
            <w:noWrap w:val="0"/>
            <w:vAlign w:val="top"/>
          </w:tcPr>
          <w:p w14:paraId="68408BE8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1.304-2.487</w:t>
            </w:r>
          </w:p>
        </w:tc>
        <w:tc>
          <w:tcPr>
            <w:tcW w:w="537" w:type="pct"/>
            <w:noWrap w:val="0"/>
            <w:vAlign w:val="top"/>
          </w:tcPr>
          <w:p w14:paraId="75E4D4AB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  <w:tc>
          <w:tcPr>
            <w:tcW w:w="458" w:type="pct"/>
            <w:shd w:val="clear" w:color="auto" w:fill="auto"/>
            <w:noWrap w:val="0"/>
            <w:vAlign w:val="top"/>
          </w:tcPr>
          <w:p w14:paraId="48AD9C9B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637" w:type="pct"/>
            <w:shd w:val="clear" w:color="auto" w:fill="auto"/>
            <w:noWrap w:val="0"/>
            <w:vAlign w:val="top"/>
          </w:tcPr>
          <w:p w14:paraId="34322FD7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469" w:type="pct"/>
            <w:shd w:val="clear" w:color="auto" w:fill="auto"/>
            <w:noWrap w:val="0"/>
            <w:vAlign w:val="top"/>
          </w:tcPr>
          <w:p w14:paraId="108A59BB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04081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noWrap w:val="0"/>
            <w:vAlign w:val="top"/>
          </w:tcPr>
          <w:p w14:paraId="3ABE636D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IPI</w:t>
            </w:r>
          </w:p>
        </w:tc>
        <w:tc>
          <w:tcPr>
            <w:tcW w:w="436" w:type="pct"/>
            <w:noWrap w:val="0"/>
            <w:vAlign w:val="top"/>
          </w:tcPr>
          <w:p w14:paraId="664C1D48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  <w:tc>
          <w:tcPr>
            <w:tcW w:w="688" w:type="pct"/>
            <w:noWrap w:val="0"/>
            <w:vAlign w:val="top"/>
          </w:tcPr>
          <w:p w14:paraId="305E4B79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  <w:tc>
          <w:tcPr>
            <w:tcW w:w="537" w:type="pct"/>
            <w:noWrap w:val="0"/>
            <w:vAlign w:val="top"/>
          </w:tcPr>
          <w:p w14:paraId="3E2A3253">
            <w:pP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458" w:type="pct"/>
            <w:noWrap w:val="0"/>
            <w:vAlign w:val="top"/>
          </w:tcPr>
          <w:p w14:paraId="0BFF0BF3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37" w:type="pct"/>
            <w:noWrap w:val="0"/>
            <w:vAlign w:val="top"/>
          </w:tcPr>
          <w:p w14:paraId="755B2FBC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69" w:type="pct"/>
            <w:noWrap w:val="0"/>
            <w:vAlign w:val="top"/>
          </w:tcPr>
          <w:p w14:paraId="2A404CB9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F978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noWrap w:val="0"/>
            <w:vAlign w:val="top"/>
          </w:tcPr>
          <w:p w14:paraId="61BB9470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 LI vs. Low</w:t>
            </w:r>
          </w:p>
        </w:tc>
        <w:tc>
          <w:tcPr>
            <w:tcW w:w="436" w:type="pct"/>
            <w:noWrap w:val="0"/>
            <w:vAlign w:val="top"/>
          </w:tcPr>
          <w:p w14:paraId="7903D017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1.738</w:t>
            </w:r>
          </w:p>
        </w:tc>
        <w:tc>
          <w:tcPr>
            <w:tcW w:w="688" w:type="pct"/>
            <w:noWrap w:val="0"/>
            <w:vAlign w:val="top"/>
          </w:tcPr>
          <w:p w14:paraId="6D543FAE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0.998-3.026</w:t>
            </w:r>
          </w:p>
        </w:tc>
        <w:tc>
          <w:tcPr>
            <w:tcW w:w="537" w:type="pct"/>
            <w:noWrap w:val="0"/>
            <w:vAlign w:val="top"/>
          </w:tcPr>
          <w:p w14:paraId="786217DB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0.051</w:t>
            </w:r>
          </w:p>
        </w:tc>
        <w:tc>
          <w:tcPr>
            <w:tcW w:w="458" w:type="pct"/>
            <w:noWrap w:val="0"/>
            <w:vAlign w:val="top"/>
          </w:tcPr>
          <w:p w14:paraId="2295DFCE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1.383</w:t>
            </w:r>
          </w:p>
        </w:tc>
        <w:tc>
          <w:tcPr>
            <w:tcW w:w="637" w:type="pct"/>
            <w:noWrap w:val="0"/>
            <w:vAlign w:val="top"/>
          </w:tcPr>
          <w:p w14:paraId="4EA76964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0.695-2.752</w:t>
            </w:r>
          </w:p>
        </w:tc>
        <w:tc>
          <w:tcPr>
            <w:tcW w:w="469" w:type="pct"/>
            <w:noWrap w:val="0"/>
            <w:vAlign w:val="top"/>
          </w:tcPr>
          <w:p w14:paraId="5FBA2C1A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0.356</w:t>
            </w:r>
          </w:p>
        </w:tc>
      </w:tr>
      <w:tr w14:paraId="502B3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noWrap w:val="0"/>
            <w:vAlign w:val="top"/>
          </w:tcPr>
          <w:p w14:paraId="5D3E937C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 HI vs. Low</w:t>
            </w:r>
          </w:p>
        </w:tc>
        <w:tc>
          <w:tcPr>
            <w:tcW w:w="436" w:type="pct"/>
            <w:noWrap w:val="0"/>
            <w:vAlign w:val="top"/>
          </w:tcPr>
          <w:p w14:paraId="626AFBD0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2.385</w:t>
            </w:r>
          </w:p>
        </w:tc>
        <w:tc>
          <w:tcPr>
            <w:tcW w:w="688" w:type="pct"/>
            <w:noWrap w:val="0"/>
            <w:vAlign w:val="top"/>
          </w:tcPr>
          <w:p w14:paraId="15B2B528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1.397-4.073</w:t>
            </w:r>
          </w:p>
        </w:tc>
        <w:tc>
          <w:tcPr>
            <w:tcW w:w="537" w:type="pct"/>
            <w:noWrap w:val="0"/>
            <w:vAlign w:val="top"/>
          </w:tcPr>
          <w:p w14:paraId="20F09B64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  <w:tc>
          <w:tcPr>
            <w:tcW w:w="458" w:type="pct"/>
            <w:noWrap w:val="0"/>
            <w:vAlign w:val="top"/>
          </w:tcPr>
          <w:p w14:paraId="1FEF82A2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1.758</w:t>
            </w:r>
          </w:p>
        </w:tc>
        <w:tc>
          <w:tcPr>
            <w:tcW w:w="637" w:type="pct"/>
            <w:noWrap w:val="0"/>
            <w:vAlign w:val="top"/>
          </w:tcPr>
          <w:p w14:paraId="02E11A2B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0.920-3.358</w:t>
            </w:r>
          </w:p>
        </w:tc>
        <w:tc>
          <w:tcPr>
            <w:tcW w:w="469" w:type="pct"/>
            <w:noWrap w:val="0"/>
            <w:vAlign w:val="top"/>
          </w:tcPr>
          <w:p w14:paraId="1FB36A46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0.088</w:t>
            </w:r>
          </w:p>
        </w:tc>
      </w:tr>
      <w:tr w14:paraId="7A970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noWrap w:val="0"/>
            <w:vAlign w:val="top"/>
          </w:tcPr>
          <w:p w14:paraId="2D344838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 High vs. Low</w:t>
            </w:r>
          </w:p>
        </w:tc>
        <w:tc>
          <w:tcPr>
            <w:tcW w:w="436" w:type="pct"/>
            <w:noWrap w:val="0"/>
            <w:vAlign w:val="top"/>
          </w:tcPr>
          <w:p w14:paraId="7EAFBC0E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4.329</w:t>
            </w:r>
          </w:p>
        </w:tc>
        <w:tc>
          <w:tcPr>
            <w:tcW w:w="688" w:type="pct"/>
            <w:noWrap w:val="0"/>
            <w:vAlign w:val="top"/>
          </w:tcPr>
          <w:p w14:paraId="2BF3982A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2.707-6.921</w:t>
            </w:r>
          </w:p>
        </w:tc>
        <w:tc>
          <w:tcPr>
            <w:tcW w:w="537" w:type="pct"/>
            <w:noWrap w:val="0"/>
            <w:vAlign w:val="top"/>
          </w:tcPr>
          <w:p w14:paraId="2B5F8137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  <w:tc>
          <w:tcPr>
            <w:tcW w:w="458" w:type="pct"/>
            <w:noWrap w:val="0"/>
            <w:vAlign w:val="top"/>
          </w:tcPr>
          <w:p w14:paraId="44CB276F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2.915</w:t>
            </w:r>
          </w:p>
        </w:tc>
        <w:tc>
          <w:tcPr>
            <w:tcW w:w="637" w:type="pct"/>
            <w:noWrap w:val="0"/>
            <w:vAlign w:val="top"/>
          </w:tcPr>
          <w:p w14:paraId="7C0E4025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1.585-5.360</w:t>
            </w:r>
          </w:p>
        </w:tc>
        <w:tc>
          <w:tcPr>
            <w:tcW w:w="469" w:type="pct"/>
            <w:noWrap w:val="0"/>
            <w:vAlign w:val="top"/>
          </w:tcPr>
          <w:p w14:paraId="79C8D2C4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</w:tr>
      <w:tr w14:paraId="5AA24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noWrap w:val="0"/>
            <w:vAlign w:val="top"/>
          </w:tcPr>
          <w:p w14:paraId="618B5F9A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COO, non-GCB vs. GCB</w:t>
            </w:r>
          </w:p>
        </w:tc>
        <w:tc>
          <w:tcPr>
            <w:tcW w:w="436" w:type="pct"/>
            <w:noWrap w:val="0"/>
            <w:vAlign w:val="top"/>
          </w:tcPr>
          <w:p w14:paraId="08ACB4EB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1.337</w:t>
            </w:r>
          </w:p>
        </w:tc>
        <w:tc>
          <w:tcPr>
            <w:tcW w:w="688" w:type="pct"/>
            <w:noWrap w:val="0"/>
            <w:vAlign w:val="top"/>
          </w:tcPr>
          <w:p w14:paraId="4AEC5AC5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0.894-2.002</w:t>
            </w:r>
          </w:p>
        </w:tc>
        <w:tc>
          <w:tcPr>
            <w:tcW w:w="537" w:type="pct"/>
            <w:noWrap w:val="0"/>
            <w:vAlign w:val="top"/>
          </w:tcPr>
          <w:p w14:paraId="1AD425F1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0.158</w:t>
            </w:r>
          </w:p>
        </w:tc>
        <w:tc>
          <w:tcPr>
            <w:tcW w:w="458" w:type="pct"/>
            <w:noWrap w:val="0"/>
            <w:vAlign w:val="top"/>
          </w:tcPr>
          <w:p w14:paraId="3D2C9D66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1.116</w:t>
            </w:r>
          </w:p>
        </w:tc>
        <w:tc>
          <w:tcPr>
            <w:tcW w:w="637" w:type="pct"/>
            <w:noWrap w:val="0"/>
            <w:vAlign w:val="top"/>
          </w:tcPr>
          <w:p w14:paraId="6641F115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0.740-1.685</w:t>
            </w:r>
          </w:p>
        </w:tc>
        <w:tc>
          <w:tcPr>
            <w:tcW w:w="469" w:type="pct"/>
            <w:noWrap w:val="0"/>
            <w:vAlign w:val="top"/>
          </w:tcPr>
          <w:p w14:paraId="3CEF9278">
            <w:pP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0.600</w:t>
            </w:r>
          </w:p>
        </w:tc>
      </w:tr>
      <w:tr w14:paraId="04AAB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771" w:type="pct"/>
            <w:noWrap w:val="0"/>
            <w:vAlign w:val="top"/>
          </w:tcPr>
          <w:p w14:paraId="5EC39B19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 xml:space="preserve">With 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HLH, 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Yes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vs. No</w:t>
            </w:r>
          </w:p>
        </w:tc>
        <w:tc>
          <w:tcPr>
            <w:tcW w:w="436" w:type="pct"/>
            <w:noWrap w:val="0"/>
            <w:vAlign w:val="top"/>
          </w:tcPr>
          <w:p w14:paraId="5235AA79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3.264</w:t>
            </w:r>
          </w:p>
        </w:tc>
        <w:tc>
          <w:tcPr>
            <w:tcW w:w="688" w:type="pct"/>
            <w:noWrap w:val="0"/>
            <w:vAlign w:val="top"/>
          </w:tcPr>
          <w:p w14:paraId="15DECCC1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1.525-6.984</w:t>
            </w:r>
          </w:p>
        </w:tc>
        <w:tc>
          <w:tcPr>
            <w:tcW w:w="537" w:type="pct"/>
            <w:noWrap w:val="0"/>
            <w:vAlign w:val="top"/>
          </w:tcPr>
          <w:p w14:paraId="63811A6C">
            <w:pPr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0.002</w:t>
            </w:r>
          </w:p>
        </w:tc>
        <w:tc>
          <w:tcPr>
            <w:tcW w:w="458" w:type="pct"/>
            <w:noWrap w:val="0"/>
            <w:vAlign w:val="top"/>
          </w:tcPr>
          <w:p w14:paraId="51FA63C5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637" w:type="pct"/>
            <w:noWrap w:val="0"/>
            <w:vAlign w:val="top"/>
          </w:tcPr>
          <w:p w14:paraId="3840394F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469" w:type="pct"/>
            <w:noWrap w:val="0"/>
            <w:vAlign w:val="top"/>
          </w:tcPr>
          <w:p w14:paraId="5F3249CD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24739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771" w:type="pct"/>
            <w:noWrap w:val="0"/>
            <w:vAlign w:val="top"/>
          </w:tcPr>
          <w:p w14:paraId="0A465B98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</w:rPr>
              <w:t>Extranodal involvement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, ≥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vs. 0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36" w:type="pct"/>
            <w:noWrap w:val="0"/>
            <w:vAlign w:val="top"/>
          </w:tcPr>
          <w:p w14:paraId="2DD4AA12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1.518</w:t>
            </w:r>
          </w:p>
        </w:tc>
        <w:tc>
          <w:tcPr>
            <w:tcW w:w="688" w:type="pct"/>
            <w:noWrap w:val="0"/>
            <w:vAlign w:val="top"/>
          </w:tcPr>
          <w:p w14:paraId="5E6C3DFA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1.097-2.100</w:t>
            </w:r>
          </w:p>
        </w:tc>
        <w:tc>
          <w:tcPr>
            <w:tcW w:w="537" w:type="pct"/>
            <w:noWrap w:val="0"/>
            <w:vAlign w:val="top"/>
          </w:tcPr>
          <w:p w14:paraId="2EF8EAB3">
            <w:pPr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0.012</w:t>
            </w:r>
          </w:p>
        </w:tc>
        <w:tc>
          <w:tcPr>
            <w:tcW w:w="458" w:type="pct"/>
            <w:noWrap w:val="0"/>
            <w:vAlign w:val="top"/>
          </w:tcPr>
          <w:p w14:paraId="4062F7C9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637" w:type="pct"/>
            <w:noWrap w:val="0"/>
            <w:vAlign w:val="top"/>
          </w:tcPr>
          <w:p w14:paraId="7E230863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469" w:type="pct"/>
            <w:noWrap w:val="0"/>
            <w:vAlign w:val="top"/>
          </w:tcPr>
          <w:p w14:paraId="362A413D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7ED9F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771" w:type="pct"/>
            <w:noWrap w:val="0"/>
            <w:vAlign w:val="top"/>
          </w:tcPr>
          <w:p w14:paraId="553D5E72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Bone marrow involvement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Yes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vs. No</w:t>
            </w:r>
          </w:p>
        </w:tc>
        <w:tc>
          <w:tcPr>
            <w:tcW w:w="436" w:type="pct"/>
            <w:noWrap w:val="0"/>
            <w:vAlign w:val="top"/>
          </w:tcPr>
          <w:p w14:paraId="6D7DCEF1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2.252</w:t>
            </w:r>
          </w:p>
        </w:tc>
        <w:tc>
          <w:tcPr>
            <w:tcW w:w="688" w:type="pct"/>
            <w:noWrap w:val="0"/>
            <w:vAlign w:val="top"/>
          </w:tcPr>
          <w:p w14:paraId="5A44A0B4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1.549-3.272</w:t>
            </w:r>
          </w:p>
        </w:tc>
        <w:tc>
          <w:tcPr>
            <w:tcW w:w="537" w:type="pct"/>
            <w:noWrap w:val="0"/>
            <w:vAlign w:val="top"/>
          </w:tcPr>
          <w:p w14:paraId="0D0A4985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  <w:tc>
          <w:tcPr>
            <w:tcW w:w="458" w:type="pct"/>
            <w:noWrap w:val="0"/>
            <w:vAlign w:val="top"/>
          </w:tcPr>
          <w:p w14:paraId="2FF3F976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637" w:type="pct"/>
            <w:noWrap w:val="0"/>
            <w:vAlign w:val="top"/>
          </w:tcPr>
          <w:p w14:paraId="03FF7ED5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469" w:type="pct"/>
            <w:noWrap w:val="0"/>
            <w:vAlign w:val="top"/>
          </w:tcPr>
          <w:p w14:paraId="55CC7145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664FA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771" w:type="pct"/>
            <w:noWrap w:val="0"/>
            <w:vAlign w:val="top"/>
          </w:tcPr>
          <w:p w14:paraId="3B434891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Liver involvement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Yes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vs. No</w:t>
            </w:r>
          </w:p>
        </w:tc>
        <w:tc>
          <w:tcPr>
            <w:tcW w:w="436" w:type="pct"/>
            <w:noWrap w:val="0"/>
            <w:vAlign w:val="top"/>
          </w:tcPr>
          <w:p w14:paraId="3591865E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1.735</w:t>
            </w:r>
          </w:p>
        </w:tc>
        <w:tc>
          <w:tcPr>
            <w:tcW w:w="688" w:type="pct"/>
            <w:noWrap w:val="0"/>
            <w:vAlign w:val="top"/>
          </w:tcPr>
          <w:p w14:paraId="566FA8D7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0.999-3.015</w:t>
            </w:r>
          </w:p>
        </w:tc>
        <w:tc>
          <w:tcPr>
            <w:tcW w:w="537" w:type="pct"/>
            <w:noWrap w:val="0"/>
            <w:vAlign w:val="top"/>
          </w:tcPr>
          <w:p w14:paraId="6728EEB4">
            <w:pP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0.050</w:t>
            </w:r>
          </w:p>
        </w:tc>
        <w:tc>
          <w:tcPr>
            <w:tcW w:w="458" w:type="pct"/>
            <w:noWrap w:val="0"/>
            <w:vAlign w:val="top"/>
          </w:tcPr>
          <w:p w14:paraId="70B64274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637" w:type="pct"/>
            <w:noWrap w:val="0"/>
            <w:vAlign w:val="top"/>
          </w:tcPr>
          <w:p w14:paraId="3D6D57AD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469" w:type="pct"/>
            <w:noWrap w:val="0"/>
            <w:vAlign w:val="top"/>
          </w:tcPr>
          <w:p w14:paraId="52109B92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0FEFA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771" w:type="pct"/>
            <w:noWrap w:val="0"/>
            <w:vAlign w:val="top"/>
          </w:tcPr>
          <w:p w14:paraId="427B1806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Bone involvement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, Yes vs. No</w:t>
            </w:r>
          </w:p>
        </w:tc>
        <w:tc>
          <w:tcPr>
            <w:tcW w:w="436" w:type="pct"/>
            <w:noWrap w:val="0"/>
            <w:vAlign w:val="top"/>
          </w:tcPr>
          <w:p w14:paraId="78F1979E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1.604</w:t>
            </w:r>
          </w:p>
        </w:tc>
        <w:tc>
          <w:tcPr>
            <w:tcW w:w="688" w:type="pct"/>
            <w:noWrap w:val="0"/>
            <w:vAlign w:val="top"/>
          </w:tcPr>
          <w:p w14:paraId="5C6E2637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1.118-2.301</w:t>
            </w:r>
          </w:p>
        </w:tc>
        <w:tc>
          <w:tcPr>
            <w:tcW w:w="537" w:type="pct"/>
            <w:noWrap w:val="0"/>
            <w:vAlign w:val="top"/>
          </w:tcPr>
          <w:p w14:paraId="348447AF">
            <w:pP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458" w:type="pct"/>
            <w:noWrap w:val="0"/>
            <w:vAlign w:val="top"/>
          </w:tcPr>
          <w:p w14:paraId="480694BA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637" w:type="pct"/>
            <w:noWrap w:val="0"/>
            <w:vAlign w:val="top"/>
          </w:tcPr>
          <w:p w14:paraId="5D11E1E0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469" w:type="pct"/>
            <w:noWrap w:val="0"/>
            <w:vAlign w:val="top"/>
          </w:tcPr>
          <w:p w14:paraId="168FA927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46400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bottom w:val="single" w:color="auto" w:sz="4" w:space="0"/>
            </w:tcBorders>
            <w:noWrap w:val="0"/>
            <w:vAlign w:val="top"/>
          </w:tcPr>
          <w:p w14:paraId="72B47978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Therapy, Others vs. CHOP-based</w:t>
            </w:r>
          </w:p>
        </w:tc>
        <w:tc>
          <w:tcPr>
            <w:tcW w:w="436" w:type="pct"/>
            <w:tcBorders>
              <w:bottom w:val="single" w:color="auto" w:sz="4" w:space="0"/>
            </w:tcBorders>
            <w:noWrap w:val="0"/>
            <w:vAlign w:val="top"/>
          </w:tcPr>
          <w:p w14:paraId="5783AD00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2.377</w:t>
            </w:r>
          </w:p>
        </w:tc>
        <w:tc>
          <w:tcPr>
            <w:tcW w:w="688" w:type="pct"/>
            <w:tcBorders>
              <w:bottom w:val="single" w:color="auto" w:sz="4" w:space="0"/>
            </w:tcBorders>
            <w:noWrap w:val="0"/>
            <w:vAlign w:val="top"/>
          </w:tcPr>
          <w:p w14:paraId="055306A7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1.517-3.722</w:t>
            </w:r>
          </w:p>
        </w:tc>
        <w:tc>
          <w:tcPr>
            <w:tcW w:w="537" w:type="pct"/>
            <w:tcBorders>
              <w:bottom w:val="single" w:color="auto" w:sz="4" w:space="0"/>
            </w:tcBorders>
            <w:noWrap w:val="0"/>
            <w:vAlign w:val="top"/>
          </w:tcPr>
          <w:p w14:paraId="407E5DC1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  <w:tc>
          <w:tcPr>
            <w:tcW w:w="458" w:type="pct"/>
            <w:tcBorders>
              <w:bottom w:val="single" w:color="auto" w:sz="4" w:space="0"/>
            </w:tcBorders>
            <w:noWrap w:val="0"/>
            <w:vAlign w:val="top"/>
          </w:tcPr>
          <w:p w14:paraId="111FF6B2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1.893</w:t>
            </w:r>
          </w:p>
        </w:tc>
        <w:tc>
          <w:tcPr>
            <w:tcW w:w="637" w:type="pct"/>
            <w:tcBorders>
              <w:bottom w:val="single" w:color="auto" w:sz="4" w:space="0"/>
            </w:tcBorders>
            <w:noWrap w:val="0"/>
            <w:vAlign w:val="top"/>
          </w:tcPr>
          <w:p w14:paraId="710E4008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1.141-3.139</w:t>
            </w:r>
          </w:p>
        </w:tc>
        <w:tc>
          <w:tcPr>
            <w:tcW w:w="469" w:type="pct"/>
            <w:tcBorders>
              <w:bottom w:val="single" w:color="auto" w:sz="4" w:space="0"/>
            </w:tcBorders>
            <w:noWrap w:val="0"/>
            <w:vAlign w:val="top"/>
          </w:tcPr>
          <w:p w14:paraId="4787445C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0.013</w:t>
            </w:r>
          </w:p>
        </w:tc>
      </w:tr>
      <w:tr w14:paraId="3715B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vMerge w:val="restart"/>
            <w:noWrap w:val="0"/>
            <w:vAlign w:val="top"/>
          </w:tcPr>
          <w:p w14:paraId="3DEFEFAF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28" w:type="pct"/>
            <w:gridSpan w:val="6"/>
            <w:tcBorders>
              <w:bottom w:val="single" w:color="auto" w:sz="4" w:space="0"/>
            </w:tcBorders>
            <w:noWrap w:val="0"/>
            <w:vAlign w:val="top"/>
          </w:tcPr>
          <w:p w14:paraId="3916C5BD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PFS</w:t>
            </w:r>
          </w:p>
        </w:tc>
      </w:tr>
      <w:tr w14:paraId="5987F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vMerge w:val="continue"/>
            <w:noWrap w:val="0"/>
            <w:vAlign w:val="top"/>
          </w:tcPr>
          <w:p w14:paraId="10202ED2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61" w:type="pct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748CC3E0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Univariate</w:t>
            </w:r>
          </w:p>
        </w:tc>
        <w:tc>
          <w:tcPr>
            <w:tcW w:w="1566" w:type="pct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190E8DE7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Multivariate</w:t>
            </w:r>
          </w:p>
        </w:tc>
      </w:tr>
      <w:tr w14:paraId="27A05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4838AAC4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36" w:type="pct"/>
            <w:tcBorders>
              <w:bottom w:val="single" w:color="auto" w:sz="4" w:space="0"/>
            </w:tcBorders>
            <w:noWrap w:val="0"/>
            <w:vAlign w:val="top"/>
          </w:tcPr>
          <w:p w14:paraId="3081A847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 xml:space="preserve">HR </w:t>
            </w:r>
          </w:p>
        </w:tc>
        <w:tc>
          <w:tcPr>
            <w:tcW w:w="688" w:type="pct"/>
            <w:tcBorders>
              <w:bottom w:val="single" w:color="auto" w:sz="4" w:space="0"/>
            </w:tcBorders>
            <w:noWrap w:val="0"/>
            <w:vAlign w:val="top"/>
          </w:tcPr>
          <w:p w14:paraId="4815E122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95% CI</w:t>
            </w:r>
          </w:p>
        </w:tc>
        <w:tc>
          <w:tcPr>
            <w:tcW w:w="537" w:type="pct"/>
            <w:tcBorders>
              <w:bottom w:val="single" w:color="auto" w:sz="4" w:space="0"/>
            </w:tcBorders>
            <w:noWrap w:val="0"/>
            <w:vAlign w:val="top"/>
          </w:tcPr>
          <w:p w14:paraId="5CA4F7E8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-value</w:t>
            </w:r>
          </w:p>
        </w:tc>
        <w:tc>
          <w:tcPr>
            <w:tcW w:w="458" w:type="pct"/>
            <w:tcBorders>
              <w:bottom w:val="single" w:color="auto" w:sz="4" w:space="0"/>
            </w:tcBorders>
            <w:noWrap w:val="0"/>
            <w:vAlign w:val="top"/>
          </w:tcPr>
          <w:p w14:paraId="3C3FE53D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 xml:space="preserve">HR </w:t>
            </w:r>
          </w:p>
        </w:tc>
        <w:tc>
          <w:tcPr>
            <w:tcW w:w="637" w:type="pct"/>
            <w:tcBorders>
              <w:bottom w:val="single" w:color="auto" w:sz="4" w:space="0"/>
            </w:tcBorders>
            <w:noWrap w:val="0"/>
            <w:vAlign w:val="top"/>
          </w:tcPr>
          <w:p w14:paraId="23674B0F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95% CI</w:t>
            </w:r>
          </w:p>
        </w:tc>
        <w:tc>
          <w:tcPr>
            <w:tcW w:w="469" w:type="pct"/>
            <w:tcBorders>
              <w:bottom w:val="single" w:color="auto" w:sz="4" w:space="0"/>
            </w:tcBorders>
            <w:noWrap w:val="0"/>
            <w:vAlign w:val="top"/>
          </w:tcPr>
          <w:p w14:paraId="77F308CB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-value</w:t>
            </w:r>
          </w:p>
        </w:tc>
      </w:tr>
      <w:tr w14:paraId="680AE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bottom w:val="nil"/>
            </w:tcBorders>
            <w:noWrap w:val="0"/>
            <w:vAlign w:val="top"/>
          </w:tcPr>
          <w:p w14:paraId="713DBAAF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Log 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EASIX</w:t>
            </w:r>
          </w:p>
        </w:tc>
        <w:tc>
          <w:tcPr>
            <w:tcW w:w="436" w:type="pct"/>
            <w:tcBorders>
              <w:bottom w:val="nil"/>
            </w:tcBorders>
            <w:noWrap w:val="0"/>
            <w:vAlign w:val="top"/>
          </w:tcPr>
          <w:p w14:paraId="56DBCBA8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8" w:type="pct"/>
            <w:tcBorders>
              <w:bottom w:val="nil"/>
            </w:tcBorders>
            <w:noWrap w:val="0"/>
            <w:vAlign w:val="top"/>
          </w:tcPr>
          <w:p w14:paraId="1C03CE6C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37" w:type="pct"/>
            <w:tcBorders>
              <w:bottom w:val="nil"/>
            </w:tcBorders>
            <w:noWrap w:val="0"/>
            <w:vAlign w:val="top"/>
          </w:tcPr>
          <w:p w14:paraId="575D9F5D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58" w:type="pct"/>
            <w:tcBorders>
              <w:bottom w:val="nil"/>
            </w:tcBorders>
            <w:noWrap w:val="0"/>
            <w:vAlign w:val="top"/>
          </w:tcPr>
          <w:p w14:paraId="5ECD53BC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37" w:type="pct"/>
            <w:tcBorders>
              <w:bottom w:val="nil"/>
            </w:tcBorders>
            <w:noWrap w:val="0"/>
            <w:vAlign w:val="top"/>
          </w:tcPr>
          <w:p w14:paraId="5C35CE9C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69" w:type="pct"/>
            <w:tcBorders>
              <w:bottom w:val="nil"/>
            </w:tcBorders>
            <w:noWrap w:val="0"/>
            <w:vAlign w:val="top"/>
          </w:tcPr>
          <w:p w14:paraId="4FA90488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7A2DE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top w:val="nil"/>
              <w:bottom w:val="nil"/>
            </w:tcBorders>
            <w:noWrap w:val="0"/>
            <w:vAlign w:val="top"/>
          </w:tcPr>
          <w:p w14:paraId="4284BFA6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 Q2 vs. Q1</w:t>
            </w:r>
          </w:p>
        </w:tc>
        <w:tc>
          <w:tcPr>
            <w:tcW w:w="436" w:type="pct"/>
            <w:tcBorders>
              <w:top w:val="nil"/>
              <w:bottom w:val="nil"/>
            </w:tcBorders>
            <w:noWrap w:val="0"/>
            <w:vAlign w:val="top"/>
          </w:tcPr>
          <w:p w14:paraId="4BDEE5ED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1.021</w:t>
            </w:r>
          </w:p>
        </w:tc>
        <w:tc>
          <w:tcPr>
            <w:tcW w:w="688" w:type="pct"/>
            <w:tcBorders>
              <w:top w:val="nil"/>
              <w:bottom w:val="nil"/>
            </w:tcBorders>
            <w:noWrap w:val="0"/>
            <w:vAlign w:val="top"/>
          </w:tcPr>
          <w:p w14:paraId="5253E784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0.653-1.596</w:t>
            </w:r>
          </w:p>
        </w:tc>
        <w:tc>
          <w:tcPr>
            <w:tcW w:w="537" w:type="pct"/>
            <w:tcBorders>
              <w:top w:val="nil"/>
              <w:bottom w:val="nil"/>
            </w:tcBorders>
            <w:noWrap w:val="0"/>
            <w:vAlign w:val="top"/>
          </w:tcPr>
          <w:p w14:paraId="57D4B75F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0.929</w:t>
            </w:r>
          </w:p>
        </w:tc>
        <w:tc>
          <w:tcPr>
            <w:tcW w:w="458" w:type="pct"/>
            <w:tcBorders>
              <w:top w:val="nil"/>
              <w:bottom w:val="nil"/>
            </w:tcBorders>
            <w:noWrap w:val="0"/>
            <w:vAlign w:val="top"/>
          </w:tcPr>
          <w:p w14:paraId="39D60290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0.966</w:t>
            </w:r>
          </w:p>
        </w:tc>
        <w:tc>
          <w:tcPr>
            <w:tcW w:w="637" w:type="pct"/>
            <w:tcBorders>
              <w:top w:val="nil"/>
              <w:bottom w:val="nil"/>
            </w:tcBorders>
            <w:noWrap w:val="0"/>
            <w:vAlign w:val="top"/>
          </w:tcPr>
          <w:p w14:paraId="6B70DE42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0.588-1.585</w:t>
            </w:r>
          </w:p>
        </w:tc>
        <w:tc>
          <w:tcPr>
            <w:tcW w:w="469" w:type="pct"/>
            <w:tcBorders>
              <w:top w:val="nil"/>
              <w:bottom w:val="nil"/>
            </w:tcBorders>
            <w:noWrap w:val="0"/>
            <w:vAlign w:val="top"/>
          </w:tcPr>
          <w:p w14:paraId="2CD5DBBD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0.890</w:t>
            </w:r>
          </w:p>
        </w:tc>
      </w:tr>
      <w:tr w14:paraId="6E031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top w:val="nil"/>
              <w:bottom w:val="nil"/>
            </w:tcBorders>
            <w:noWrap w:val="0"/>
            <w:vAlign w:val="top"/>
          </w:tcPr>
          <w:p w14:paraId="33B3233A">
            <w:pPr>
              <w:ind w:firstLine="210" w:firstLineChars="100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Q3 vs. Q1</w:t>
            </w:r>
          </w:p>
        </w:tc>
        <w:tc>
          <w:tcPr>
            <w:tcW w:w="436" w:type="pct"/>
            <w:tcBorders>
              <w:top w:val="nil"/>
              <w:bottom w:val="nil"/>
            </w:tcBorders>
            <w:noWrap w:val="0"/>
            <w:vAlign w:val="top"/>
          </w:tcPr>
          <w:p w14:paraId="6D30DF31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2.159</w:t>
            </w:r>
          </w:p>
        </w:tc>
        <w:tc>
          <w:tcPr>
            <w:tcW w:w="688" w:type="pct"/>
            <w:tcBorders>
              <w:top w:val="nil"/>
              <w:bottom w:val="nil"/>
            </w:tcBorders>
            <w:noWrap w:val="0"/>
            <w:vAlign w:val="top"/>
          </w:tcPr>
          <w:p w14:paraId="7733535B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1.455-3.203</w:t>
            </w:r>
          </w:p>
        </w:tc>
        <w:tc>
          <w:tcPr>
            <w:tcW w:w="537" w:type="pct"/>
            <w:tcBorders>
              <w:top w:val="nil"/>
              <w:bottom w:val="nil"/>
            </w:tcBorders>
            <w:noWrap w:val="0"/>
            <w:vAlign w:val="top"/>
          </w:tcPr>
          <w:p w14:paraId="32226EAE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  <w:tc>
          <w:tcPr>
            <w:tcW w:w="458" w:type="pct"/>
            <w:tcBorders>
              <w:top w:val="nil"/>
              <w:bottom w:val="nil"/>
            </w:tcBorders>
            <w:noWrap w:val="0"/>
            <w:vAlign w:val="top"/>
          </w:tcPr>
          <w:p w14:paraId="68C2A5EC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2.015</w:t>
            </w:r>
          </w:p>
        </w:tc>
        <w:tc>
          <w:tcPr>
            <w:tcW w:w="637" w:type="pct"/>
            <w:tcBorders>
              <w:top w:val="nil"/>
              <w:bottom w:val="nil"/>
            </w:tcBorders>
            <w:noWrap w:val="0"/>
            <w:vAlign w:val="top"/>
          </w:tcPr>
          <w:p w14:paraId="430AE808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1.282-3.168</w:t>
            </w:r>
          </w:p>
        </w:tc>
        <w:tc>
          <w:tcPr>
            <w:tcW w:w="469" w:type="pct"/>
            <w:tcBorders>
              <w:top w:val="nil"/>
              <w:bottom w:val="nil"/>
            </w:tcBorders>
            <w:noWrap w:val="0"/>
            <w:vAlign w:val="top"/>
          </w:tcPr>
          <w:p w14:paraId="25EFC01B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0.002</w:t>
            </w:r>
          </w:p>
        </w:tc>
      </w:tr>
      <w:tr w14:paraId="1DD7A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top w:val="nil"/>
              <w:bottom w:val="nil"/>
            </w:tcBorders>
            <w:noWrap w:val="0"/>
            <w:vAlign w:val="top"/>
          </w:tcPr>
          <w:p w14:paraId="57976E79">
            <w:pPr>
              <w:ind w:firstLine="210" w:firstLineChars="100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Q4 vs. Q1</w:t>
            </w:r>
          </w:p>
        </w:tc>
        <w:tc>
          <w:tcPr>
            <w:tcW w:w="436" w:type="pct"/>
            <w:tcBorders>
              <w:top w:val="nil"/>
              <w:bottom w:val="nil"/>
            </w:tcBorders>
            <w:noWrap w:val="0"/>
            <w:vAlign w:val="top"/>
          </w:tcPr>
          <w:p w14:paraId="3CEE078F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2.976</w:t>
            </w:r>
          </w:p>
        </w:tc>
        <w:tc>
          <w:tcPr>
            <w:tcW w:w="688" w:type="pct"/>
            <w:tcBorders>
              <w:top w:val="nil"/>
              <w:bottom w:val="nil"/>
            </w:tcBorders>
            <w:noWrap w:val="0"/>
            <w:vAlign w:val="top"/>
          </w:tcPr>
          <w:p w14:paraId="532FD05A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2.010-4.406</w:t>
            </w:r>
          </w:p>
        </w:tc>
        <w:tc>
          <w:tcPr>
            <w:tcW w:w="537" w:type="pct"/>
            <w:tcBorders>
              <w:top w:val="nil"/>
              <w:bottom w:val="nil"/>
            </w:tcBorders>
            <w:noWrap w:val="0"/>
            <w:vAlign w:val="top"/>
          </w:tcPr>
          <w:p w14:paraId="65A7C79F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  <w:tc>
          <w:tcPr>
            <w:tcW w:w="458" w:type="pct"/>
            <w:tcBorders>
              <w:top w:val="nil"/>
              <w:bottom w:val="nil"/>
            </w:tcBorders>
            <w:noWrap w:val="0"/>
            <w:vAlign w:val="top"/>
          </w:tcPr>
          <w:p w14:paraId="39333C83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2.229</w:t>
            </w:r>
          </w:p>
        </w:tc>
        <w:tc>
          <w:tcPr>
            <w:tcW w:w="637" w:type="pct"/>
            <w:tcBorders>
              <w:top w:val="nil"/>
              <w:bottom w:val="nil"/>
            </w:tcBorders>
            <w:noWrap w:val="0"/>
            <w:vAlign w:val="top"/>
          </w:tcPr>
          <w:p w14:paraId="7A3FA4AE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1.382-3.597</w:t>
            </w:r>
          </w:p>
        </w:tc>
        <w:tc>
          <w:tcPr>
            <w:tcW w:w="469" w:type="pct"/>
            <w:tcBorders>
              <w:top w:val="nil"/>
              <w:bottom w:val="nil"/>
            </w:tcBorders>
            <w:noWrap w:val="0"/>
            <w:vAlign w:val="top"/>
          </w:tcPr>
          <w:p w14:paraId="303594B2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</w:tr>
      <w:tr w14:paraId="48A24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top w:val="nil"/>
              <w:bottom w:val="nil"/>
            </w:tcBorders>
            <w:noWrap w:val="0"/>
            <w:vAlign w:val="top"/>
          </w:tcPr>
          <w:p w14:paraId="10982196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Age, &gt; 60 vs. ≤ 60</w:t>
            </w:r>
          </w:p>
        </w:tc>
        <w:tc>
          <w:tcPr>
            <w:tcW w:w="436" w:type="pct"/>
            <w:tcBorders>
              <w:top w:val="nil"/>
              <w:bottom w:val="nil"/>
            </w:tcBorders>
            <w:noWrap w:val="0"/>
            <w:vAlign w:val="top"/>
          </w:tcPr>
          <w:p w14:paraId="74BDE4C2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1.453</w:t>
            </w:r>
          </w:p>
        </w:tc>
        <w:tc>
          <w:tcPr>
            <w:tcW w:w="688" w:type="pct"/>
            <w:tcBorders>
              <w:top w:val="nil"/>
              <w:bottom w:val="nil"/>
            </w:tcBorders>
            <w:noWrap w:val="0"/>
            <w:vAlign w:val="top"/>
          </w:tcPr>
          <w:p w14:paraId="07F7E22A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1.106-1.910</w:t>
            </w:r>
          </w:p>
        </w:tc>
        <w:tc>
          <w:tcPr>
            <w:tcW w:w="537" w:type="pct"/>
            <w:tcBorders>
              <w:top w:val="nil"/>
              <w:bottom w:val="nil"/>
            </w:tcBorders>
            <w:noWrap w:val="0"/>
            <w:vAlign w:val="top"/>
          </w:tcPr>
          <w:p w14:paraId="638E87AC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0.007</w:t>
            </w:r>
          </w:p>
        </w:tc>
        <w:tc>
          <w:tcPr>
            <w:tcW w:w="458" w:type="pct"/>
            <w:tcBorders>
              <w:top w:val="nil"/>
              <w:bottom w:val="nil"/>
            </w:tcBorders>
            <w:noWrap w:val="0"/>
            <w:vAlign w:val="top"/>
          </w:tcPr>
          <w:p w14:paraId="27DF5C92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637" w:type="pct"/>
            <w:tcBorders>
              <w:top w:val="nil"/>
              <w:bottom w:val="nil"/>
            </w:tcBorders>
            <w:noWrap w:val="0"/>
            <w:vAlign w:val="top"/>
          </w:tcPr>
          <w:p w14:paraId="641A343E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469" w:type="pct"/>
            <w:tcBorders>
              <w:top w:val="nil"/>
              <w:bottom w:val="nil"/>
            </w:tcBorders>
            <w:noWrap w:val="0"/>
            <w:vAlign w:val="top"/>
          </w:tcPr>
          <w:p w14:paraId="4558E792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5FF85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top w:val="nil"/>
              <w:bottom w:val="nil"/>
            </w:tcBorders>
            <w:noWrap w:val="0"/>
            <w:vAlign w:val="top"/>
          </w:tcPr>
          <w:p w14:paraId="5D3DBF07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Symptom stage,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vs. A</w:t>
            </w:r>
          </w:p>
        </w:tc>
        <w:tc>
          <w:tcPr>
            <w:tcW w:w="436" w:type="pct"/>
            <w:tcBorders>
              <w:top w:val="nil"/>
              <w:bottom w:val="nil"/>
            </w:tcBorders>
            <w:noWrap w:val="0"/>
            <w:vAlign w:val="top"/>
          </w:tcPr>
          <w:p w14:paraId="76DA838C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1.732</w:t>
            </w:r>
          </w:p>
        </w:tc>
        <w:tc>
          <w:tcPr>
            <w:tcW w:w="688" w:type="pct"/>
            <w:tcBorders>
              <w:top w:val="nil"/>
              <w:bottom w:val="nil"/>
            </w:tcBorders>
            <w:noWrap w:val="0"/>
            <w:vAlign w:val="top"/>
          </w:tcPr>
          <w:p w14:paraId="71EC057A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1.321-2.271</w:t>
            </w:r>
          </w:p>
        </w:tc>
        <w:tc>
          <w:tcPr>
            <w:tcW w:w="537" w:type="pct"/>
            <w:tcBorders>
              <w:top w:val="nil"/>
              <w:bottom w:val="nil"/>
            </w:tcBorders>
            <w:noWrap w:val="0"/>
            <w:vAlign w:val="top"/>
          </w:tcPr>
          <w:p w14:paraId="3FFAAE36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  <w:tc>
          <w:tcPr>
            <w:tcW w:w="458" w:type="pct"/>
            <w:tcBorders>
              <w:top w:val="nil"/>
              <w:bottom w:val="nil"/>
            </w:tcBorders>
            <w:noWrap w:val="0"/>
            <w:vAlign w:val="top"/>
          </w:tcPr>
          <w:p w14:paraId="69B965A3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637" w:type="pct"/>
            <w:tcBorders>
              <w:top w:val="nil"/>
              <w:bottom w:val="nil"/>
            </w:tcBorders>
            <w:noWrap w:val="0"/>
            <w:vAlign w:val="top"/>
          </w:tcPr>
          <w:p w14:paraId="20576EEA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469" w:type="pct"/>
            <w:tcBorders>
              <w:top w:val="nil"/>
              <w:bottom w:val="nil"/>
            </w:tcBorders>
            <w:noWrap w:val="0"/>
            <w:vAlign w:val="top"/>
          </w:tcPr>
          <w:p w14:paraId="1834200B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36E55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top w:val="nil"/>
              <w:bottom w:val="nil"/>
            </w:tcBorders>
            <w:noWrap w:val="0"/>
            <w:vAlign w:val="top"/>
          </w:tcPr>
          <w:p w14:paraId="411DCB82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IPI</w:t>
            </w:r>
          </w:p>
        </w:tc>
        <w:tc>
          <w:tcPr>
            <w:tcW w:w="436" w:type="pct"/>
            <w:tcBorders>
              <w:top w:val="nil"/>
              <w:bottom w:val="nil"/>
            </w:tcBorders>
            <w:noWrap w:val="0"/>
            <w:vAlign w:val="top"/>
          </w:tcPr>
          <w:p w14:paraId="52B6F729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8" w:type="pct"/>
            <w:tcBorders>
              <w:top w:val="nil"/>
              <w:bottom w:val="nil"/>
            </w:tcBorders>
            <w:noWrap w:val="0"/>
            <w:vAlign w:val="top"/>
          </w:tcPr>
          <w:p w14:paraId="79953935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37" w:type="pct"/>
            <w:tcBorders>
              <w:top w:val="nil"/>
              <w:bottom w:val="nil"/>
            </w:tcBorders>
            <w:noWrap w:val="0"/>
            <w:vAlign w:val="top"/>
          </w:tcPr>
          <w:p w14:paraId="7652B4DC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noWrap w:val="0"/>
            <w:vAlign w:val="top"/>
          </w:tcPr>
          <w:p w14:paraId="4A182C82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37" w:type="pct"/>
            <w:tcBorders>
              <w:top w:val="nil"/>
              <w:bottom w:val="nil"/>
            </w:tcBorders>
            <w:noWrap w:val="0"/>
            <w:vAlign w:val="top"/>
          </w:tcPr>
          <w:p w14:paraId="7BEF3408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69" w:type="pct"/>
            <w:tcBorders>
              <w:top w:val="nil"/>
              <w:bottom w:val="nil"/>
            </w:tcBorders>
            <w:noWrap w:val="0"/>
            <w:vAlign w:val="top"/>
          </w:tcPr>
          <w:p w14:paraId="291DFCCF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D5CE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top w:val="nil"/>
              <w:bottom w:val="nil"/>
            </w:tcBorders>
            <w:noWrap w:val="0"/>
            <w:vAlign w:val="top"/>
          </w:tcPr>
          <w:p w14:paraId="68117651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 LI vs. Low</w:t>
            </w:r>
          </w:p>
        </w:tc>
        <w:tc>
          <w:tcPr>
            <w:tcW w:w="436" w:type="pct"/>
            <w:tcBorders>
              <w:top w:val="nil"/>
              <w:bottom w:val="nil"/>
            </w:tcBorders>
            <w:noWrap w:val="0"/>
            <w:vAlign w:val="top"/>
          </w:tcPr>
          <w:p w14:paraId="54A6FA67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1.259</w:t>
            </w:r>
          </w:p>
        </w:tc>
        <w:tc>
          <w:tcPr>
            <w:tcW w:w="688" w:type="pct"/>
            <w:tcBorders>
              <w:top w:val="nil"/>
              <w:bottom w:val="nil"/>
            </w:tcBorders>
            <w:noWrap w:val="0"/>
            <w:vAlign w:val="top"/>
          </w:tcPr>
          <w:p w14:paraId="680CC933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0.820-1.933</w:t>
            </w:r>
          </w:p>
        </w:tc>
        <w:tc>
          <w:tcPr>
            <w:tcW w:w="537" w:type="pct"/>
            <w:tcBorders>
              <w:top w:val="nil"/>
              <w:bottom w:val="nil"/>
            </w:tcBorders>
            <w:noWrap w:val="0"/>
            <w:vAlign w:val="top"/>
          </w:tcPr>
          <w:p w14:paraId="6CACFF22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0.293</w:t>
            </w:r>
          </w:p>
        </w:tc>
        <w:tc>
          <w:tcPr>
            <w:tcW w:w="458" w:type="pct"/>
            <w:tcBorders>
              <w:top w:val="nil"/>
              <w:bottom w:val="nil"/>
            </w:tcBorders>
            <w:noWrap w:val="0"/>
            <w:vAlign w:val="top"/>
          </w:tcPr>
          <w:p w14:paraId="4638C803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0.911</w:t>
            </w:r>
          </w:p>
        </w:tc>
        <w:tc>
          <w:tcPr>
            <w:tcW w:w="637" w:type="pct"/>
            <w:tcBorders>
              <w:top w:val="nil"/>
              <w:bottom w:val="nil"/>
            </w:tcBorders>
            <w:noWrap w:val="0"/>
            <w:vAlign w:val="top"/>
          </w:tcPr>
          <w:p w14:paraId="1F207755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0.543-1.530</w:t>
            </w:r>
          </w:p>
        </w:tc>
        <w:tc>
          <w:tcPr>
            <w:tcW w:w="469" w:type="pct"/>
            <w:tcBorders>
              <w:top w:val="nil"/>
              <w:bottom w:val="nil"/>
            </w:tcBorders>
            <w:noWrap w:val="0"/>
            <w:vAlign w:val="top"/>
          </w:tcPr>
          <w:p w14:paraId="3F91B0BE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0.725</w:t>
            </w:r>
          </w:p>
        </w:tc>
      </w:tr>
      <w:tr w14:paraId="43D03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top w:val="nil"/>
              <w:bottom w:val="nil"/>
            </w:tcBorders>
            <w:noWrap w:val="0"/>
            <w:vAlign w:val="top"/>
          </w:tcPr>
          <w:p w14:paraId="1EE348A6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 HI vs. Low</w:t>
            </w:r>
          </w:p>
        </w:tc>
        <w:tc>
          <w:tcPr>
            <w:tcW w:w="436" w:type="pct"/>
            <w:tcBorders>
              <w:top w:val="nil"/>
              <w:bottom w:val="nil"/>
            </w:tcBorders>
            <w:noWrap w:val="0"/>
            <w:vAlign w:val="top"/>
          </w:tcPr>
          <w:p w14:paraId="2920E6C1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1.576</w:t>
            </w:r>
          </w:p>
        </w:tc>
        <w:tc>
          <w:tcPr>
            <w:tcW w:w="688" w:type="pct"/>
            <w:tcBorders>
              <w:top w:val="nil"/>
              <w:bottom w:val="nil"/>
            </w:tcBorders>
            <w:noWrap w:val="0"/>
            <w:vAlign w:val="top"/>
          </w:tcPr>
          <w:p w14:paraId="107DE133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1.041-2.386</w:t>
            </w:r>
          </w:p>
        </w:tc>
        <w:tc>
          <w:tcPr>
            <w:tcW w:w="537" w:type="pct"/>
            <w:tcBorders>
              <w:top w:val="nil"/>
              <w:bottom w:val="nil"/>
            </w:tcBorders>
            <w:noWrap w:val="0"/>
            <w:vAlign w:val="top"/>
          </w:tcPr>
          <w:p w14:paraId="7C7672AD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0.032</w:t>
            </w:r>
          </w:p>
        </w:tc>
        <w:tc>
          <w:tcPr>
            <w:tcW w:w="458" w:type="pct"/>
            <w:tcBorders>
              <w:top w:val="nil"/>
              <w:bottom w:val="nil"/>
            </w:tcBorders>
            <w:noWrap w:val="0"/>
            <w:vAlign w:val="top"/>
          </w:tcPr>
          <w:p w14:paraId="5CFB079F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1.122</w:t>
            </w:r>
          </w:p>
        </w:tc>
        <w:tc>
          <w:tcPr>
            <w:tcW w:w="637" w:type="pct"/>
            <w:tcBorders>
              <w:top w:val="nil"/>
              <w:bottom w:val="nil"/>
            </w:tcBorders>
            <w:noWrap w:val="0"/>
            <w:vAlign w:val="top"/>
          </w:tcPr>
          <w:p w14:paraId="724ED3F6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0.690-1.824</w:t>
            </w:r>
          </w:p>
        </w:tc>
        <w:tc>
          <w:tcPr>
            <w:tcW w:w="469" w:type="pct"/>
            <w:tcBorders>
              <w:top w:val="nil"/>
              <w:bottom w:val="nil"/>
            </w:tcBorders>
            <w:noWrap w:val="0"/>
            <w:vAlign w:val="top"/>
          </w:tcPr>
          <w:p w14:paraId="2D78B1A9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0.643</w:t>
            </w:r>
          </w:p>
        </w:tc>
      </w:tr>
      <w:tr w14:paraId="03805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top w:val="nil"/>
              <w:bottom w:val="nil"/>
            </w:tcBorders>
            <w:noWrap w:val="0"/>
            <w:vAlign w:val="top"/>
          </w:tcPr>
          <w:p w14:paraId="2FE8850B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 High vs. Low</w:t>
            </w:r>
          </w:p>
        </w:tc>
        <w:tc>
          <w:tcPr>
            <w:tcW w:w="436" w:type="pct"/>
            <w:tcBorders>
              <w:top w:val="nil"/>
              <w:bottom w:val="nil"/>
            </w:tcBorders>
            <w:noWrap w:val="0"/>
            <w:vAlign w:val="top"/>
          </w:tcPr>
          <w:p w14:paraId="36984F00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2.849</w:t>
            </w:r>
          </w:p>
        </w:tc>
        <w:tc>
          <w:tcPr>
            <w:tcW w:w="688" w:type="pct"/>
            <w:tcBorders>
              <w:top w:val="nil"/>
              <w:bottom w:val="nil"/>
            </w:tcBorders>
            <w:noWrap w:val="0"/>
            <w:vAlign w:val="top"/>
          </w:tcPr>
          <w:p w14:paraId="53DCC03A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1.993-4.072</w:t>
            </w:r>
          </w:p>
        </w:tc>
        <w:tc>
          <w:tcPr>
            <w:tcW w:w="537" w:type="pct"/>
            <w:tcBorders>
              <w:top w:val="nil"/>
              <w:bottom w:val="nil"/>
            </w:tcBorders>
            <w:noWrap w:val="0"/>
            <w:vAlign w:val="top"/>
          </w:tcPr>
          <w:p w14:paraId="3288E361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  <w:tc>
          <w:tcPr>
            <w:tcW w:w="458" w:type="pct"/>
            <w:tcBorders>
              <w:top w:val="nil"/>
              <w:bottom w:val="nil"/>
            </w:tcBorders>
            <w:noWrap w:val="0"/>
            <w:vAlign w:val="top"/>
          </w:tcPr>
          <w:p w14:paraId="55ECB3E9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1.847</w:t>
            </w:r>
          </w:p>
        </w:tc>
        <w:tc>
          <w:tcPr>
            <w:tcW w:w="637" w:type="pct"/>
            <w:tcBorders>
              <w:top w:val="nil"/>
              <w:bottom w:val="nil"/>
            </w:tcBorders>
            <w:noWrap w:val="0"/>
            <w:vAlign w:val="top"/>
          </w:tcPr>
          <w:p w14:paraId="11E09EB9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1.171-2.913</w:t>
            </w:r>
          </w:p>
        </w:tc>
        <w:tc>
          <w:tcPr>
            <w:tcW w:w="469" w:type="pct"/>
            <w:tcBorders>
              <w:top w:val="nil"/>
              <w:bottom w:val="nil"/>
            </w:tcBorders>
            <w:noWrap w:val="0"/>
            <w:vAlign w:val="top"/>
          </w:tcPr>
          <w:p w14:paraId="70C8C17A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0.008</w:t>
            </w:r>
          </w:p>
        </w:tc>
      </w:tr>
      <w:tr w14:paraId="7D221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top w:val="nil"/>
              <w:bottom w:val="nil"/>
            </w:tcBorders>
            <w:noWrap w:val="0"/>
            <w:vAlign w:val="top"/>
          </w:tcPr>
          <w:p w14:paraId="0F5F34B2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COO, non-GCB vs. GCB</w:t>
            </w:r>
          </w:p>
        </w:tc>
        <w:tc>
          <w:tcPr>
            <w:tcW w:w="436" w:type="pct"/>
            <w:tcBorders>
              <w:top w:val="nil"/>
              <w:bottom w:val="nil"/>
            </w:tcBorders>
            <w:noWrap w:val="0"/>
            <w:vAlign w:val="top"/>
          </w:tcPr>
          <w:p w14:paraId="091DB970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1.043</w:t>
            </w:r>
          </w:p>
        </w:tc>
        <w:tc>
          <w:tcPr>
            <w:tcW w:w="688" w:type="pct"/>
            <w:tcBorders>
              <w:top w:val="nil"/>
              <w:bottom w:val="nil"/>
            </w:tcBorders>
            <w:noWrap w:val="0"/>
            <w:vAlign w:val="top"/>
          </w:tcPr>
          <w:p w14:paraId="5EBD0A99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0.758-1.435</w:t>
            </w:r>
          </w:p>
        </w:tc>
        <w:tc>
          <w:tcPr>
            <w:tcW w:w="537" w:type="pct"/>
            <w:tcBorders>
              <w:top w:val="nil"/>
              <w:bottom w:val="nil"/>
            </w:tcBorders>
            <w:noWrap w:val="0"/>
            <w:vAlign w:val="top"/>
          </w:tcPr>
          <w:p w14:paraId="31F31B43">
            <w:pP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0.796</w:t>
            </w:r>
          </w:p>
        </w:tc>
        <w:tc>
          <w:tcPr>
            <w:tcW w:w="458" w:type="pct"/>
            <w:tcBorders>
              <w:top w:val="nil"/>
              <w:bottom w:val="nil"/>
            </w:tcBorders>
            <w:noWrap w:val="0"/>
            <w:vAlign w:val="top"/>
          </w:tcPr>
          <w:p w14:paraId="3A3DA392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0.922</w:t>
            </w:r>
          </w:p>
        </w:tc>
        <w:tc>
          <w:tcPr>
            <w:tcW w:w="637" w:type="pct"/>
            <w:tcBorders>
              <w:top w:val="nil"/>
              <w:bottom w:val="nil"/>
            </w:tcBorders>
            <w:noWrap w:val="0"/>
            <w:vAlign w:val="top"/>
          </w:tcPr>
          <w:p w14:paraId="3A764B2C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0.665-1.278</w:t>
            </w:r>
          </w:p>
        </w:tc>
        <w:tc>
          <w:tcPr>
            <w:tcW w:w="469" w:type="pct"/>
            <w:tcBorders>
              <w:top w:val="nil"/>
              <w:bottom w:val="nil"/>
            </w:tcBorders>
            <w:noWrap w:val="0"/>
            <w:vAlign w:val="top"/>
          </w:tcPr>
          <w:p w14:paraId="2066E712">
            <w:pP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0.625</w:t>
            </w:r>
          </w:p>
        </w:tc>
      </w:tr>
      <w:tr w14:paraId="3068A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top w:val="nil"/>
              <w:bottom w:val="nil"/>
            </w:tcBorders>
            <w:noWrap w:val="0"/>
            <w:vAlign w:val="top"/>
          </w:tcPr>
          <w:p w14:paraId="31434774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</w:rPr>
              <w:t>Extranodal involvement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, ≥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vs. 0-1</w:t>
            </w:r>
          </w:p>
        </w:tc>
        <w:tc>
          <w:tcPr>
            <w:tcW w:w="436" w:type="pct"/>
            <w:tcBorders>
              <w:top w:val="nil"/>
              <w:bottom w:val="nil"/>
            </w:tcBorders>
            <w:noWrap w:val="0"/>
            <w:vAlign w:val="top"/>
          </w:tcPr>
          <w:p w14:paraId="003E0C12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1.369</w:t>
            </w:r>
          </w:p>
        </w:tc>
        <w:tc>
          <w:tcPr>
            <w:tcW w:w="688" w:type="pct"/>
            <w:tcBorders>
              <w:top w:val="nil"/>
              <w:bottom w:val="nil"/>
            </w:tcBorders>
            <w:noWrap w:val="0"/>
            <w:vAlign w:val="top"/>
          </w:tcPr>
          <w:p w14:paraId="65D0286F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1.044-1.796</w:t>
            </w:r>
          </w:p>
        </w:tc>
        <w:tc>
          <w:tcPr>
            <w:tcW w:w="537" w:type="pct"/>
            <w:tcBorders>
              <w:top w:val="nil"/>
              <w:bottom w:val="nil"/>
            </w:tcBorders>
            <w:noWrap w:val="0"/>
            <w:vAlign w:val="top"/>
          </w:tcPr>
          <w:p w14:paraId="031E5DB2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0.023</w:t>
            </w:r>
          </w:p>
        </w:tc>
        <w:tc>
          <w:tcPr>
            <w:tcW w:w="458" w:type="pct"/>
            <w:tcBorders>
              <w:top w:val="nil"/>
              <w:bottom w:val="nil"/>
            </w:tcBorders>
            <w:noWrap w:val="0"/>
            <w:vAlign w:val="top"/>
          </w:tcPr>
          <w:p w14:paraId="6C609573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637" w:type="pct"/>
            <w:tcBorders>
              <w:top w:val="nil"/>
              <w:bottom w:val="nil"/>
            </w:tcBorders>
            <w:noWrap w:val="0"/>
            <w:vAlign w:val="top"/>
          </w:tcPr>
          <w:p w14:paraId="4AF013D8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469" w:type="pct"/>
            <w:tcBorders>
              <w:top w:val="nil"/>
              <w:bottom w:val="nil"/>
            </w:tcBorders>
            <w:noWrap w:val="0"/>
            <w:vAlign w:val="top"/>
          </w:tcPr>
          <w:p w14:paraId="687BF2C9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2DE85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top w:val="nil"/>
              <w:bottom w:val="nil"/>
            </w:tcBorders>
            <w:noWrap w:val="0"/>
            <w:vAlign w:val="top"/>
          </w:tcPr>
          <w:p w14:paraId="63D49FA6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Bone marrow involvement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Yes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vs. No</w:t>
            </w:r>
          </w:p>
        </w:tc>
        <w:tc>
          <w:tcPr>
            <w:tcW w:w="436" w:type="pct"/>
            <w:tcBorders>
              <w:top w:val="nil"/>
              <w:bottom w:val="nil"/>
            </w:tcBorders>
            <w:noWrap w:val="0"/>
            <w:vAlign w:val="top"/>
          </w:tcPr>
          <w:p w14:paraId="501FE8AF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2.116</w:t>
            </w:r>
          </w:p>
        </w:tc>
        <w:tc>
          <w:tcPr>
            <w:tcW w:w="688" w:type="pct"/>
            <w:tcBorders>
              <w:top w:val="nil"/>
              <w:bottom w:val="nil"/>
            </w:tcBorders>
            <w:noWrap w:val="0"/>
            <w:vAlign w:val="top"/>
          </w:tcPr>
          <w:p w14:paraId="27E415FE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1.526-2.933</w:t>
            </w:r>
          </w:p>
        </w:tc>
        <w:tc>
          <w:tcPr>
            <w:tcW w:w="537" w:type="pct"/>
            <w:tcBorders>
              <w:top w:val="nil"/>
              <w:bottom w:val="nil"/>
            </w:tcBorders>
            <w:noWrap w:val="0"/>
            <w:vAlign w:val="top"/>
          </w:tcPr>
          <w:p w14:paraId="52E8443E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  <w:tc>
          <w:tcPr>
            <w:tcW w:w="458" w:type="pct"/>
            <w:tcBorders>
              <w:top w:val="nil"/>
              <w:bottom w:val="nil"/>
            </w:tcBorders>
            <w:noWrap w:val="0"/>
            <w:vAlign w:val="top"/>
          </w:tcPr>
          <w:p w14:paraId="349E5107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637" w:type="pct"/>
            <w:tcBorders>
              <w:top w:val="nil"/>
              <w:bottom w:val="nil"/>
            </w:tcBorders>
            <w:noWrap w:val="0"/>
            <w:vAlign w:val="top"/>
          </w:tcPr>
          <w:p w14:paraId="36BB10AA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469" w:type="pct"/>
            <w:tcBorders>
              <w:top w:val="nil"/>
              <w:bottom w:val="nil"/>
            </w:tcBorders>
            <w:noWrap w:val="0"/>
            <w:vAlign w:val="top"/>
          </w:tcPr>
          <w:p w14:paraId="04637193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12454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top w:val="nil"/>
              <w:bottom w:val="nil"/>
            </w:tcBorders>
            <w:noWrap w:val="0"/>
            <w:vAlign w:val="top"/>
          </w:tcPr>
          <w:p w14:paraId="27135FC0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Bone involvement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Yes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vs. No</w:t>
            </w:r>
          </w:p>
        </w:tc>
        <w:tc>
          <w:tcPr>
            <w:tcW w:w="436" w:type="pct"/>
            <w:tcBorders>
              <w:top w:val="nil"/>
              <w:bottom w:val="nil"/>
            </w:tcBorders>
            <w:noWrap w:val="0"/>
            <w:vAlign w:val="top"/>
          </w:tcPr>
          <w:p w14:paraId="087F60EA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1.578</w:t>
            </w:r>
          </w:p>
        </w:tc>
        <w:tc>
          <w:tcPr>
            <w:tcW w:w="688" w:type="pct"/>
            <w:tcBorders>
              <w:top w:val="nil"/>
              <w:bottom w:val="nil"/>
            </w:tcBorders>
            <w:noWrap w:val="0"/>
            <w:vAlign w:val="top"/>
          </w:tcPr>
          <w:p w14:paraId="39C5F960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1.159-2.148</w:t>
            </w:r>
          </w:p>
        </w:tc>
        <w:tc>
          <w:tcPr>
            <w:tcW w:w="537" w:type="pct"/>
            <w:tcBorders>
              <w:top w:val="nil"/>
              <w:bottom w:val="nil"/>
            </w:tcBorders>
            <w:noWrap w:val="0"/>
            <w:vAlign w:val="top"/>
          </w:tcPr>
          <w:p w14:paraId="0E542208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0.004</w:t>
            </w:r>
          </w:p>
        </w:tc>
        <w:tc>
          <w:tcPr>
            <w:tcW w:w="458" w:type="pct"/>
            <w:tcBorders>
              <w:top w:val="nil"/>
              <w:bottom w:val="nil"/>
            </w:tcBorders>
            <w:noWrap w:val="0"/>
            <w:vAlign w:val="top"/>
          </w:tcPr>
          <w:p w14:paraId="643AA346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637" w:type="pct"/>
            <w:tcBorders>
              <w:top w:val="nil"/>
              <w:bottom w:val="nil"/>
            </w:tcBorders>
            <w:noWrap w:val="0"/>
            <w:vAlign w:val="top"/>
          </w:tcPr>
          <w:p w14:paraId="4203874A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469" w:type="pct"/>
            <w:tcBorders>
              <w:top w:val="nil"/>
              <w:bottom w:val="nil"/>
            </w:tcBorders>
            <w:noWrap w:val="0"/>
            <w:vAlign w:val="top"/>
          </w:tcPr>
          <w:p w14:paraId="6094A7A7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06B83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pct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5A44BA90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Therapy, Others vs. CHOP-based</w:t>
            </w:r>
          </w:p>
        </w:tc>
        <w:tc>
          <w:tcPr>
            <w:tcW w:w="436" w:type="pct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6287FFDD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2.178</w:t>
            </w:r>
          </w:p>
        </w:tc>
        <w:tc>
          <w:tcPr>
            <w:tcW w:w="688" w:type="pct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483516F4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1.468-3.233</w:t>
            </w:r>
          </w:p>
        </w:tc>
        <w:tc>
          <w:tcPr>
            <w:tcW w:w="537" w:type="pct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759DFF8E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  <w:tc>
          <w:tcPr>
            <w:tcW w:w="458" w:type="pct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1489EBBC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1.773</w:t>
            </w:r>
          </w:p>
        </w:tc>
        <w:tc>
          <w:tcPr>
            <w:tcW w:w="637" w:type="pct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37E11EA5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1.132-2.776</w:t>
            </w:r>
          </w:p>
        </w:tc>
        <w:tc>
          <w:tcPr>
            <w:tcW w:w="469" w:type="pct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6390E61E">
            <w:pP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0.012</w:t>
            </w:r>
          </w:p>
        </w:tc>
      </w:tr>
      <w:tr w14:paraId="3B120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tcBorders>
              <w:top w:val="single" w:color="auto" w:sz="4" w:space="0"/>
            </w:tcBorders>
            <w:noWrap w:val="0"/>
            <w:vAlign w:val="top"/>
          </w:tcPr>
          <w:p w14:paraId="7ECF1D10">
            <w:pP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Notes: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>EASIX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,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 xml:space="preserve"> Endothelial activation and stress index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>IPI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,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 xml:space="preserve"> International Prognostic Index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>LI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,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 xml:space="preserve"> Low-intermediate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;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 xml:space="preserve"> HI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,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 xml:space="preserve"> High-intermediat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OO, Cell of Origin;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HLH, Hemophagocytic lymphohistiocytosis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OS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Overall survival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PFS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Progression-free survival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>HR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>Hazard ratio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;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 xml:space="preserve"> CI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,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 xml:space="preserve"> Confidence interval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;</w:t>
            </w: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shd w:val="clear" w:color="auto" w:fill="auto"/>
              </w:rPr>
              <w:t xml:space="preserve">Bolded </w:t>
            </w:r>
            <w:r>
              <w:rPr>
                <w:rFonts w:hint="default" w:ascii="Times New Roman" w:hAnsi="Times New Roman" w:cs="Times New Roman"/>
                <w:i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p-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shd w:val="clear" w:color="auto" w:fill="auto"/>
              </w:rPr>
              <w:t>values &lt; 0.05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 xml:space="preserve">. </w:t>
            </w:r>
          </w:p>
        </w:tc>
      </w:tr>
    </w:tbl>
    <w:p w14:paraId="77661D4C">
      <w:pPr>
        <w:pStyle w:val="2"/>
        <w:keepNext w:val="0"/>
        <w:keepLines w:val="0"/>
        <w:widowControl/>
        <w:suppressLineNumbers w:val="0"/>
        <w:spacing w:before="160" w:beforeAutospacing="0" w:after="0" w:afterAutospacing="0" w:line="280" w:lineRule="atLeast"/>
        <w:ind w:right="440"/>
        <w:rPr>
          <w:rFonts w:hint="default" w:ascii="Times New Roman" w:hAnsi="Times New Roman" w:eastAsia="宋体" w:cs="Times New Roman"/>
          <w:b w:val="0"/>
          <w:bCs w:val="0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Table S2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1"/>
          <w:szCs w:val="21"/>
          <w:highlight w:val="none"/>
          <w:lang w:val="en-US" w:eastAsia="zh-CN" w:bidi="ar-SA"/>
        </w:rPr>
        <w:t>Time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1"/>
          <w:szCs w:val="21"/>
          <w:highlight w:val="none"/>
          <w:lang w:val="en-US" w:eastAsia="zh-CN" w:bidi="ar-SA"/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1"/>
          <w:szCs w:val="21"/>
          <w:highlight w:val="none"/>
          <w:lang w:val="en-US" w:eastAsia="zh-CN" w:bidi="ar-SA"/>
        </w:rPr>
        <w:t>dependent AUCs of EASIX, IPI, and IPI+EASIX models at 1 and 5 years.</w:t>
      </w:r>
    </w:p>
    <w:tbl>
      <w:tblPr>
        <w:tblStyle w:val="3"/>
        <w:tblW w:w="0" w:type="auto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8"/>
        <w:gridCol w:w="1939"/>
        <w:gridCol w:w="1939"/>
        <w:gridCol w:w="1939"/>
        <w:gridCol w:w="1941"/>
      </w:tblGrid>
      <w:tr w14:paraId="100D3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D67EA7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  <w:t>ime-dependent AUC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3535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1-year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(95%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CI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(%) </w:t>
            </w:r>
          </w:p>
        </w:tc>
        <w:tc>
          <w:tcPr>
            <w:tcW w:w="324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1F56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-year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(95%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CI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(%) </w:t>
            </w:r>
          </w:p>
        </w:tc>
      </w:tr>
      <w:tr w14:paraId="52113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4559BF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AFC5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OS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48562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PFS</w:t>
            </w:r>
          </w:p>
        </w:tc>
        <w:tc>
          <w:tcPr>
            <w:tcW w:w="163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B16B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OS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A1D3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PFS</w:t>
            </w:r>
          </w:p>
        </w:tc>
      </w:tr>
      <w:tr w14:paraId="418EB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gridSpan w:val="5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BA2E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verall patient cohort</w:t>
            </w:r>
          </w:p>
        </w:tc>
      </w:tr>
      <w:tr w14:paraId="317B6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28F565D3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EASIX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533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0.741 (0.685-0.796)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A07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0.720 (0.674-0.764)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495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0.763 (0.707-0.816)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FDB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0.700 (0.640-0.765)</w:t>
            </w:r>
          </w:p>
        </w:tc>
      </w:tr>
      <w:tr w14:paraId="776D5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32275A08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IPI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A20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0.752 (0.708-0.800)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E98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0.719 (0.676-0.763)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CC8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0.730 (0.670-0.788)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3BD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0.660 (0.588-0.725)</w:t>
            </w:r>
          </w:p>
        </w:tc>
      </w:tr>
      <w:tr w14:paraId="45C43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35397A87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IPI+EASIX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53F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0.787 (0.740-0.838)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4D0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0.757 (0.713-0.802)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15E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0.791 (0.736-0.846)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850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0.714 (0.655-0.780)</w:t>
            </w:r>
          </w:p>
        </w:tc>
      </w:tr>
      <w:tr w14:paraId="1423B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gridSpan w:val="5"/>
            <w:shd w:val="clear" w:color="auto" w:fill="auto"/>
            <w:noWrap/>
            <w:vAlign w:val="center"/>
          </w:tcPr>
          <w:p w14:paraId="001F0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DLBCL patients</w:t>
            </w:r>
          </w:p>
        </w:tc>
      </w:tr>
      <w:tr w14:paraId="05F22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069" w:type="dxa"/>
            <w:shd w:val="clear" w:color="auto" w:fill="auto"/>
            <w:noWrap/>
            <w:vAlign w:val="center"/>
          </w:tcPr>
          <w:p w14:paraId="72B76985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EASIX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929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0.702 (0.632-0.763)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8E3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0.704 (0.649-0.757)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986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0.750 (0.689-0.809)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391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0.672 (0.602-0.742)</w:t>
            </w:r>
          </w:p>
        </w:tc>
      </w:tr>
      <w:tr w14:paraId="220DB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069" w:type="dxa"/>
            <w:shd w:val="clear" w:color="auto" w:fill="auto"/>
            <w:noWrap/>
            <w:vAlign w:val="center"/>
          </w:tcPr>
          <w:p w14:paraId="2348868F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IPI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1E6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0.739 (0.675-0.795)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E81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0.708 (0.649-0.758)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E81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0.712 (0.648-0.778)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E94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0.633 (0.552-0.706)</w:t>
            </w:r>
          </w:p>
        </w:tc>
      </w:tr>
      <w:tr w14:paraId="463FD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069" w:type="dxa"/>
            <w:shd w:val="clear" w:color="auto" w:fill="auto"/>
            <w:noWrap/>
            <w:vAlign w:val="center"/>
          </w:tcPr>
          <w:p w14:paraId="030523AE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IPI+EASIX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CB9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0.764 (0.698-0.820)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91E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0.741 (0.686-0.793)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D70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0.769 (0.713-0.834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F2D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0.685 (0.617-0.753)</w:t>
            </w:r>
          </w:p>
        </w:tc>
      </w:tr>
      <w:tr w14:paraId="42025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gridSpan w:val="5"/>
            <w:shd w:val="clear" w:color="auto" w:fill="auto"/>
            <w:noWrap/>
            <w:vAlign w:val="center"/>
          </w:tcPr>
          <w:p w14:paraId="6F24F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Other aggressive 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cell lymphomas (non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DLBCL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71A33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069" w:type="dxa"/>
            <w:shd w:val="clear" w:color="auto" w:fill="auto"/>
            <w:noWrap/>
            <w:vAlign w:val="center"/>
          </w:tcPr>
          <w:p w14:paraId="6B6728BD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EASIX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9586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0.805 (0.718-0.881)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79F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0.765 (0.673-0.841)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589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0.715 (0.563-0.847)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F56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0.703 (0.537-0.840)</w:t>
            </w:r>
          </w:p>
        </w:tc>
      </w:tr>
      <w:tr w14:paraId="623CE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069" w:type="dxa"/>
            <w:shd w:val="clear" w:color="auto" w:fill="auto"/>
            <w:noWrap/>
            <w:vAlign w:val="center"/>
          </w:tcPr>
          <w:p w14:paraId="4160EF81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IPI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3F3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0.779 (0.707-0.851)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F00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0.754 (0.676-0.828)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0A7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0.767 (0.640-0.884)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7C1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0.676 (0.462-0.856)</w:t>
            </w:r>
          </w:p>
        </w:tc>
      </w:tr>
      <w:tr w14:paraId="4D01B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069" w:type="dxa"/>
            <w:shd w:val="clear" w:color="auto" w:fill="auto"/>
            <w:noWrap/>
            <w:vAlign w:val="center"/>
          </w:tcPr>
          <w:p w14:paraId="4497D4AE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IPI+EASIX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CE0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0.850 (0.786-0.915)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EDD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0.802 (0.731-0.873)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A0F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0.789 (0.640-0.906)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66A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0.730 (0.552-0.887)</w:t>
            </w:r>
          </w:p>
        </w:tc>
      </w:tr>
      <w:tr w14:paraId="14AA7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gridSpan w:val="5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 w14:paraId="1F685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Notes: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AUC, Area under the curve;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>EASIX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,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 xml:space="preserve"> Endothelial activation and stress index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>IPI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,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 xml:space="preserve"> International Prognostic Index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; OS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Overall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urvival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PFS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Progression-free survival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>CI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,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</w:rPr>
              <w:t xml:space="preserve"> Confidence interval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  <w:t xml:space="preserve"> </w:t>
            </w:r>
          </w:p>
        </w:tc>
      </w:tr>
    </w:tbl>
    <w:p w14:paraId="4466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61267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2D4BB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53D2B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40081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56DB9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71448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1B1F4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1F957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3B82E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7C02B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2B563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5BA28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38A85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52051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44466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2AEBB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60F20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b/>
          <w:bCs/>
          <w:sz w:val="24"/>
          <w:highlight w:val="none"/>
        </w:rPr>
      </w:pPr>
    </w:p>
    <w:p w14:paraId="32DA4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  <w:drawing>
          <wp:inline distT="0" distB="0" distL="114300" distR="114300">
            <wp:extent cx="6170930" cy="4572000"/>
            <wp:effectExtent l="0" t="0" r="1270" b="0"/>
            <wp:docPr id="5" name="图片 5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093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76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/>
          <w:sz w:val="24"/>
          <w:highlight w:val="none"/>
          <w:lang w:val="en-US" w:eastAsia="zh-CN"/>
        </w:rPr>
      </w:pPr>
      <w:r>
        <w:rPr>
          <w:rFonts w:ascii="Times New Roman" w:hAnsi="Times New Roman"/>
          <w:b/>
          <w:bCs/>
          <w:sz w:val="24"/>
          <w:highlight w:val="none"/>
        </w:rPr>
        <w:t xml:space="preserve">Figure </w:t>
      </w:r>
      <w:r>
        <w:rPr>
          <w:rFonts w:hint="eastAsia" w:ascii="Times New Roman" w:hAnsi="Times New Roman"/>
          <w:b/>
          <w:bCs/>
          <w:sz w:val="24"/>
          <w:highlight w:val="none"/>
          <w:lang w:val="en-US" w:eastAsia="zh-CN"/>
        </w:rPr>
        <w:t>S1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 xml:space="preserve"> </w:t>
      </w:r>
      <w:r>
        <w:rPr>
          <w:rFonts w:ascii="Times New Roman" w:hAnsi="Times New Roman"/>
          <w:sz w:val="24"/>
          <w:highlight w:val="none"/>
        </w:rPr>
        <w:t>Flowchart of patient selection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.</w:t>
      </w:r>
    </w:p>
    <w:p w14:paraId="63CBB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3B645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107D5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19E78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16FBB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161C4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5EBB4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309B6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6AB2B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14422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19050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19018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36F2B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3F95E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  <w:drawing>
          <wp:inline distT="0" distB="0" distL="114300" distR="114300">
            <wp:extent cx="6174740" cy="3695700"/>
            <wp:effectExtent l="0" t="0" r="10160" b="0"/>
            <wp:docPr id="4" name="图片 4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474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9A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sz w:val="24"/>
          <w:highlight w:val="none"/>
        </w:rPr>
      </w:pPr>
      <w:r>
        <w:rPr>
          <w:rFonts w:ascii="Times New Roman" w:hAnsi="Times New Roman"/>
          <w:b/>
          <w:bCs/>
          <w:sz w:val="24"/>
          <w:highlight w:val="none"/>
        </w:rPr>
        <w:t>Figure</w:t>
      </w:r>
      <w:r>
        <w:rPr>
          <w:rFonts w:hint="eastAsia" w:ascii="Times New Roman" w:hAnsi="Times New Roman"/>
          <w:b/>
          <w:bCs/>
          <w:sz w:val="24"/>
          <w:highlight w:val="none"/>
          <w:lang w:val="en-US" w:eastAsia="zh-CN"/>
        </w:rPr>
        <w:t xml:space="preserve"> S2 </w:t>
      </w:r>
      <w:r>
        <w:rPr>
          <w:rFonts w:ascii="Times New Roman" w:hAnsi="Times New Roman"/>
          <w:sz w:val="24"/>
          <w:highlight w:val="none"/>
        </w:rPr>
        <w:t>Kaplan-Meier survival curves for overall survival according to the EASIX score (A) in male patients; (B) in female patients; (C) in patients aged ≤ 60 years; (D) in patients aged &gt; 60 years; (E) in patients with A symptom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s</w:t>
      </w:r>
      <w:r>
        <w:rPr>
          <w:rFonts w:ascii="Times New Roman" w:hAnsi="Times New Roman"/>
          <w:sz w:val="24"/>
          <w:highlight w:val="none"/>
        </w:rPr>
        <w:t>; (F) in patients with B symptom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s</w:t>
      </w:r>
      <w:r>
        <w:rPr>
          <w:rFonts w:ascii="Times New Roman" w:hAnsi="Times New Roman"/>
          <w:sz w:val="24"/>
          <w:highlight w:val="none"/>
        </w:rPr>
        <w:t>; (G) in patients with ECOG PS of 0-1; (H) in patients with ECOG PS ≥ 2; (I) in patients with Ann Arbor stage I-II; (J) in patients with Ann Arbor stage III-IV; (K) in patients with extranodal involvement at 0-1 site; (L) in patients with extranodal involvement at ≥ 2 sites.</w:t>
      </w:r>
    </w:p>
    <w:p w14:paraId="0875D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sz w:val="24"/>
          <w:highlight w:val="none"/>
        </w:rPr>
      </w:pPr>
      <w:r>
        <w:rPr>
          <w:rFonts w:ascii="Times New Roman" w:hAnsi="Times New Roman"/>
          <w:sz w:val="24"/>
          <w:highlight w:val="none"/>
        </w:rPr>
        <w:t>EASIX, endothelial activation and stress index; ECOG PS, Eastern Cooperative Oncology Group Performance Status.</w:t>
      </w:r>
    </w:p>
    <w:p w14:paraId="12EB9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214A7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  <w:drawing>
          <wp:inline distT="0" distB="0" distL="114300" distR="114300">
            <wp:extent cx="6181725" cy="3747770"/>
            <wp:effectExtent l="0" t="0" r="3175" b="11430"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374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F6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sz w:val="24"/>
          <w:highlight w:val="none"/>
        </w:rPr>
      </w:pPr>
      <w:r>
        <w:rPr>
          <w:rFonts w:ascii="Times New Roman" w:hAnsi="Times New Roman"/>
          <w:b/>
          <w:bCs/>
          <w:sz w:val="24"/>
          <w:highlight w:val="none"/>
        </w:rPr>
        <w:t xml:space="preserve">Figure </w:t>
      </w:r>
      <w:r>
        <w:rPr>
          <w:rFonts w:hint="eastAsia" w:ascii="Times New Roman" w:hAnsi="Times New Roman"/>
          <w:b/>
          <w:bCs/>
          <w:sz w:val="24"/>
          <w:highlight w:val="none"/>
          <w:lang w:val="en-US" w:eastAsia="zh-CN"/>
        </w:rPr>
        <w:t>S3</w:t>
      </w:r>
      <w:r>
        <w:rPr>
          <w:rFonts w:ascii="Times New Roman" w:hAnsi="Times New Roman"/>
          <w:sz w:val="24"/>
          <w:highlight w:val="none"/>
        </w:rPr>
        <w:t xml:space="preserve"> Kaplan-Meier survival curves for progression-free survival according to the EASIX score (A) in male patients; (B) in female patients; (C) in patients aged ≤ 60 years; (D) in patients aged &gt; 60 years; (E) in patients with A symptom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s</w:t>
      </w:r>
      <w:r>
        <w:rPr>
          <w:rFonts w:ascii="Times New Roman" w:hAnsi="Times New Roman"/>
          <w:sz w:val="24"/>
          <w:highlight w:val="none"/>
        </w:rPr>
        <w:t>; (F) in patients with B symptom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s</w:t>
      </w:r>
      <w:r>
        <w:rPr>
          <w:rFonts w:ascii="Times New Roman" w:hAnsi="Times New Roman"/>
          <w:sz w:val="24"/>
          <w:highlight w:val="none"/>
        </w:rPr>
        <w:t>; (G) in patients with ECOG PS of 0-1; (H) in patients with ECOG PS ≥ 2; (I) in patients with Ann Arbor stage I-II; (J) in patients with Ann Arbor stage III-IV; (K) in patients with extranodal involvement at 0-1 site; (L) in patients with extranodal involvement at ≥ 2 sites.</w:t>
      </w:r>
    </w:p>
    <w:p w14:paraId="4576B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/>
          <w:sz w:val="24"/>
          <w:highlight w:val="none"/>
        </w:rPr>
      </w:pPr>
      <w:r>
        <w:rPr>
          <w:rFonts w:ascii="Times New Roman" w:hAnsi="Times New Roman"/>
          <w:sz w:val="24"/>
          <w:highlight w:val="none"/>
        </w:rPr>
        <w:t>EASIX, endothelial activation and stress index; ECOG PS, Eastern Cooperative Oncology Group Performance Status.</w:t>
      </w:r>
    </w:p>
    <w:p w14:paraId="2BD7F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70A1E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63B13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</w:p>
    <w:p w14:paraId="0B227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  <w:drawing>
          <wp:inline distT="0" distB="0" distL="114300" distR="114300">
            <wp:extent cx="6183630" cy="2681605"/>
            <wp:effectExtent l="0" t="0" r="1270" b="10795"/>
            <wp:docPr id="2" name="图片 2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68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5B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/>
          <w:sz w:val="24"/>
          <w:highlight w:val="none"/>
          <w:lang w:val="en-US" w:eastAsia="zh-CN"/>
        </w:rPr>
      </w:pPr>
    </w:p>
    <w:p w14:paraId="5188F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/>
          <w:sz w:val="24"/>
          <w:highlight w:val="none"/>
          <w:lang w:val="en-US" w:eastAsia="zh-CN"/>
        </w:rPr>
      </w:pPr>
      <w:r>
        <w:rPr>
          <w:rFonts w:ascii="Times New Roman" w:hAnsi="Times New Roman"/>
          <w:b/>
          <w:bCs/>
          <w:sz w:val="24"/>
          <w:highlight w:val="none"/>
        </w:rPr>
        <w:t>Figure</w:t>
      </w:r>
      <w:r>
        <w:rPr>
          <w:rFonts w:hint="eastAsia" w:ascii="Times New Roman" w:hAnsi="Times New Roman"/>
          <w:b/>
          <w:bCs/>
          <w:sz w:val="24"/>
          <w:highlight w:val="none"/>
          <w:lang w:val="en-US" w:eastAsia="zh-CN"/>
        </w:rPr>
        <w:t xml:space="preserve"> S4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 xml:space="preserve"> </w:t>
      </w:r>
      <w:r>
        <w:rPr>
          <w:rFonts w:ascii="Times New Roman" w:hAnsi="Times New Roman"/>
          <w:sz w:val="24"/>
          <w:highlight w:val="none"/>
        </w:rPr>
        <w:t>Kaplan</w:t>
      </w:r>
      <w:r>
        <w:rPr>
          <w:rFonts w:ascii="Times New Roman" w:hAnsi="Times New Roman"/>
          <w:sz w:val="24"/>
          <w:highlight w:val="none"/>
        </w:rPr>
        <w:noBreakHyphen/>
      </w:r>
      <w:r>
        <w:rPr>
          <w:rFonts w:ascii="Times New Roman" w:hAnsi="Times New Roman"/>
          <w:sz w:val="24"/>
          <w:highlight w:val="none"/>
        </w:rPr>
        <w:t>Meier survival curves of DLBCL patients treated with the R</w:t>
      </w:r>
      <w:r>
        <w:rPr>
          <w:rFonts w:ascii="Times New Roman" w:hAnsi="Times New Roman"/>
          <w:sz w:val="24"/>
          <w:highlight w:val="none"/>
        </w:rPr>
        <w:noBreakHyphen/>
      </w:r>
      <w:r>
        <w:rPr>
          <w:rFonts w:ascii="Times New Roman" w:hAnsi="Times New Roman"/>
          <w:sz w:val="24"/>
          <w:highlight w:val="none"/>
        </w:rPr>
        <w:t>CHOP regimen, stratified by quartiles of the EASIX score.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(A)</w:t>
      </w:r>
      <w:r>
        <w:rPr>
          <w:rFonts w:hint="eastAsia" w:ascii="Times New Roman" w:hAnsi="Times New Roman" w:cs="Times New Roman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O</w:t>
      </w:r>
      <w:r>
        <w:rPr>
          <w:rFonts w:hint="default" w:ascii="Times New Roman" w:hAnsi="Times New Roman"/>
          <w:sz w:val="24"/>
          <w:highlight w:val="none"/>
          <w:lang w:val="en-US" w:eastAsia="zh-CN"/>
        </w:rPr>
        <w:t>verall survival</w:t>
      </w:r>
      <w:r>
        <w:rPr>
          <w:rFonts w:ascii="Times New Roman" w:hAnsi="Times New Roman"/>
          <w:sz w:val="24"/>
          <w:highlight w:val="none"/>
        </w:rPr>
        <w:t xml:space="preserve">; (B) 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P</w:t>
      </w:r>
      <w:r>
        <w:rPr>
          <w:rFonts w:hint="default" w:ascii="Times New Roman" w:hAnsi="Times New Roman"/>
          <w:sz w:val="24"/>
          <w:highlight w:val="none"/>
        </w:rPr>
        <w:t>rogression</w:t>
      </w:r>
      <w:r>
        <w:rPr>
          <w:rFonts w:hint="default" w:ascii="Times New Roman" w:hAnsi="Times New Roman"/>
          <w:sz w:val="24"/>
          <w:highlight w:val="none"/>
        </w:rPr>
        <w:noBreakHyphen/>
      </w:r>
      <w:r>
        <w:rPr>
          <w:rFonts w:hint="default" w:ascii="Times New Roman" w:hAnsi="Times New Roman"/>
          <w:sz w:val="24"/>
          <w:highlight w:val="none"/>
        </w:rPr>
        <w:t>free survival</w:t>
      </w:r>
      <w:r>
        <w:rPr>
          <w:rFonts w:ascii="Times New Roman" w:hAnsi="Times New Roman"/>
          <w:sz w:val="24"/>
          <w:highlight w:val="none"/>
        </w:rPr>
        <w:t>.</w:t>
      </w:r>
      <w:r>
        <w:rPr>
          <w:rFonts w:hint="default" w:ascii="Times New Roman" w:hAnsi="Times New Roman"/>
          <w:sz w:val="24"/>
          <w:highlight w:val="none"/>
        </w:rPr>
        <w:br w:type="textWrapping"/>
      </w:r>
      <w:r>
        <w:rPr>
          <w:rFonts w:hint="default" w:ascii="Times New Roman" w:hAnsi="Times New Roman"/>
          <w:sz w:val="24"/>
          <w:highlight w:val="none"/>
        </w:rPr>
        <w:t>EASIX, endothelial activation and stress index.</w:t>
      </w:r>
    </w:p>
    <w:p w14:paraId="1BA5B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highlight w:val="none"/>
          <w:lang w:eastAsia="zh-CN"/>
        </w:rPr>
        <w:drawing>
          <wp:inline distT="0" distB="0" distL="114300" distR="114300">
            <wp:extent cx="6185535" cy="5935345"/>
            <wp:effectExtent l="0" t="0" r="12065" b="8255"/>
            <wp:docPr id="1" name="图片 1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593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18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ascii="Times New Roman" w:hAnsi="Times New Roman"/>
          <w:b/>
          <w:bCs/>
          <w:sz w:val="24"/>
          <w:highlight w:val="none"/>
        </w:rPr>
        <w:t>Figure</w:t>
      </w:r>
      <w:r>
        <w:rPr>
          <w:rFonts w:hint="eastAsia" w:ascii="Times New Roman" w:hAnsi="Times New Roman"/>
          <w:b/>
          <w:bCs/>
          <w:sz w:val="24"/>
          <w:highlight w:val="none"/>
          <w:lang w:val="en-US" w:eastAsia="zh-CN"/>
        </w:rPr>
        <w:t xml:space="preserve"> S5 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Performance comparison of the EASIX score and the IPI model for predicting OS and PFS in DLBCL p</w:t>
      </w:r>
      <w:bookmarkStart w:id="0" w:name="_GoBack"/>
      <w:bookmarkEnd w:id="0"/>
      <w:r>
        <w:rPr>
          <w:rFonts w:hint="eastAsia" w:ascii="Times New Roman" w:hAnsi="Times New Roman"/>
          <w:sz w:val="24"/>
          <w:highlight w:val="none"/>
          <w:lang w:val="en-US" w:eastAsia="zh-CN"/>
        </w:rPr>
        <w:t>atients treated with the R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noBreakHyphen/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CHOP regimen</w:t>
      </w:r>
      <w:r>
        <w:rPr>
          <w:rFonts w:ascii="Times New Roman" w:hAnsi="Times New Roman"/>
          <w:sz w:val="24"/>
          <w:highlight w:val="none"/>
        </w:rPr>
        <w:t>: time</w:t>
      </w:r>
      <w:r>
        <w:rPr>
          <w:rFonts w:ascii="Times New Roman" w:hAnsi="Times New Roman"/>
          <w:sz w:val="24"/>
          <w:highlight w:val="none"/>
        </w:rPr>
        <w:noBreakHyphen/>
      </w:r>
      <w:r>
        <w:rPr>
          <w:rFonts w:ascii="Times New Roman" w:hAnsi="Times New Roman"/>
          <w:sz w:val="24"/>
          <w:highlight w:val="none"/>
        </w:rPr>
        <w:t>dependent ROC curve analysis.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 xml:space="preserve">(A) </w:t>
      </w:r>
      <w:r>
        <w:rPr>
          <w:rFonts w:hint="eastAsia" w:ascii="Times New Roman" w:hAnsi="Times New Roman" w:cs="Times New Roman"/>
          <w:kern w:val="2"/>
          <w:sz w:val="24"/>
          <w:szCs w:val="24"/>
          <w:highlight w:val="none"/>
          <w:lang w:val="en-US" w:eastAsia="zh-CN" w:bidi="ar-SA"/>
        </w:rPr>
        <w:t>1-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year OS; (B) 1</w:t>
      </w:r>
      <w:r>
        <w:rPr>
          <w:rFonts w:hint="eastAsia" w:ascii="Times New Roman" w:hAnsi="Times New Roman" w:cs="Times New Roman"/>
          <w:kern w:val="2"/>
          <w:sz w:val="24"/>
          <w:szCs w:val="24"/>
          <w:highlight w:val="none"/>
          <w:lang w:val="en-US" w:eastAsia="zh-CN" w:bidi="ar-SA"/>
        </w:rPr>
        <w:t>-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year PFS; (C) 5</w:t>
      </w:r>
      <w:r>
        <w:rPr>
          <w:rFonts w:hint="eastAsia" w:ascii="Times New Roman" w:hAnsi="Times New Roman" w:cs="Times New Roman"/>
          <w:kern w:val="2"/>
          <w:sz w:val="24"/>
          <w:szCs w:val="24"/>
          <w:highlight w:val="none"/>
          <w:lang w:val="en-US" w:eastAsia="zh-CN" w:bidi="ar-SA"/>
        </w:rPr>
        <w:t>-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year OS; (D) 5</w:t>
      </w:r>
      <w:r>
        <w:rPr>
          <w:rFonts w:hint="eastAsia" w:ascii="Times New Roman" w:hAnsi="Times New Roman" w:cs="Times New Roman"/>
          <w:kern w:val="2"/>
          <w:sz w:val="24"/>
          <w:szCs w:val="24"/>
          <w:highlight w:val="none"/>
          <w:lang w:val="en-US" w:eastAsia="zh-CN" w:bidi="ar-SA"/>
        </w:rPr>
        <w:t>-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year PFS.</w:t>
      </w:r>
    </w:p>
    <w:p w14:paraId="47EDC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/>
          <w:sz w:val="24"/>
          <w:highlight w:val="none"/>
        </w:rPr>
      </w:pPr>
      <w:r>
        <w:rPr>
          <w:rFonts w:hint="default" w:ascii="Times New Roman" w:hAnsi="Times New Roman"/>
          <w:sz w:val="24"/>
          <w:highlight w:val="none"/>
        </w:rPr>
        <w:t>EASIX, endothelial activation and stress index; IPI, International Prognostic Index; OS, overall survival; PFS, progression</w:t>
      </w:r>
      <w:r>
        <w:rPr>
          <w:rFonts w:hint="default" w:ascii="Times New Roman" w:hAnsi="Times New Roman"/>
          <w:sz w:val="24"/>
          <w:highlight w:val="none"/>
          <w:lang w:eastAsia="zh-CN"/>
        </w:rPr>
        <w:t>-</w:t>
      </w:r>
      <w:r>
        <w:rPr>
          <w:rFonts w:hint="default" w:ascii="Times New Roman" w:hAnsi="Times New Roman"/>
          <w:sz w:val="24"/>
          <w:highlight w:val="none"/>
        </w:rPr>
        <w:t>free survival; ROC, receiver operating characteristic curve.</w:t>
      </w:r>
    </w:p>
    <w:p w14:paraId="06DB400C">
      <w:pPr>
        <w:rPr>
          <w:highlight w:val="none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01E3C"/>
    <w:rsid w:val="02BE2D2D"/>
    <w:rsid w:val="04097525"/>
    <w:rsid w:val="05D3462E"/>
    <w:rsid w:val="079A2388"/>
    <w:rsid w:val="0F066228"/>
    <w:rsid w:val="112052D1"/>
    <w:rsid w:val="12F176FC"/>
    <w:rsid w:val="13F5472C"/>
    <w:rsid w:val="15DE3F67"/>
    <w:rsid w:val="17E75E45"/>
    <w:rsid w:val="1F5C4703"/>
    <w:rsid w:val="24230B02"/>
    <w:rsid w:val="247B7B5C"/>
    <w:rsid w:val="31504A79"/>
    <w:rsid w:val="32776025"/>
    <w:rsid w:val="36EF762A"/>
    <w:rsid w:val="38A36CA1"/>
    <w:rsid w:val="39D335ED"/>
    <w:rsid w:val="3C2B12D0"/>
    <w:rsid w:val="3F4C6F8D"/>
    <w:rsid w:val="3F5C635C"/>
    <w:rsid w:val="3FDF246F"/>
    <w:rsid w:val="42E71ACD"/>
    <w:rsid w:val="4957740E"/>
    <w:rsid w:val="4A5A1745"/>
    <w:rsid w:val="53AC1132"/>
    <w:rsid w:val="563D5A39"/>
    <w:rsid w:val="59323A1D"/>
    <w:rsid w:val="5A4E77E7"/>
    <w:rsid w:val="5D2C6E16"/>
    <w:rsid w:val="5F717F4E"/>
    <w:rsid w:val="60A95893"/>
    <w:rsid w:val="60D77610"/>
    <w:rsid w:val="65B4745E"/>
    <w:rsid w:val="6698425E"/>
    <w:rsid w:val="6AC1612B"/>
    <w:rsid w:val="6AC410E5"/>
    <w:rsid w:val="77AE2D2B"/>
    <w:rsid w:val="7B6B1AE9"/>
    <w:rsid w:val="7C6A2C90"/>
    <w:rsid w:val="7E19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590</Words>
  <Characters>2821</Characters>
  <Lines>0</Lines>
  <Paragraphs>0</Paragraphs>
  <TotalTime>0</TotalTime>
  <ScaleCrop>false</ScaleCrop>
  <LinksUpToDate>false</LinksUpToDate>
  <CharactersWithSpaces>3237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2025-12-25T02:01:00Z</dcterms:created>
  <dc:creator>Lenovo</dc:creator>
  <cp:lastModifiedBy>Vienna</cp:lastModifiedBy>
  <dcterms:modified xsi:type="dcterms:W3CDTF">2026-08-07T08:16:23Z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eyJoZGlkIjoiNjJiNzA3NGUzZWQzMzQ3YjBiZjdmYTVhNGI0MzBjYmMiLCJ1c2VySWQiOiIyNDI5MjMzNTgifQ==</vt:lpwstr>
  </property>
  <property fmtid="{D5CDD505-2E9C-101B-9397-08002B2CF9AE}" pid="4" name="ICV">
    <vt:lpwstr>839FC9FCA0124D6295630081AA554FCF_13</vt:lpwstr>
  </property>
</Properties>
</file>