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pPr w:leftFromText="180" w:rightFromText="180" w:vertAnchor="page" w:horzAnchor="page" w:tblpX="1870" w:tblpY="2143"/>
        <w:tblOverlap w:val="never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78"/>
        <w:gridCol w:w="2640"/>
        <w:gridCol w:w="229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78" w:type="dxa"/>
            <w:tcBorders>
              <w:top w:val="single" w:color="auto" w:sz="12" w:space="0"/>
              <w:bottom w:val="single" w:color="auto" w:sz="12" w:space="0"/>
            </w:tcBorders>
          </w:tcPr>
          <w:p>
            <w:pPr>
              <w:rPr>
                <w:rFonts w:hint="default" w:ascii="Times New Roman" w:hAnsi="Times New Roman" w:cs="Times New Roman"/>
                <w:b/>
                <w:bCs/>
                <w:vertAlign w:val="baseline"/>
              </w:rPr>
            </w:pPr>
            <w:r>
              <w:rPr>
                <w:rFonts w:hint="default" w:ascii="Times New Roman" w:hAnsi="Times New Roman" w:cs="Times New Roman"/>
                <w:b/>
                <w:bCs/>
                <w:vertAlign w:val="baseline"/>
              </w:rPr>
              <w:t>Variables</w:t>
            </w:r>
          </w:p>
        </w:tc>
        <w:tc>
          <w:tcPr>
            <w:tcW w:w="2640" w:type="dxa"/>
            <w:tcBorders>
              <w:top w:val="single" w:color="auto" w:sz="12" w:space="0"/>
              <w:bottom w:val="single" w:color="auto" w:sz="12" w:space="0"/>
            </w:tcBorders>
          </w:tcPr>
          <w:p>
            <w:pPr>
              <w:rPr>
                <w:rFonts w:hint="default" w:ascii="Times New Roman" w:hAnsi="Times New Roman" w:cs="Times New Roman" w:eastAsiaTheme="minorEastAsia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/>
                <w:bCs/>
                <w:vertAlign w:val="baseline"/>
                <w:lang w:val="en-US" w:eastAsia="zh-CN"/>
              </w:rPr>
              <w:t>Number (n=54)</w:t>
            </w:r>
          </w:p>
        </w:tc>
        <w:tc>
          <w:tcPr>
            <w:tcW w:w="2290" w:type="dxa"/>
            <w:tcBorders>
              <w:top w:val="single" w:color="auto" w:sz="12" w:space="0"/>
              <w:bottom w:val="single" w:color="auto" w:sz="12" w:space="0"/>
            </w:tcBorders>
          </w:tcPr>
          <w:p>
            <w:pPr>
              <w:rPr>
                <w:rFonts w:hint="default" w:ascii="Times New Roman" w:hAnsi="Times New Roman" w:cs="Times New Roman" w:eastAsiaTheme="minorEastAsia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/>
                <w:bCs/>
                <w:i w:val="0"/>
                <w:iCs w:val="0"/>
                <w:vertAlign w:val="baseline"/>
                <w:lang w:val="en-US" w:eastAsia="zh-CN"/>
              </w:rPr>
              <w:t>Percent (%)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78" w:type="dxa"/>
            <w:vAlign w:val="top"/>
          </w:tcPr>
          <w:p>
            <w:pPr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Gene target</w:t>
            </w:r>
          </w:p>
        </w:tc>
        <w:tc>
          <w:tcPr>
            <w:tcW w:w="2640" w:type="dxa"/>
            <w:vAlign w:val="top"/>
          </w:tcPr>
          <w:p>
            <w:pPr>
              <w:rPr>
                <w:rFonts w:hint="default" w:ascii="Times New Roman" w:hAnsi="Times New Roman" w:cs="Times New Roman" w:eastAsiaTheme="minorEastAsia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2290" w:type="dxa"/>
            <w:vAlign w:val="top"/>
          </w:tcPr>
          <w:p>
            <w:pPr>
              <w:rPr>
                <w:rFonts w:hint="default" w:ascii="Times New Roman" w:hAnsi="Times New Roman" w:cs="Times New Roman" w:eastAsiaTheme="minorEastAsia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78" w:type="dxa"/>
            <w:vAlign w:val="top"/>
          </w:tcPr>
          <w:p>
            <w:pPr>
              <w:ind w:firstLine="210" w:firstLineChars="100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bookmarkStart w:id="0" w:name="OLE_LINK1"/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EGFR</w:t>
            </w:r>
            <w:bookmarkEnd w:id="0"/>
          </w:p>
        </w:tc>
        <w:tc>
          <w:tcPr>
            <w:tcW w:w="2640" w:type="dxa"/>
            <w:vAlign w:val="top"/>
          </w:tcPr>
          <w:p>
            <w:pPr>
              <w:rPr>
                <w:rFonts w:hint="default" w:ascii="Times New Roman" w:hAnsi="Times New Roman" w:cs="Times New Roman" w:eastAsiaTheme="minorEastAsia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45</w:t>
            </w:r>
          </w:p>
        </w:tc>
        <w:tc>
          <w:tcPr>
            <w:tcW w:w="2290" w:type="dxa"/>
            <w:vAlign w:val="top"/>
          </w:tcPr>
          <w:p>
            <w:pPr>
              <w:rPr>
                <w:rFonts w:hint="default" w:ascii="Times New Roman" w:hAnsi="Times New Roman" w:cs="Times New Roman" w:eastAsiaTheme="minorEastAsia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83.3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78" w:type="dxa"/>
            <w:vAlign w:val="top"/>
          </w:tcPr>
          <w:p>
            <w:pPr>
              <w:ind w:firstLine="630" w:firstLineChars="300"/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Gefitinib</w:t>
            </w:r>
          </w:p>
        </w:tc>
        <w:tc>
          <w:tcPr>
            <w:tcW w:w="2640" w:type="dxa"/>
            <w:vAlign w:val="top"/>
          </w:tcPr>
          <w:p>
            <w:pP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5</w:t>
            </w:r>
          </w:p>
        </w:tc>
        <w:tc>
          <w:tcPr>
            <w:tcW w:w="2290" w:type="dxa"/>
            <w:vAlign w:val="top"/>
          </w:tcPr>
          <w:p>
            <w:pP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9.3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78" w:type="dxa"/>
            <w:vAlign w:val="top"/>
          </w:tcPr>
          <w:p>
            <w:pPr>
              <w:ind w:firstLine="630" w:firstLineChars="300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Icotinib</w:t>
            </w:r>
          </w:p>
        </w:tc>
        <w:tc>
          <w:tcPr>
            <w:tcW w:w="2640" w:type="dxa"/>
            <w:vAlign w:val="top"/>
          </w:tcPr>
          <w:p>
            <w:pP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10</w:t>
            </w:r>
          </w:p>
        </w:tc>
        <w:tc>
          <w:tcPr>
            <w:tcW w:w="2290" w:type="dxa"/>
            <w:vAlign w:val="top"/>
          </w:tcPr>
          <w:p>
            <w:pP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18.5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78" w:type="dxa"/>
            <w:vAlign w:val="top"/>
          </w:tcPr>
          <w:p>
            <w:pPr>
              <w:ind w:firstLine="630" w:firstLineChars="300"/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Afatinib</w:t>
            </w:r>
          </w:p>
        </w:tc>
        <w:tc>
          <w:tcPr>
            <w:tcW w:w="2640" w:type="dxa"/>
            <w:vAlign w:val="top"/>
          </w:tcPr>
          <w:p>
            <w:pP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3</w:t>
            </w:r>
          </w:p>
        </w:tc>
        <w:tc>
          <w:tcPr>
            <w:tcW w:w="2290" w:type="dxa"/>
            <w:vAlign w:val="top"/>
          </w:tcPr>
          <w:p>
            <w:pP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5.6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78" w:type="dxa"/>
            <w:vAlign w:val="top"/>
          </w:tcPr>
          <w:p>
            <w:pPr>
              <w:ind w:firstLine="630" w:firstLineChars="300"/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Osimertinib</w:t>
            </w:r>
          </w:p>
        </w:tc>
        <w:tc>
          <w:tcPr>
            <w:tcW w:w="2640" w:type="dxa"/>
            <w:vAlign w:val="top"/>
          </w:tcPr>
          <w:p>
            <w:pP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19</w:t>
            </w:r>
          </w:p>
        </w:tc>
        <w:tc>
          <w:tcPr>
            <w:tcW w:w="2290" w:type="dxa"/>
            <w:vAlign w:val="top"/>
          </w:tcPr>
          <w:p>
            <w:pP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35.2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78" w:type="dxa"/>
            <w:vAlign w:val="top"/>
          </w:tcPr>
          <w:p>
            <w:pPr>
              <w:ind w:firstLine="630" w:firstLineChars="300"/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Almonertinib</w:t>
            </w:r>
          </w:p>
        </w:tc>
        <w:tc>
          <w:tcPr>
            <w:tcW w:w="2640" w:type="dxa"/>
            <w:vAlign w:val="top"/>
          </w:tcPr>
          <w:p>
            <w:pP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1</w:t>
            </w:r>
          </w:p>
        </w:tc>
        <w:tc>
          <w:tcPr>
            <w:tcW w:w="2290" w:type="dxa"/>
            <w:vAlign w:val="top"/>
          </w:tcPr>
          <w:p>
            <w:pP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1.9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78" w:type="dxa"/>
            <w:vAlign w:val="top"/>
          </w:tcPr>
          <w:p>
            <w:pPr>
              <w:ind w:firstLine="630" w:firstLineChars="300"/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Furmonertinib</w:t>
            </w:r>
          </w:p>
        </w:tc>
        <w:tc>
          <w:tcPr>
            <w:tcW w:w="2640" w:type="dxa"/>
            <w:vAlign w:val="top"/>
          </w:tcPr>
          <w:p>
            <w:pP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6</w:t>
            </w:r>
          </w:p>
        </w:tc>
        <w:tc>
          <w:tcPr>
            <w:tcW w:w="2290" w:type="dxa"/>
            <w:vAlign w:val="top"/>
          </w:tcPr>
          <w:p>
            <w:pP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11.1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78" w:type="dxa"/>
            <w:vAlign w:val="top"/>
          </w:tcPr>
          <w:p>
            <w:pPr>
              <w:ind w:firstLine="630" w:firstLineChars="300"/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Befotertinib</w:t>
            </w:r>
          </w:p>
        </w:tc>
        <w:tc>
          <w:tcPr>
            <w:tcW w:w="2640" w:type="dxa"/>
            <w:vAlign w:val="top"/>
          </w:tcPr>
          <w:p>
            <w:pP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1</w:t>
            </w:r>
          </w:p>
        </w:tc>
        <w:tc>
          <w:tcPr>
            <w:tcW w:w="2290" w:type="dxa"/>
            <w:vAlign w:val="top"/>
          </w:tcPr>
          <w:p>
            <w:pP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1.9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78" w:type="dxa"/>
            <w:vAlign w:val="top"/>
          </w:tcPr>
          <w:p>
            <w:pPr>
              <w:ind w:firstLine="210" w:firstLineChars="100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ALK</w:t>
            </w:r>
          </w:p>
        </w:tc>
        <w:tc>
          <w:tcPr>
            <w:tcW w:w="2640" w:type="dxa"/>
            <w:vAlign w:val="top"/>
          </w:tcPr>
          <w:p>
            <w:pPr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5</w:t>
            </w:r>
          </w:p>
        </w:tc>
        <w:tc>
          <w:tcPr>
            <w:tcW w:w="2290" w:type="dxa"/>
            <w:vAlign w:val="top"/>
          </w:tcPr>
          <w:p>
            <w:pPr>
              <w:rPr>
                <w:rFonts w:hint="default" w:ascii="Times New Roman" w:hAnsi="Times New Roman" w:cs="Times New Roman" w:eastAsiaTheme="minorEastAsia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9.3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78" w:type="dxa"/>
            <w:vAlign w:val="top"/>
          </w:tcPr>
          <w:p>
            <w:pPr>
              <w:ind w:firstLine="630" w:firstLineChars="300"/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Ceritinib</w:t>
            </w:r>
          </w:p>
        </w:tc>
        <w:tc>
          <w:tcPr>
            <w:tcW w:w="2640" w:type="dxa"/>
            <w:vAlign w:val="top"/>
          </w:tcPr>
          <w:p>
            <w:pP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1</w:t>
            </w:r>
          </w:p>
        </w:tc>
        <w:tc>
          <w:tcPr>
            <w:tcW w:w="2290" w:type="dxa"/>
            <w:vAlign w:val="top"/>
          </w:tcPr>
          <w:p>
            <w:pP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1.9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78" w:type="dxa"/>
            <w:vAlign w:val="top"/>
          </w:tcPr>
          <w:p>
            <w:pPr>
              <w:ind w:firstLine="630" w:firstLineChars="300"/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Ensartinib</w:t>
            </w:r>
          </w:p>
        </w:tc>
        <w:tc>
          <w:tcPr>
            <w:tcW w:w="2640" w:type="dxa"/>
            <w:vAlign w:val="top"/>
          </w:tcPr>
          <w:p>
            <w:pP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2</w:t>
            </w:r>
          </w:p>
        </w:tc>
        <w:tc>
          <w:tcPr>
            <w:tcW w:w="2290" w:type="dxa"/>
            <w:vAlign w:val="top"/>
          </w:tcPr>
          <w:p>
            <w:pP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3.7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78" w:type="dxa"/>
            <w:vAlign w:val="top"/>
          </w:tcPr>
          <w:p>
            <w:pPr>
              <w:ind w:firstLine="630" w:firstLineChars="300"/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Alectinib</w:t>
            </w:r>
          </w:p>
        </w:tc>
        <w:tc>
          <w:tcPr>
            <w:tcW w:w="2640" w:type="dxa"/>
            <w:vAlign w:val="top"/>
          </w:tcPr>
          <w:p>
            <w:pP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1</w:t>
            </w:r>
          </w:p>
        </w:tc>
        <w:tc>
          <w:tcPr>
            <w:tcW w:w="2290" w:type="dxa"/>
            <w:vAlign w:val="top"/>
          </w:tcPr>
          <w:p>
            <w:pP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1.9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78" w:type="dxa"/>
            <w:vAlign w:val="top"/>
          </w:tcPr>
          <w:p>
            <w:pPr>
              <w:ind w:firstLine="630" w:firstLineChars="300"/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Lorlatinib</w:t>
            </w:r>
          </w:p>
        </w:tc>
        <w:tc>
          <w:tcPr>
            <w:tcW w:w="2640" w:type="dxa"/>
            <w:vAlign w:val="top"/>
          </w:tcPr>
          <w:p>
            <w:pP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1</w:t>
            </w:r>
          </w:p>
        </w:tc>
        <w:tc>
          <w:tcPr>
            <w:tcW w:w="2290" w:type="dxa"/>
            <w:vAlign w:val="top"/>
          </w:tcPr>
          <w:p>
            <w:pP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1.9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78" w:type="dxa"/>
            <w:vAlign w:val="top"/>
          </w:tcPr>
          <w:p>
            <w:pPr>
              <w:ind w:firstLine="210" w:firstLineChars="100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ROS1</w:t>
            </w:r>
          </w:p>
        </w:tc>
        <w:tc>
          <w:tcPr>
            <w:tcW w:w="2640" w:type="dxa"/>
            <w:vAlign w:val="top"/>
          </w:tcPr>
          <w:p>
            <w:pPr>
              <w:rPr>
                <w:rFonts w:hint="default" w:ascii="Times New Roman" w:hAnsi="Times New Roman" w:cs="Times New Roman" w:eastAsiaTheme="minorEastAsia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2</w:t>
            </w:r>
          </w:p>
        </w:tc>
        <w:tc>
          <w:tcPr>
            <w:tcW w:w="2290" w:type="dxa"/>
            <w:vAlign w:val="top"/>
          </w:tcPr>
          <w:p>
            <w:pPr>
              <w:rPr>
                <w:rFonts w:hint="default" w:ascii="Times New Roman" w:hAnsi="Times New Roman" w:cs="Times New Roman" w:eastAsiaTheme="minorEastAsia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3.7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78" w:type="dxa"/>
            <w:vAlign w:val="top"/>
          </w:tcPr>
          <w:p>
            <w:pPr>
              <w:ind w:firstLine="630" w:firstLineChars="300"/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Crizotinib</w:t>
            </w:r>
          </w:p>
        </w:tc>
        <w:tc>
          <w:tcPr>
            <w:tcW w:w="2640" w:type="dxa"/>
            <w:vAlign w:val="top"/>
          </w:tcPr>
          <w:p>
            <w:pPr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2</w:t>
            </w:r>
          </w:p>
        </w:tc>
        <w:tc>
          <w:tcPr>
            <w:tcW w:w="2290" w:type="dxa"/>
            <w:vAlign w:val="top"/>
          </w:tcPr>
          <w:p>
            <w:pPr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3.7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78" w:type="dxa"/>
            <w:vAlign w:val="top"/>
          </w:tcPr>
          <w:p>
            <w:pPr>
              <w:ind w:firstLine="210" w:firstLineChars="100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RET</w:t>
            </w:r>
          </w:p>
        </w:tc>
        <w:tc>
          <w:tcPr>
            <w:tcW w:w="2640" w:type="dxa"/>
            <w:vAlign w:val="top"/>
          </w:tcPr>
          <w:p>
            <w:pPr>
              <w:rPr>
                <w:rFonts w:hint="default" w:ascii="Times New Roman" w:hAnsi="Times New Roman" w:cs="Times New Roman" w:eastAsiaTheme="minorEastAsia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  <w:t>2</w:t>
            </w:r>
          </w:p>
        </w:tc>
        <w:tc>
          <w:tcPr>
            <w:tcW w:w="2290" w:type="dxa"/>
            <w:vAlign w:val="top"/>
          </w:tcPr>
          <w:p>
            <w:pPr>
              <w:rPr>
                <w:rFonts w:hint="default" w:ascii="Times New Roman" w:hAnsi="Times New Roman" w:cs="Times New Roman" w:eastAsiaTheme="minorEastAsia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  <w:t>3.7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78" w:type="dxa"/>
            <w:vAlign w:val="top"/>
          </w:tcPr>
          <w:p>
            <w:pPr>
              <w:ind w:firstLine="630" w:firstLineChars="300"/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Pralsetinib</w:t>
            </w:r>
          </w:p>
        </w:tc>
        <w:tc>
          <w:tcPr>
            <w:tcW w:w="2640" w:type="dxa"/>
            <w:vAlign w:val="top"/>
          </w:tcPr>
          <w:p>
            <w:pPr>
              <w:rPr>
                <w:rFonts w:hint="default" w:ascii="Times New Roman" w:hAnsi="Times New Roman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  <w:t>1</w:t>
            </w:r>
          </w:p>
        </w:tc>
        <w:tc>
          <w:tcPr>
            <w:tcW w:w="2290" w:type="dxa"/>
            <w:vAlign w:val="top"/>
          </w:tcPr>
          <w:p>
            <w:pPr>
              <w:rPr>
                <w:rFonts w:hint="default" w:ascii="Times New Roman" w:hAnsi="Times New Roman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  <w:t>1.9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78" w:type="dxa"/>
            <w:vAlign w:val="top"/>
          </w:tcPr>
          <w:p>
            <w:pPr>
              <w:ind w:firstLine="630" w:firstLineChars="300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Selpercatinib</w:t>
            </w:r>
          </w:p>
        </w:tc>
        <w:tc>
          <w:tcPr>
            <w:tcW w:w="2640" w:type="dxa"/>
            <w:vAlign w:val="top"/>
          </w:tcPr>
          <w:p>
            <w:pPr>
              <w:rPr>
                <w:rFonts w:hint="default" w:ascii="Times New Roman" w:hAnsi="Times New Roman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  <w:t>1</w:t>
            </w:r>
          </w:p>
        </w:tc>
        <w:tc>
          <w:tcPr>
            <w:tcW w:w="2290" w:type="dxa"/>
            <w:vAlign w:val="top"/>
          </w:tcPr>
          <w:p>
            <w:pPr>
              <w:rPr>
                <w:rFonts w:hint="default" w:ascii="Times New Roman" w:hAnsi="Times New Roman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  <w:t>1.9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308" w:type="dxa"/>
            <w:gridSpan w:val="3"/>
            <w:tcBorders>
              <w:top w:val="single" w:color="auto" w:sz="12" w:space="0"/>
              <w:bottom w:val="nil"/>
            </w:tcBorders>
            <w:vAlign w:val="top"/>
          </w:tcPr>
          <w:p>
            <w:pP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 xml:space="preserve">EGFR, Epidermal Growth Factor Receptor; </w:t>
            </w:r>
            <w:r>
              <w:rPr>
                <w:rFonts w:hint="eastAsia" w:ascii="Times New Roman" w:hAnsi="Times New Roman" w:cs="Times New Roman"/>
                <w:sz w:val="21"/>
                <w:szCs w:val="24"/>
                <w:vertAlign w:val="baseline"/>
                <w:lang w:val="en-US" w:eastAsia="zh-CN"/>
              </w:rPr>
              <w:t xml:space="preserve">EGFR-19 del, </w:t>
            </w: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 xml:space="preserve">EGFR-exon 19 deletion; </w:t>
            </w:r>
            <w:r>
              <w:rPr>
                <w:rFonts w:hint="eastAsia" w:ascii="Times New Roman" w:hAnsi="Times New Roman" w:cs="Times New Roman"/>
                <w:sz w:val="21"/>
                <w:szCs w:val="24"/>
                <w:vertAlign w:val="baseline"/>
                <w:lang w:val="en-US" w:eastAsia="zh-CN"/>
              </w:rPr>
              <w:t xml:space="preserve">EGFR-21 L858R, EGFR-exon 21 Leu858Arg; </w:t>
            </w: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ALK, Anaplastic Lymphoma Kinase; ROS1, ROS Proto-Oncogene 1, Receptor Tyrosine Kinase; MET; MET Proto-Oncogene, Hepatocyte Growth Factor Receptor.</w:t>
            </w:r>
          </w:p>
        </w:tc>
      </w:tr>
    </w:tbl>
    <w:p>
      <w:pPr>
        <w:spacing w:line="480" w:lineRule="auto"/>
        <w:rPr>
          <w:rFonts w:hint="eastAsia" w:ascii="Times New Roman" w:hAnsi="Times New Roman" w:cs="Times New Roman"/>
          <w:sz w:val="22"/>
          <w:szCs w:val="28"/>
          <w:vertAlign w:val="baseline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z w:val="22"/>
          <w:szCs w:val="28"/>
          <w:vertAlign w:val="baseline"/>
        </w:rPr>
        <w:t>Supplementary Table 1.</w:t>
      </w:r>
      <w:r>
        <w:rPr>
          <w:rFonts w:hint="default" w:ascii="Times New Roman" w:hAnsi="Times New Roman" w:cs="Times New Roman"/>
          <w:sz w:val="22"/>
          <w:szCs w:val="28"/>
          <w:vertAlign w:val="baseline"/>
        </w:rPr>
        <w:t xml:space="preserve"> </w:t>
      </w:r>
      <w:r>
        <w:rPr>
          <w:rFonts w:hint="eastAsia" w:ascii="Times New Roman" w:hAnsi="Times New Roman" w:cs="Times New Roman"/>
          <w:sz w:val="22"/>
          <w:szCs w:val="28"/>
          <w:vertAlign w:val="baseline"/>
          <w:lang w:val="en-US" w:eastAsia="zh-CN"/>
        </w:rPr>
        <w:t>The detailed dose and usage of drugs in neoadjuvant regimens</w:t>
      </w:r>
      <w:bookmarkStart w:id="1" w:name="_GoBack"/>
      <w:bookmarkEnd w:id="1"/>
    </w:p>
    <w:p>
      <w:pPr>
        <w:rPr>
          <w:rFonts w:hint="eastAsia" w:ascii="Times New Roman" w:hAnsi="Times New Roman" w:cs="Times New Roman"/>
          <w:sz w:val="21"/>
          <w:szCs w:val="24"/>
          <w:vertAlign w:val="baseline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IxN2EyYWNkNjFlOTFjZTlkMzg5Njc1OGRlNjA0ZjUifQ=="/>
  </w:docVars>
  <w:rsids>
    <w:rsidRoot w:val="00000000"/>
    <w:rsid w:val="00027C72"/>
    <w:rsid w:val="032277CC"/>
    <w:rsid w:val="053E75ED"/>
    <w:rsid w:val="060914B4"/>
    <w:rsid w:val="06AF0F37"/>
    <w:rsid w:val="07335F29"/>
    <w:rsid w:val="0E5A2BB5"/>
    <w:rsid w:val="10195294"/>
    <w:rsid w:val="1BD30B38"/>
    <w:rsid w:val="21C95B0D"/>
    <w:rsid w:val="2D82577F"/>
    <w:rsid w:val="390A71BB"/>
    <w:rsid w:val="3C1063F2"/>
    <w:rsid w:val="3F4B1C76"/>
    <w:rsid w:val="45260BC5"/>
    <w:rsid w:val="4705166B"/>
    <w:rsid w:val="47C9124A"/>
    <w:rsid w:val="488D5BEB"/>
    <w:rsid w:val="4D66597B"/>
    <w:rsid w:val="52D12824"/>
    <w:rsid w:val="5DB7780A"/>
    <w:rsid w:val="5EDF1509"/>
    <w:rsid w:val="676220E7"/>
    <w:rsid w:val="68187448"/>
    <w:rsid w:val="6DE76232"/>
    <w:rsid w:val="715548AB"/>
    <w:rsid w:val="760836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autoRedefine/>
    <w:semiHidden/>
    <w:qFormat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2025-10-04T08:45:00Z</dcterms:created>
  <dc:creator>hp</dc:creator>
  <cp:lastModifiedBy>张银广</cp:lastModifiedBy>
  <dcterms:modified xsi:type="dcterms:W3CDTF">2026-05-07T08:50:59Z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E266BEC69A8F47049F9A96D5974EF356_12</vt:lpwstr>
  </property>
</Properties>
</file>