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Spec="center" w:tblpY="2743"/>
        <w:tblOverlap w:val="never"/>
        <w:tblW w:w="915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2"/>
        <w:gridCol w:w="2820"/>
        <w:gridCol w:w="2740"/>
        <w:gridCol w:w="101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Merge w:val="restart"/>
            <w:tcBorders>
              <w:top w:val="single" w:color="auto" w:sz="12" w:space="0"/>
            </w:tcBorders>
          </w:tcPr>
          <w:p>
            <w:pPr>
              <w:rPr>
                <w:rFonts w:hint="default" w:ascii="Times New Roman" w:hAnsi="Times New Roman" w:cs="Times New Roman"/>
                <w:b/>
                <w:bCs/>
                <w:vertAlign w:val="baseline"/>
              </w:rPr>
            </w:pPr>
            <w:bookmarkStart w:id="2" w:name="_GoBack"/>
            <w:r>
              <w:rPr>
                <w:rFonts w:hint="default" w:ascii="Times New Roman" w:hAnsi="Times New Roman" w:cs="Times New Roman"/>
                <w:b/>
                <w:bCs/>
                <w:vertAlign w:val="baseline"/>
              </w:rPr>
              <w:t>Classification</w:t>
            </w:r>
          </w:p>
        </w:tc>
        <w:tc>
          <w:tcPr>
            <w:tcW w:w="5560" w:type="dxa"/>
            <w:gridSpan w:val="2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vertAlign w:val="baseline"/>
                <w:lang w:val="en-US" w:eastAsia="zh-CN"/>
              </w:rPr>
              <w:t>Pathological response status</w:t>
            </w:r>
          </w:p>
        </w:tc>
        <w:tc>
          <w:tcPr>
            <w:tcW w:w="1018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b/>
                <w:bCs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72" w:type="dxa"/>
            <w:vMerge w:val="continue"/>
            <w:tcBorders>
              <w:bottom w:val="single" w:color="auto" w:sz="12" w:space="0"/>
            </w:tcBorders>
          </w:tcPr>
          <w:p>
            <w:pPr>
              <w:rPr>
                <w:rFonts w:hint="default" w:ascii="Times New Roman" w:hAnsi="Times New Roman" w:cs="Times New Roman"/>
                <w:b/>
                <w:bCs/>
                <w:vertAlign w:val="baseline"/>
              </w:rPr>
            </w:pPr>
          </w:p>
        </w:tc>
        <w:tc>
          <w:tcPr>
            <w:tcW w:w="2820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vertAlign w:val="baseline"/>
                <w:lang w:val="en-US" w:eastAsia="zh-CN"/>
              </w:rPr>
              <w:t>Non-MPR (n=10)</w:t>
            </w:r>
          </w:p>
        </w:tc>
        <w:tc>
          <w:tcPr>
            <w:tcW w:w="2740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vertAlign w:val="baseline"/>
                <w:lang w:val="en-US" w:eastAsia="zh-CN"/>
              </w:rPr>
              <w:t>MPR (n=2)</w:t>
            </w:r>
          </w:p>
        </w:tc>
        <w:tc>
          <w:tcPr>
            <w:tcW w:w="1018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vertAlign w:val="baseline"/>
                <w:lang w:val="en-US" w:eastAsia="zh-CN"/>
              </w:rPr>
              <w:t>Pvalue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tcBorders>
              <w:top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0" w:name="OLE_LINK1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n(%)</w:t>
            </w:r>
          </w:p>
        </w:tc>
        <w:tc>
          <w:tcPr>
            <w:tcW w:w="2820" w:type="dxa"/>
            <w:tcBorders>
              <w:top w:val="nil"/>
            </w:tcBorders>
            <w:vAlign w:val="top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2740" w:type="dxa"/>
            <w:tcBorders>
              <w:top w:val="nil"/>
            </w:tcBorders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018" w:type="dxa"/>
            <w:tcBorders>
              <w:top w:val="nil"/>
            </w:tcBorders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1.000</w:t>
            </w:r>
          </w:p>
        </w:tc>
      </w:tr>
      <w:bookmarkEnd w:id="0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ind w:firstLine="210" w:firstLineChars="100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＜60 years</w:t>
            </w:r>
          </w:p>
        </w:tc>
        <w:tc>
          <w:tcPr>
            <w:tcW w:w="2820" w:type="dxa"/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 (50.0%)</w:t>
            </w:r>
          </w:p>
        </w:tc>
        <w:tc>
          <w:tcPr>
            <w:tcW w:w="2740" w:type="dxa"/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 (50.0%)</w:t>
            </w:r>
          </w:p>
        </w:tc>
        <w:tc>
          <w:tcPr>
            <w:tcW w:w="1018" w:type="dxa"/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ind w:firstLine="210" w:firstLineChars="100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≥60 years</w:t>
            </w:r>
          </w:p>
        </w:tc>
        <w:tc>
          <w:tcPr>
            <w:tcW w:w="2820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 (50.0%)</w:t>
            </w:r>
          </w:p>
        </w:tc>
        <w:tc>
          <w:tcPr>
            <w:tcW w:w="2740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 (50.0%)</w:t>
            </w:r>
          </w:p>
        </w:tc>
        <w:tc>
          <w:tcPr>
            <w:tcW w:w="1018" w:type="dxa"/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Gender,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n(%)</w:t>
            </w:r>
          </w:p>
        </w:tc>
        <w:tc>
          <w:tcPr>
            <w:tcW w:w="2820" w:type="dxa"/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</w:p>
        </w:tc>
        <w:tc>
          <w:tcPr>
            <w:tcW w:w="2740" w:type="dxa"/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</w:p>
        </w:tc>
        <w:tc>
          <w:tcPr>
            <w:tcW w:w="1018" w:type="dxa"/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ind w:firstLine="210" w:firstLineChars="100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Male</w:t>
            </w:r>
          </w:p>
        </w:tc>
        <w:tc>
          <w:tcPr>
            <w:tcW w:w="2820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 (50.0%)</w:t>
            </w:r>
          </w:p>
        </w:tc>
        <w:tc>
          <w:tcPr>
            <w:tcW w:w="2740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 (50.0%)</w:t>
            </w:r>
          </w:p>
        </w:tc>
        <w:tc>
          <w:tcPr>
            <w:tcW w:w="1018" w:type="dxa"/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572" w:type="dxa"/>
            <w:vAlign w:val="top"/>
          </w:tcPr>
          <w:p>
            <w:pPr>
              <w:ind w:firstLine="210" w:firstLineChars="100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Female</w:t>
            </w:r>
          </w:p>
        </w:tc>
        <w:tc>
          <w:tcPr>
            <w:tcW w:w="2820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 (50.0%)</w:t>
            </w:r>
          </w:p>
        </w:tc>
        <w:tc>
          <w:tcPr>
            <w:tcW w:w="2740" w:type="dxa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 (50.0%)</w:t>
            </w:r>
          </w:p>
        </w:tc>
        <w:tc>
          <w:tcPr>
            <w:tcW w:w="1018" w:type="dxa"/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Smoking history</w:t>
            </w:r>
          </w:p>
        </w:tc>
        <w:tc>
          <w:tcPr>
            <w:tcW w:w="2820" w:type="dxa"/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 (30.0%)</w:t>
            </w:r>
          </w:p>
        </w:tc>
        <w:tc>
          <w:tcPr>
            <w:tcW w:w="2740" w:type="dxa"/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 (50.0%)</w:t>
            </w:r>
          </w:p>
        </w:tc>
        <w:tc>
          <w:tcPr>
            <w:tcW w:w="1018" w:type="dxa"/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Family history</w:t>
            </w:r>
          </w:p>
        </w:tc>
        <w:tc>
          <w:tcPr>
            <w:tcW w:w="2820" w:type="dxa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 (40.0%)</w:t>
            </w:r>
          </w:p>
        </w:tc>
        <w:tc>
          <w:tcPr>
            <w:tcW w:w="2740" w:type="dxa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 (0.0%)</w:t>
            </w:r>
          </w:p>
        </w:tc>
        <w:tc>
          <w:tcPr>
            <w:tcW w:w="1018" w:type="dxa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0.515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Obstructive pneumonia</w:t>
            </w:r>
          </w:p>
        </w:tc>
        <w:tc>
          <w:tcPr>
            <w:tcW w:w="2820" w:type="dxa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bookmarkStart w:id="1" w:name="OLE_LINK2"/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 (10.0%)</w:t>
            </w:r>
            <w:bookmarkEnd w:id="1"/>
          </w:p>
        </w:tc>
        <w:tc>
          <w:tcPr>
            <w:tcW w:w="2740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 (50.0%)</w:t>
            </w:r>
          </w:p>
        </w:tc>
        <w:tc>
          <w:tcPr>
            <w:tcW w:w="1018" w:type="dxa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0.318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cTNM stage</w:t>
            </w:r>
          </w:p>
        </w:tc>
        <w:tc>
          <w:tcPr>
            <w:tcW w:w="2820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2740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018" w:type="dxa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ind w:firstLine="210" w:firstLineChars="100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Stage I</w:t>
            </w:r>
          </w:p>
        </w:tc>
        <w:tc>
          <w:tcPr>
            <w:tcW w:w="282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 (40.0%)</w:t>
            </w:r>
          </w:p>
        </w:tc>
        <w:tc>
          <w:tcPr>
            <w:tcW w:w="274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 (50.0%)</w:t>
            </w:r>
          </w:p>
        </w:tc>
        <w:tc>
          <w:tcPr>
            <w:tcW w:w="1018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ind w:firstLine="210" w:firstLineChars="100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Stage II</w:t>
            </w:r>
          </w:p>
        </w:tc>
        <w:tc>
          <w:tcPr>
            <w:tcW w:w="282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 (50.0%)</w:t>
            </w:r>
          </w:p>
        </w:tc>
        <w:tc>
          <w:tcPr>
            <w:tcW w:w="274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 (50.0%)</w:t>
            </w:r>
          </w:p>
        </w:tc>
        <w:tc>
          <w:tcPr>
            <w:tcW w:w="1018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ind w:firstLine="210" w:firstLineChars="100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Stage III</w:t>
            </w:r>
          </w:p>
        </w:tc>
        <w:tc>
          <w:tcPr>
            <w:tcW w:w="282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 (10.0%)</w:t>
            </w:r>
          </w:p>
        </w:tc>
        <w:tc>
          <w:tcPr>
            <w:tcW w:w="274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 (0.0%)</w:t>
            </w:r>
          </w:p>
        </w:tc>
        <w:tc>
          <w:tcPr>
            <w:tcW w:w="1018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Radiological response at 2 cycle (PR)</w:t>
            </w:r>
          </w:p>
        </w:tc>
        <w:tc>
          <w:tcPr>
            <w:tcW w:w="282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 (40.0%)</w:t>
            </w:r>
          </w:p>
        </w:tc>
        <w:tc>
          <w:tcPr>
            <w:tcW w:w="274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 (50.0%)</w:t>
            </w:r>
          </w:p>
        </w:tc>
        <w:tc>
          <w:tcPr>
            <w:tcW w:w="1018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72" w:type="dxa"/>
            <w:vAlign w:val="top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Radiological response at 4 cycle (PR)</w:t>
            </w:r>
          </w:p>
        </w:tc>
        <w:tc>
          <w:tcPr>
            <w:tcW w:w="282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 (60.0%)</w:t>
            </w:r>
          </w:p>
        </w:tc>
        <w:tc>
          <w:tcPr>
            <w:tcW w:w="2740" w:type="dxa"/>
            <w:vAlign w:val="top"/>
          </w:tcPr>
          <w:p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 (50.0%)</w:t>
            </w:r>
          </w:p>
        </w:tc>
        <w:tc>
          <w:tcPr>
            <w:tcW w:w="1018" w:type="dxa"/>
          </w:tcPr>
          <w:p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50" w:type="dxa"/>
            <w:gridSpan w:val="4"/>
            <w:tcBorders>
              <w:top w:val="single" w:color="auto" w:sz="12" w:space="0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*P-values in bold are statistically significant.</w:t>
            </w:r>
          </w:p>
        </w:tc>
      </w:tr>
      <w:bookmarkEnd w:id="2"/>
    </w:tbl>
    <w:p>
      <w:pPr>
        <w:spacing w:line="480" w:lineRule="auto"/>
        <w:rPr>
          <w:rFonts w:hint="eastAsia" w:ascii="Times New Roman" w:hAnsi="Times New Roman" w:cs="Times New Roman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vertAlign w:val="baseline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sz w:val="22"/>
          <w:szCs w:val="28"/>
          <w:vertAlign w:val="baseline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sz w:val="22"/>
          <w:szCs w:val="28"/>
          <w:vertAlign w:val="baseline"/>
        </w:rPr>
        <w:t>.</w:t>
      </w:r>
      <w:r>
        <w:rPr>
          <w:rFonts w:hint="default" w:ascii="Times New Roman" w:hAnsi="Times New Roman" w:cs="Times New Roman"/>
          <w:sz w:val="22"/>
          <w:szCs w:val="28"/>
          <w:vertAlign w:val="baseline"/>
        </w:rPr>
        <w:t xml:space="preserve"> </w:t>
      </w:r>
      <w:r>
        <w:rPr>
          <w:rFonts w:hint="eastAsia" w:ascii="Times New Roman" w:hAnsi="Times New Roman" w:cs="Times New Roman"/>
          <w:sz w:val="22"/>
          <w:szCs w:val="28"/>
          <w:vertAlign w:val="baseline"/>
          <w:lang w:val="en-US" w:eastAsia="zh-CN"/>
        </w:rPr>
        <w:t>Clinicopathological features and outcomes by MPR status after 5 cycles of neoadjuvant therapy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xN2EyYWNkNjFlOTFjZTlkMzg5Njc1OGRlNjA0ZjUifQ=="/>
  </w:docVars>
  <w:rsids>
    <w:rsidRoot w:val="00000000"/>
    <w:rsid w:val="00237D8B"/>
    <w:rsid w:val="02D67C70"/>
    <w:rsid w:val="039C0727"/>
    <w:rsid w:val="0688220C"/>
    <w:rsid w:val="06FF204D"/>
    <w:rsid w:val="0AFD6196"/>
    <w:rsid w:val="0E8B67DF"/>
    <w:rsid w:val="0EED5AF4"/>
    <w:rsid w:val="124F46F3"/>
    <w:rsid w:val="14840DFD"/>
    <w:rsid w:val="149B5C0A"/>
    <w:rsid w:val="1556570F"/>
    <w:rsid w:val="163D0667"/>
    <w:rsid w:val="166F3144"/>
    <w:rsid w:val="17A4562F"/>
    <w:rsid w:val="1FA54EAE"/>
    <w:rsid w:val="2616178B"/>
    <w:rsid w:val="26373414"/>
    <w:rsid w:val="27404104"/>
    <w:rsid w:val="29234BED"/>
    <w:rsid w:val="29725F9B"/>
    <w:rsid w:val="2A953A48"/>
    <w:rsid w:val="2E765AC1"/>
    <w:rsid w:val="2EF85D17"/>
    <w:rsid w:val="313D392C"/>
    <w:rsid w:val="32476335"/>
    <w:rsid w:val="33355AB9"/>
    <w:rsid w:val="33B07A7B"/>
    <w:rsid w:val="345D3130"/>
    <w:rsid w:val="34B848B3"/>
    <w:rsid w:val="352710D8"/>
    <w:rsid w:val="35E95313"/>
    <w:rsid w:val="362B2522"/>
    <w:rsid w:val="36A51C88"/>
    <w:rsid w:val="37085B90"/>
    <w:rsid w:val="378F4CA9"/>
    <w:rsid w:val="39292CF8"/>
    <w:rsid w:val="3AA80B21"/>
    <w:rsid w:val="3ED8395B"/>
    <w:rsid w:val="420439A6"/>
    <w:rsid w:val="42FB16F1"/>
    <w:rsid w:val="44E35546"/>
    <w:rsid w:val="45032A55"/>
    <w:rsid w:val="46C64790"/>
    <w:rsid w:val="47CC50EF"/>
    <w:rsid w:val="490B326F"/>
    <w:rsid w:val="49703E25"/>
    <w:rsid w:val="4B033F6F"/>
    <w:rsid w:val="4CEC6E56"/>
    <w:rsid w:val="4F6E54B1"/>
    <w:rsid w:val="528F237E"/>
    <w:rsid w:val="54E62604"/>
    <w:rsid w:val="559504C6"/>
    <w:rsid w:val="59764580"/>
    <w:rsid w:val="59EC06B2"/>
    <w:rsid w:val="5D2772CA"/>
    <w:rsid w:val="5D6501B4"/>
    <w:rsid w:val="5DAA0F19"/>
    <w:rsid w:val="60E61E1B"/>
    <w:rsid w:val="61694130"/>
    <w:rsid w:val="65167A70"/>
    <w:rsid w:val="68550D7D"/>
    <w:rsid w:val="69AA5856"/>
    <w:rsid w:val="69EF05BA"/>
    <w:rsid w:val="6B0C5E52"/>
    <w:rsid w:val="6B634443"/>
    <w:rsid w:val="6DC71DF4"/>
    <w:rsid w:val="6FF62B16"/>
    <w:rsid w:val="75382A72"/>
    <w:rsid w:val="757D207F"/>
    <w:rsid w:val="77A94A29"/>
    <w:rsid w:val="79A66679"/>
    <w:rsid w:val="79FB2C0F"/>
    <w:rsid w:val="7B827D58"/>
    <w:rsid w:val="7D1A4521"/>
    <w:rsid w:val="7DF51D9C"/>
    <w:rsid w:val="7E9B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2025-10-04T09:16:00Z</dcterms:created>
  <dc:creator>hp</dc:creator>
  <cp:lastModifiedBy>张银广</cp:lastModifiedBy>
  <dcterms:modified xsi:type="dcterms:W3CDTF">2026-05-07T08:51:25Z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5F0CA70BB76C4FDC838729352303D6F9_12</vt:lpwstr>
  </property>
</Properties>
</file>