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Spec="center" w:tblpY="1398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877"/>
        <w:gridCol w:w="1442"/>
        <w:gridCol w:w="814"/>
        <w:gridCol w:w="877"/>
        <w:gridCol w:w="1469"/>
        <w:gridCol w:w="10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tcBorders>
              <w:top w:val="single" w:color="auto" w:sz="12" w:space="0"/>
              <w:bottom w:val="nil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bookmarkStart w:id="1" w:name="_GoBack"/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Variables</w:t>
            </w:r>
          </w:p>
        </w:tc>
        <w:tc>
          <w:tcPr>
            <w:tcW w:w="3133" w:type="dxa"/>
            <w:gridSpan w:val="3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1755775</wp:posOffset>
                  </wp:positionH>
                  <wp:positionV relativeFrom="paragraph">
                    <wp:posOffset>169545</wp:posOffset>
                  </wp:positionV>
                  <wp:extent cx="240030" cy="76200"/>
                  <wp:effectExtent l="0" t="0" r="381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Univariate regression</w:t>
            </w:r>
          </w:p>
        </w:tc>
        <w:tc>
          <w:tcPr>
            <w:tcW w:w="3353" w:type="dxa"/>
            <w:gridSpan w:val="3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  <w:t>Multivariate regression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tcBorders>
              <w:top w:val="nil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</w:p>
        </w:tc>
        <w:tc>
          <w:tcPr>
            <w:tcW w:w="877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OR</w:t>
            </w:r>
          </w:p>
        </w:tc>
        <w:tc>
          <w:tcPr>
            <w:tcW w:w="1442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95% CI</w:t>
            </w:r>
          </w:p>
        </w:tc>
        <w:tc>
          <w:tcPr>
            <w:tcW w:w="81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877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OR</w:t>
            </w:r>
          </w:p>
        </w:tc>
        <w:tc>
          <w:tcPr>
            <w:tcW w:w="1469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  <w:t>95% CI</w:t>
            </w:r>
          </w:p>
        </w:tc>
        <w:tc>
          <w:tcPr>
            <w:tcW w:w="1007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-value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87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 w:eastAsiaTheme="minorEastAsia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＜60 years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≥60 years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0.513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0.117-2.256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0.377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Gender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42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0.408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0.106-1.573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0.193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Smoking history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1.857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0.430-8.012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0.407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036" w:type="dxa"/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Obstructive pneumonia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7.840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1.765-34.816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vertAlign w:val="baseline"/>
                <w:lang w:val="en-US" w:eastAsia="zh-CN"/>
              </w:rPr>
              <w:t>0.007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10.125</w:t>
            </w: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1.678-61.083</w:t>
            </w: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vertAlign w:val="baseline"/>
                <w:lang w:val="en-US" w:eastAsia="zh-CN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stage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0.635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T1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T2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0.589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0.108-3.202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0.540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T3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1.571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0.293-8.422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0.598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T4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2.750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0.137-55.166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0.508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cN stage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0.462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N0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N1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4.750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0.507-44.483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0.172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N2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2.591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0.598-11.234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0.203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cTNM stage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42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0.558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I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II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0.733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0.101-5.330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0.759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III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2.333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0.476-11.441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0.296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Lobe location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Right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Left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0.278</w:t>
            </w:r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0.064-1.215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0.089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</w:rPr>
              <w:t>Cycles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42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＜3</w:t>
            </w:r>
          </w:p>
        </w:tc>
        <w:tc>
          <w:tcPr>
            <w:tcW w:w="877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14" w:type="dxa"/>
          </w:tcPr>
          <w:p>
            <w:pP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≥3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bookmarkStart w:id="0" w:name="OLE_LINK3"/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Inf</w:t>
            </w:r>
            <w:bookmarkEnd w:id="0"/>
          </w:p>
        </w:tc>
        <w:tc>
          <w:tcPr>
            <w:tcW w:w="1442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-</w:t>
            </w:r>
          </w:p>
        </w:tc>
        <w:tc>
          <w:tcPr>
            <w:tcW w:w="814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0.999</w:t>
            </w:r>
          </w:p>
        </w:tc>
        <w:tc>
          <w:tcPr>
            <w:tcW w:w="87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07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</w:rPr>
              <w:t>Cycles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＜4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≥4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8.750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1.638-46.747</w:t>
            </w:r>
          </w:p>
        </w:tc>
        <w:tc>
          <w:tcPr>
            <w:tcW w:w="814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0.011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11.107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1.617-76.273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0.014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</w:rPr>
              <w:t>Cycles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＜5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2036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≥5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0.209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0.024-1.845</w:t>
            </w:r>
          </w:p>
        </w:tc>
        <w:tc>
          <w:tcPr>
            <w:tcW w:w="814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0.159</w:t>
            </w:r>
          </w:p>
        </w:tc>
        <w:tc>
          <w:tcPr>
            <w:tcW w:w="87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69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7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522" w:type="dxa"/>
            <w:gridSpan w:val="7"/>
            <w:tcBorders>
              <w:top w:val="single" w:color="auto" w:sz="12" w:space="0"/>
              <w:bottom w:val="nil"/>
            </w:tcBorders>
            <w:vAlign w:val="top"/>
          </w:tcPr>
          <w:p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*P-values in bold are statistically significant.</w:t>
            </w:r>
          </w:p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OR, odds ratio; 95% CI, confidence interval; </w:t>
            </w:r>
            <w:r>
              <w:rPr>
                <w:rFonts w:hint="eastAsia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 xml:space="preserve">Inf, extremely large value;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Ref, reference.</w:t>
            </w:r>
          </w:p>
        </w:tc>
      </w:tr>
      <w:bookmarkEnd w:id="1"/>
    </w:tbl>
    <w:p>
      <w:pPr>
        <w:spacing w:line="480" w:lineRule="auto"/>
        <w:rPr>
          <w:rFonts w:hint="default" w:ascii="Times New Roman" w:hAnsi="Times New Roman" w:cs="Times New Roman"/>
          <w:vertAlign w:val="baseline"/>
        </w:rPr>
      </w:pPr>
      <w:r>
        <w:rPr>
          <w:rFonts w:hint="default" w:ascii="Times New Roman" w:hAnsi="Times New Roman" w:cs="Times New Roman"/>
          <w:b/>
          <w:bCs/>
          <w:vertAlign w:val="baseline"/>
        </w:rPr>
        <w:t>Supplementary Table 5</w:t>
      </w:r>
      <w:r>
        <w:rPr>
          <w:rFonts w:hint="default" w:ascii="Times New Roman" w:hAnsi="Times New Roman" w:cs="Times New Roman"/>
          <w:vertAlign w:val="baseline"/>
        </w:rPr>
        <w:t>. Univariate and multivariate logistic regression analyses in EGFR-mutant NSCLC cohort for major pathological response</w:t>
      </w:r>
    </w:p>
    <w:p>
      <w:pPr>
        <w:rPr>
          <w:rFonts w:hint="default" w:ascii="Times New Roman" w:hAnsi="Times New Roman" w:cs="Times New Roman"/>
          <w:vertAlign w:val="baseli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AB94889"/>
    <w:rsid w:val="019C75BF"/>
    <w:rsid w:val="022140FC"/>
    <w:rsid w:val="0AB94889"/>
    <w:rsid w:val="0F015E4B"/>
    <w:rsid w:val="1A105B49"/>
    <w:rsid w:val="4D077B25"/>
    <w:rsid w:val="5695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2026-05-05T01:09:00Z</dcterms:created>
  <dc:creator>张银广</dc:creator>
  <cp:lastModifiedBy>张银广</cp:lastModifiedBy>
  <dcterms:modified xsi:type="dcterms:W3CDTF">2026-05-07T08:52:01Z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D0C70D4A4AAB4C44A51E7DF37C1EC64B_11</vt:lpwstr>
  </property>
</Properties>
</file>