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both"/>
        <w:rPr>
          <w:rFonts w:ascii="Times New Roman" w:hAnsi="Times New Roman" w:eastAsia="微软雅黑" w:cs="Times New Roman"/>
          <w:b/>
          <w:bCs/>
          <w:sz w:val="20"/>
          <w:szCs w:val="20"/>
        </w:rPr>
      </w:pPr>
      <w:bookmarkStart w:id="0" w:name="_GoBack"/>
      <w:bookmarkEnd w:id="0"/>
      <w:r>
        <w:rPr>
          <w:rFonts w:hint="eastAsia" w:ascii="Times New Roman" w:hAnsi="Times New Roman" w:eastAsia="微软雅黑" w:cs="Times New Roman"/>
          <w:b/>
          <w:bCs/>
          <w:sz w:val="20"/>
          <w:szCs w:val="20"/>
        </w:rPr>
        <w:t>Supplementary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fldChar w:fldCharType="begin"/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instrText xml:space="preserve"> SEQ Table \* ARABIC </w:instrTex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fldChar w:fldCharType="separate"/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1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fldChar w:fldCharType="end"/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. The statistical results of univariate analysis of imaging signs and clinical variables in the training set and external validation set, respectively.</w:t>
      </w:r>
    </w:p>
    <w:tbl>
      <w:tblPr>
        <w:tblStyle w:val="2"/>
        <w:tblW w:w="7585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376"/>
        <w:gridCol w:w="2268"/>
        <w:gridCol w:w="78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160" w:type="dxa"/>
            <w:tcBorders>
              <w:bottom w:val="single" w:color="auto" w:sz="8" w:space="0"/>
            </w:tcBorders>
            <w:noWrap/>
            <w:vAlign w:val="center"/>
          </w:tcPr>
          <w:p>
            <w:pPr>
              <w:widowControl/>
              <w:spacing w:after="0" w:line="480" w:lineRule="auto"/>
              <w:rPr>
                <w:rFonts w:hint="eastAsia" w:ascii="New Roman" w:hAnsi="New Roman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Variables </w:t>
            </w:r>
          </w:p>
        </w:tc>
        <w:tc>
          <w:tcPr>
            <w:tcW w:w="2376" w:type="dxa"/>
            <w:tcBorders>
              <w:bottom w:val="single" w:color="auto" w:sz="8" w:space="0"/>
            </w:tcBorders>
            <w:vAlign w:val="center"/>
          </w:tcPr>
          <w:p>
            <w:pPr>
              <w:widowControl/>
              <w:spacing w:after="0" w:line="480" w:lineRule="auto"/>
              <w:rPr>
                <w:rFonts w:hint="eastAsia" w:ascii="New Roman" w:hAnsi="New Roman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Training and test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n=319</w:t>
            </w:r>
            <w:r>
              <w:rPr>
                <w:rFonts w:ascii="New Roman" w:hAnsi="New Roman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2268" w:type="dxa"/>
            <w:tcBorders>
              <w:bottom w:val="single" w:color="auto" w:sz="8" w:space="0"/>
            </w:tcBorders>
            <w:vAlign w:val="center"/>
          </w:tcPr>
          <w:p>
            <w:pPr>
              <w:widowControl/>
              <w:spacing w:after="0" w:line="480" w:lineRule="auto"/>
              <w:rPr>
                <w:rFonts w:hint="eastAsia" w:ascii="New Roman" w:hAnsi="New Roman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External validation 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n=402</w:t>
            </w:r>
          </w:p>
        </w:tc>
        <w:tc>
          <w:tcPr>
            <w:tcW w:w="781" w:type="dxa"/>
            <w:tcBorders>
              <w:bottom w:val="single" w:color="auto" w:sz="8" w:space="0"/>
            </w:tcBorders>
            <w:noWrap/>
            <w:vAlign w:val="center"/>
          </w:tcPr>
          <w:p>
            <w:pPr>
              <w:widowControl/>
              <w:spacing w:after="0" w:line="480" w:lineRule="auto"/>
              <w:jc w:val="center"/>
              <w:rPr>
                <w:rFonts w:hint="eastAsia" w:ascii="New Roman" w:hAnsi="New Roman" w:eastAsia="宋体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 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60" w:type="dxa"/>
            <w:tcBorders>
              <w:top w:val="single" w:color="auto" w:sz="8" w:space="0"/>
              <w:bottom w:val="nil"/>
            </w:tcBorders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Age </w:t>
            </w:r>
            <w:r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  <w:t>(years)</w:t>
            </w:r>
          </w:p>
        </w:tc>
        <w:tc>
          <w:tcPr>
            <w:tcW w:w="2376" w:type="dxa"/>
            <w:tcBorders>
              <w:top w:val="single" w:color="auto" w:sz="8" w:space="0"/>
              <w:bottom w:val="nil"/>
            </w:tcBorders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65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27±14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02</w:t>
            </w:r>
          </w:p>
        </w:tc>
        <w:tc>
          <w:tcPr>
            <w:tcW w:w="2268" w:type="dxa"/>
            <w:tcBorders>
              <w:top w:val="single" w:color="auto" w:sz="8" w:space="0"/>
              <w:bottom w:val="nil"/>
            </w:tcBorders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65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10±13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781" w:type="dxa"/>
            <w:tcBorders>
              <w:top w:val="single" w:color="auto" w:sz="8" w:space="0"/>
              <w:bottom w:val="nil"/>
            </w:tcBorders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.45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tcBorders>
              <w:top w:val="nil"/>
            </w:tcBorders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Sex (male)</w:t>
            </w:r>
          </w:p>
        </w:tc>
        <w:tc>
          <w:tcPr>
            <w:tcW w:w="2376" w:type="dxa"/>
            <w:tcBorders>
              <w:top w:val="nil"/>
            </w:tcBorders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213(66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8%)</w:t>
            </w:r>
          </w:p>
        </w:tc>
        <w:tc>
          <w:tcPr>
            <w:tcW w:w="2268" w:type="dxa"/>
            <w:tcBorders>
              <w:top w:val="nil"/>
            </w:tcBorders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254(63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2%)</w:t>
            </w:r>
          </w:p>
        </w:tc>
        <w:tc>
          <w:tcPr>
            <w:tcW w:w="781" w:type="dxa"/>
            <w:tcBorders>
              <w:top w:val="nil"/>
            </w:tcBorders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.69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Hypertension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228(71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296(73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6%) 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.34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The duration of hypertension &gt; 10 years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124(38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9%) 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71(17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027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Hyperlipidemia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4(1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4(1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.35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Diseases of the respiratory system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13(4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7(1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.52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Atrial fibrillation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8(2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8(2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.81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Coronary heart disease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4(1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9(2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.88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Diabetes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46(14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52(12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.93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Hepatopathy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10(3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8(2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.95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Nephropathy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22(6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12(3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.22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Smoking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70(21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70(17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.70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Drinking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54(16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44(10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.51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History of stroke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64(20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87(21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.64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Blood pressure grading on admission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0.44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Grade 1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96(30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97(24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Grade 2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87(27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123(30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Grade 3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79(24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144(35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Systolic blood pressure (mmHg)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161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50 ± 27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168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55 ± 26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0.43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Diastolic blood pressure (mmHg)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92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11±25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6.99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17.28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.18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Glasgow Coma Scale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31±3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38±3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0.29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The location of the hematoma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.56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Basal ganglia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172(53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151(37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Thalamus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58(18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179(44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Brain stem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5(1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6(1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Lobe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84(26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66(16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Hemorrhage side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.65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Left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163(51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190(47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Right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152(47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201(50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Middle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4(1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11(2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Rupture into the ventricles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99(31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149(37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Triglycerides (mmol/L)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.12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 ±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0.71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.69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±1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.25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.015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Total cholesterol (mmol/L)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29±1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02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47±0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97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.27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Glucose (mmol/L)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6.93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2.29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6.89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±3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.14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.85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Activated partial thromboplastin time (APTT) (seconds)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1.62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6.81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26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7±3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81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005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APTT＞45 seconds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12(3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3(0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.55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Prothrombin time (PT) (seconds)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22±2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69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64±1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PT＞1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seconds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74(23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12(3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.50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History of anticoagulant use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17(5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5(1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.23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History of antiplatelet use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39(12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20(5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.50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Hemostatic therapy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239(75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354(88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0.28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Cranial pressure-lowering therapy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193(60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316(78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0.50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Antihypertensive therapy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224(70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365(90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0.18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Analgesic and sedative therapy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83(26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125(31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.48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Antiemetic and stomach treatment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192(60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307(76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.26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Blend sign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28(8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27(6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7%)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0.33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Swirl sign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143(44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139(34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0.74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Black hole sign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42(13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28(7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0.59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Satellite sign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107(33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137(34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.89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Fluid level sign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4(1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2(0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Irregular shape sign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224(70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302(75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.33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Island sign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61(19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30(7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5%)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0.36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Hematoma volume (mm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48±18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83±13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93</w:t>
            </w:r>
          </w:p>
        </w:tc>
        <w:tc>
          <w:tcPr>
            <w:tcW w:w="781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.47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160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Regular hematoma shape</w:t>
            </w:r>
          </w:p>
        </w:tc>
        <w:tc>
          <w:tcPr>
            <w:tcW w:w="2376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164(51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4%)</w:t>
            </w:r>
          </w:p>
        </w:tc>
        <w:tc>
          <w:tcPr>
            <w:tcW w:w="2268" w:type="dxa"/>
            <w:noWrap/>
            <w:vAlign w:val="center"/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211(52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5%)</w:t>
            </w:r>
          </w:p>
        </w:tc>
        <w:tc>
          <w:tcPr>
            <w:tcW w:w="781" w:type="dxa"/>
            <w:noWrap/>
            <w:vAlign w:val="center"/>
          </w:tcPr>
          <w:p>
            <w:pPr>
              <w:keepNext/>
              <w:widowControl/>
              <w:spacing w:after="0" w:line="480" w:lineRule="auto"/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6"/>
                <w:szCs w:val="16"/>
              </w:rPr>
              <w:t>.42</w:t>
            </w:r>
          </w:p>
        </w:tc>
      </w:tr>
    </w:tbl>
    <w:p>
      <w:pPr>
        <w:spacing w:line="480" w:lineRule="auto"/>
        <w:jc w:val="both"/>
        <w:rPr>
          <w:rFonts w:ascii="Times New Roman" w:hAnsi="Times New Roman" w:eastAsia="微软雅黑" w:cs="Times New Roman"/>
          <w:b/>
          <w:bCs/>
          <w:sz w:val="20"/>
          <w:szCs w:val="20"/>
        </w:rPr>
      </w:pP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Data are presented as n (%), mean ± standard deviation.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</w:rPr>
        <w:t xml:space="preserve"> All early therapeutic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interventions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</w:rPr>
        <w:t xml:space="preserve"> were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implemented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</w:rPr>
        <w:t xml:space="preserve"> after the baseline CT and before the follow-up CT,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representing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</w:rPr>
        <w:t xml:space="preserve"> initial management rather than baseline illness severity.</w:t>
      </w:r>
    </w:p>
    <w:p/>
    <w:p/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ascii="Times New Roman" w:hAnsi="Times New Roman" w:eastAsia="微软雅黑" w:cs="Times New Roman"/>
          <w:b/>
          <w:bCs/>
          <w:sz w:val="20"/>
          <w:szCs w:val="20"/>
        </w:rPr>
      </w:pPr>
      <w:r>
        <w:rPr>
          <w:rFonts w:hint="eastAsia" w:ascii="Times New Roman" w:hAnsi="Times New Roman" w:eastAsia="微软雅黑" w:cs="Times New Roman"/>
          <w:b/>
          <w:bCs/>
          <w:sz w:val="20"/>
          <w:szCs w:val="20"/>
        </w:rPr>
        <w:t>Supplementary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  <w:lang w:val="en-US" w:eastAsia="zh-CN"/>
        </w:rPr>
        <w:t>2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. Performance of four candidate machine learning models on the external validation cohort.</w:t>
      </w:r>
    </w:p>
    <w:tbl>
      <w:tblPr>
        <w:tblStyle w:val="3"/>
        <w:tblW w:w="8296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659"/>
        <w:gridCol w:w="1659"/>
        <w:gridCol w:w="1659"/>
        <w:gridCol w:w="1660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Metrics</w:t>
            </w:r>
          </w:p>
        </w:tc>
        <w:tc>
          <w:tcPr>
            <w:tcW w:w="1659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SVM</w:t>
            </w:r>
          </w:p>
        </w:tc>
        <w:tc>
          <w:tcPr>
            <w:tcW w:w="1659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KNN</w:t>
            </w:r>
          </w:p>
        </w:tc>
        <w:tc>
          <w:tcPr>
            <w:tcW w:w="1659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XGBoost</w:t>
            </w:r>
          </w:p>
        </w:tc>
        <w:tc>
          <w:tcPr>
            <w:tcW w:w="1660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RF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Sensitivity</w:t>
            </w:r>
          </w:p>
        </w:tc>
        <w:tc>
          <w:tcPr>
            <w:tcW w:w="1659" w:type="dxa"/>
            <w:tcBorders>
              <w:top w:val="single" w:color="auto" w:sz="8" w:space="0"/>
              <w:bottom w:val="nil"/>
            </w:tcBorders>
          </w:tcPr>
          <w:p>
            <w:pPr>
              <w:widowControl/>
              <w:spacing w:after="0" w:line="480" w:lineRule="auto"/>
              <w:rPr>
                <w:rFonts w:ascii="Times New Roman" w:hAnsi="Times New Roman" w:eastAsia="宋体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>60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(95% CI: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40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,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78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659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44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(95% CI: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.24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,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.65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659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52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(95% CI: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.31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,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.73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660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28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(95% CI: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.11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,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.46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tcBorders>
              <w:top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Specificity</w:t>
            </w:r>
          </w:p>
        </w:tc>
        <w:tc>
          <w:tcPr>
            <w:tcW w:w="1659" w:type="dxa"/>
            <w:tcBorders>
              <w:top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2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(95% CI: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8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,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6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659" w:type="dxa"/>
            <w:tcBorders>
              <w:top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(95% CI: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9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,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7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659" w:type="dxa"/>
            <w:tcBorders>
              <w:top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(95% CI: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.83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,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.90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660" w:type="dxa"/>
            <w:tcBorders>
              <w:top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(95% CI: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.20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,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7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tcBorders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Accuracy</w:t>
            </w:r>
          </w:p>
        </w:tc>
        <w:tc>
          <w:tcPr>
            <w:tcW w:w="1659" w:type="dxa"/>
            <w:tcBorders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82</w:t>
            </w:r>
          </w:p>
        </w:tc>
        <w:tc>
          <w:tcPr>
            <w:tcW w:w="1659" w:type="dxa"/>
            <w:tcBorders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81</w:t>
            </w:r>
          </w:p>
        </w:tc>
        <w:tc>
          <w:tcPr>
            <w:tcW w:w="1659" w:type="dxa"/>
            <w:tcBorders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85</w:t>
            </w:r>
          </w:p>
        </w:tc>
        <w:tc>
          <w:tcPr>
            <w:tcW w:w="1660" w:type="dxa"/>
            <w:tcBorders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AUC</w:t>
            </w:r>
          </w:p>
        </w:tc>
        <w:tc>
          <w:tcPr>
            <w:tcW w:w="1659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1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 (95% CI: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2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 xml:space="preserve">, 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8</w:t>
            </w: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659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73 (95% CI: 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63, 0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84)</w:t>
            </w:r>
          </w:p>
        </w:tc>
        <w:tc>
          <w:tcPr>
            <w:tcW w:w="1659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80 (95% CI: 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72, 0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87)</w:t>
            </w:r>
          </w:p>
        </w:tc>
        <w:tc>
          <w:tcPr>
            <w:tcW w:w="1660" w:type="dxa"/>
            <w:tcBorders>
              <w:top w:val="nil"/>
              <w:bottom w:val="single" w:color="auto" w:sz="12" w:space="0"/>
            </w:tcBorders>
          </w:tcPr>
          <w:p>
            <w:pPr>
              <w:keepNext/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75 (95% CI: 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65, 0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82)</w:t>
            </w:r>
          </w:p>
        </w:tc>
      </w:tr>
    </w:tbl>
    <w:p>
      <w:pPr>
        <w:spacing w:line="480" w:lineRule="auto"/>
        <w:jc w:val="both"/>
        <w:rPr>
          <w:rFonts w:ascii="Times New Roman" w:hAnsi="Times New Roman" w:eastAsia="微软雅黑" w:cs="Times New Roman"/>
          <w:szCs w:val="22"/>
        </w:rPr>
      </w:pPr>
      <w:r>
        <w:rPr>
          <w:rFonts w:ascii="Times New Roman" w:hAnsi="Times New Roman" w:eastAsia="微软雅黑" w:cs="Times New Roman"/>
          <w:b/>
          <w:bCs/>
          <w:sz w:val="20"/>
          <w:szCs w:val="20"/>
        </w:rPr>
        <w:t xml:space="preserve">Abbreviation: SVM, Support Vector Machine; KNN, K-Nearest Neighbor; XGBoost, Extreme Gradient Boosting; RF, Random Forest; </w:t>
      </w:r>
      <w:r>
        <w:rPr>
          <w:rFonts w:ascii="Times New Roman" w:hAnsi="Times New Roman" w:eastAsia="华文仿宋" w:cs="Times New Roman"/>
          <w:b/>
          <w:bCs/>
          <w:sz w:val="20"/>
          <w:szCs w:val="20"/>
        </w:rPr>
        <w:t>AUC,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eastAsia="华文仿宋" w:cs="Times New Roman"/>
          <w:b/>
          <w:bCs/>
          <w:sz w:val="20"/>
          <w:szCs w:val="20"/>
        </w:rPr>
        <w:t xml:space="preserve">Area Under Receiver Operating Characteristic Curve;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95% CI,</w:t>
      </w:r>
      <w:r>
        <w:rPr>
          <w:rFonts w:ascii="Times New Roman" w:hAnsi="Times New Roman" w:cs="Times New Roman"/>
          <w:b/>
          <w:bCs/>
          <w:color w:val="1B1B1B"/>
          <w:sz w:val="20"/>
          <w:szCs w:val="20"/>
          <w:shd w:val="clear" w:color="auto" w:fill="F5FFF0"/>
        </w:rPr>
        <w:t xml:space="preserve">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95% confidence interval.</w:t>
      </w:r>
    </w:p>
    <w:p/>
    <w:p/>
    <w:p/>
    <w:p/>
    <w:p/>
    <w:p/>
    <w:p/>
    <w:p>
      <w:pPr>
        <w:spacing w:line="480" w:lineRule="auto"/>
        <w:jc w:val="both"/>
        <w:rPr>
          <w:rFonts w:ascii="Times New Roman" w:hAnsi="Times New Roman" w:eastAsia="微软雅黑" w:cs="Times New Roman"/>
          <w:b/>
          <w:bCs/>
          <w:sz w:val="20"/>
          <w:szCs w:val="20"/>
        </w:rPr>
      </w:pPr>
      <w:r>
        <w:rPr>
          <w:rFonts w:hint="eastAsia" w:ascii="Times New Roman" w:hAnsi="Times New Roman" w:eastAsia="微软雅黑" w:cs="Times New Roman"/>
          <w:b/>
          <w:bCs/>
          <w:sz w:val="20"/>
          <w:szCs w:val="20"/>
        </w:rPr>
        <w:t>Supplementary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  <w:lang w:val="en-US" w:eastAsia="zh-CN"/>
        </w:rPr>
        <w:t>3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. Ablation analysis of modality contributions on the external validation cohort.</w:t>
      </w:r>
    </w:p>
    <w:tbl>
      <w:tblPr>
        <w:tblStyle w:val="2"/>
        <w:tblW w:w="852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587"/>
        <w:gridCol w:w="1485"/>
        <w:gridCol w:w="1585"/>
        <w:gridCol w:w="1584"/>
        <w:gridCol w:w="865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Model</w:t>
            </w:r>
          </w:p>
        </w:tc>
        <w:tc>
          <w:tcPr>
            <w:tcW w:w="1587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Modalities Included</w:t>
            </w:r>
          </w:p>
        </w:tc>
        <w:tc>
          <w:tcPr>
            <w:tcW w:w="1485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AUC (95% CI)</w:t>
            </w:r>
          </w:p>
        </w:tc>
        <w:tc>
          <w:tcPr>
            <w:tcW w:w="1585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Sensitivity (95% CI)</w:t>
            </w:r>
          </w:p>
        </w:tc>
        <w:tc>
          <w:tcPr>
            <w:tcW w:w="1584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Specificity (95% CI)</w:t>
            </w:r>
          </w:p>
        </w:tc>
        <w:tc>
          <w:tcPr>
            <w:tcW w:w="865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Accuracy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Model_ImgOnly</w:t>
            </w:r>
          </w:p>
        </w:tc>
        <w:tc>
          <w:tcPr>
            <w:tcW w:w="1587" w:type="dxa"/>
            <w:tcBorders>
              <w:top w:val="single" w:color="auto" w:sz="8" w:space="0"/>
              <w:bottom w:val="nil"/>
            </w:tcBorders>
          </w:tcPr>
          <w:p>
            <w:pPr>
              <w:widowControl/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CT images only</w:t>
            </w:r>
          </w:p>
        </w:tc>
        <w:tc>
          <w:tcPr>
            <w:tcW w:w="1485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0.62 (95% CI: 0.51, 0.72)</w:t>
            </w:r>
          </w:p>
        </w:tc>
        <w:tc>
          <w:tcPr>
            <w:tcW w:w="1585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0.52 (95% CI: 0.32, 0.71)</w:t>
            </w:r>
          </w:p>
        </w:tc>
        <w:tc>
          <w:tcPr>
            <w:tcW w:w="1584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0.66 (95% CI: 0.61, 0.70)</w:t>
            </w:r>
          </w:p>
        </w:tc>
        <w:tc>
          <w:tcPr>
            <w:tcW w:w="865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0.65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Model_StructOnly</w:t>
            </w:r>
          </w:p>
        </w:tc>
        <w:tc>
          <w:tcPr>
            <w:tcW w:w="1587" w:type="dxa"/>
            <w:tcBorders>
              <w:top w:val="nil"/>
            </w:tcBorders>
          </w:tcPr>
          <w:p>
            <w:pPr>
              <w:spacing w:after="0" w:line="480" w:lineRule="auto"/>
              <w:jc w:val="center"/>
              <w:rPr>
                <w:rFonts w:hint="default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structured data-only</w:t>
            </w:r>
          </w:p>
        </w:tc>
        <w:tc>
          <w:tcPr>
            <w:tcW w:w="1485" w:type="dxa"/>
            <w:tcBorders>
              <w:top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2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 xml:space="preserve"> (95% CI: 0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63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, 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8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1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585" w:type="dxa"/>
            <w:tcBorders>
              <w:top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5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2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 xml:space="preserve"> (95% CI: 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3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3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, 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67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584" w:type="dxa"/>
            <w:tcBorders>
              <w:top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5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 xml:space="preserve"> (95% CI: 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0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, 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79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65" w:type="dxa"/>
            <w:tcBorders>
              <w:top w:val="nil"/>
            </w:tcBorders>
          </w:tcPr>
          <w:p>
            <w:pPr>
              <w:spacing w:after="0" w:line="480" w:lineRule="auto"/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0.7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MDL_full</w:t>
            </w:r>
          </w:p>
        </w:tc>
        <w:tc>
          <w:tcPr>
            <w:tcW w:w="1587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jc w:val="center"/>
              <w:rPr>
                <w:rFonts w:hint="default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both</w:t>
            </w:r>
          </w:p>
        </w:tc>
        <w:tc>
          <w:tcPr>
            <w:tcW w:w="1485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0.85 (95% CI: 0.78, 0.91)</w:t>
            </w:r>
          </w:p>
        </w:tc>
        <w:tc>
          <w:tcPr>
            <w:tcW w:w="1585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0.64 (95% CI: 0.44, 0.82)</w:t>
            </w:r>
          </w:p>
        </w:tc>
        <w:tc>
          <w:tcPr>
            <w:tcW w:w="1584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0.85 (95% CI: 0.81, 0.88)</w:t>
            </w:r>
          </w:p>
        </w:tc>
        <w:tc>
          <w:tcPr>
            <w:tcW w:w="865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0.84</w:t>
            </w:r>
          </w:p>
        </w:tc>
      </w:tr>
    </w:tbl>
    <w:p>
      <w:pPr>
        <w:spacing w:before="0" w:beforeAutospacing="0" w:line="480" w:lineRule="auto"/>
        <w:ind w:firstLine="0"/>
        <w:jc w:val="both"/>
        <w:rPr>
          <w:rFonts w:ascii="Times New Roman" w:hAnsi="Times New Roman" w:eastAsia="微软雅黑" w:cs="Times New Roman"/>
          <w:szCs w:val="22"/>
          <w14:ligatures w14:val="none"/>
        </w:rPr>
      </w:pPr>
      <w:r>
        <w:rPr>
          <w:rFonts w:ascii="Times New Roman" w:hAnsi="Times New Roman" w:eastAsia="华文仿宋" w:cs="Times New Roman"/>
          <w:b/>
          <w:bCs/>
          <w:sz w:val="20"/>
          <w:szCs w:val="20"/>
        </w:rPr>
        <w:t>AUC,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eastAsia="华文仿宋" w:cs="Times New Roman"/>
          <w:b/>
          <w:bCs/>
          <w:sz w:val="20"/>
          <w:szCs w:val="20"/>
        </w:rPr>
        <w:t xml:space="preserve">Area Under Receiver Operating Characteristic Curve;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95% CI,</w:t>
      </w:r>
      <w:r>
        <w:rPr>
          <w:rFonts w:ascii="Times New Roman" w:hAnsi="Times New Roman" w:cs="Times New Roman"/>
          <w:b/>
          <w:bCs/>
          <w:color w:val="1B1B1B"/>
          <w:sz w:val="20"/>
          <w:szCs w:val="20"/>
          <w:shd w:val="clear" w:color="auto" w:fill="F5FFF0"/>
        </w:rPr>
        <w:t xml:space="preserve">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95% confidence interval.</w:t>
      </w:r>
    </w:p>
    <w:p/>
    <w:p/>
    <w:p/>
    <w:p/>
    <w:p/>
    <w:p/>
    <w:p/>
    <w:p/>
    <w:p/>
    <w:p/>
    <w:p/>
    <w:p/>
    <w:p/>
    <w:p>
      <w:pPr>
        <w:spacing w:line="480" w:lineRule="auto"/>
        <w:jc w:val="both"/>
        <w:rPr>
          <w:rFonts w:ascii="Times New Roman" w:hAnsi="Times New Roman" w:eastAsia="微软雅黑" w:cs="Times New Roman"/>
          <w:b/>
          <w:bCs/>
          <w:sz w:val="20"/>
          <w:szCs w:val="20"/>
        </w:rPr>
      </w:pPr>
      <w:r>
        <w:rPr>
          <w:rFonts w:hint="eastAsia" w:ascii="Times New Roman" w:hAnsi="Times New Roman" w:eastAsia="微软雅黑" w:cs="Times New Roman"/>
          <w:b/>
          <w:bCs/>
          <w:sz w:val="20"/>
          <w:szCs w:val="20"/>
        </w:rPr>
        <w:t>Supplementary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  <w:lang w:val="en-US" w:eastAsia="zh-CN"/>
        </w:rPr>
        <w:t>4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 xml:space="preserve">. </w:t>
      </w:r>
      <w:r>
        <w:rPr>
          <w:rFonts w:hint="eastAsia" w:ascii="Times New Roman" w:hAnsi="Times New Roman" w:eastAsia="微软雅黑" w:cs="Times New Roman"/>
          <w:b/>
          <w:bCs/>
          <w:sz w:val="20"/>
          <w:szCs w:val="20"/>
        </w:rPr>
        <w:t>Sensitivity analysis excluding treatment variables on the external validation cohort.</w:t>
      </w:r>
    </w:p>
    <w:tbl>
      <w:tblPr>
        <w:tblStyle w:val="2"/>
        <w:tblW w:w="8273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1861"/>
        <w:gridCol w:w="1861"/>
        <w:gridCol w:w="1861"/>
        <w:gridCol w:w="865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Model</w:t>
            </w:r>
          </w:p>
        </w:tc>
        <w:tc>
          <w:tcPr>
            <w:tcW w:w="1861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AUC (95% CI)</w:t>
            </w:r>
          </w:p>
        </w:tc>
        <w:tc>
          <w:tcPr>
            <w:tcW w:w="1861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Sensitivity (95% CI)</w:t>
            </w:r>
          </w:p>
        </w:tc>
        <w:tc>
          <w:tcPr>
            <w:tcW w:w="1861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Specificity (95% CI)</w:t>
            </w:r>
          </w:p>
        </w:tc>
        <w:tc>
          <w:tcPr>
            <w:tcW w:w="865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Accuracy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MDL_without_treatment</w:t>
            </w:r>
          </w:p>
        </w:tc>
        <w:tc>
          <w:tcPr>
            <w:tcW w:w="1861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82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 xml:space="preserve"> (95% CI: 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73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, 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89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861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68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 xml:space="preserve"> (95% CI: 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48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, 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86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861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84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 xml:space="preserve"> (95% CI: 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20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, 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87</w:t>
            </w:r>
            <w:r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865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rPr>
                <w:rFonts w:hint="default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</w:t>
            </w: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83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5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MDL_full</w:t>
            </w:r>
          </w:p>
        </w:tc>
        <w:tc>
          <w:tcPr>
            <w:tcW w:w="1861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0.85 (95% CI: 0.78, 0.91)</w:t>
            </w:r>
          </w:p>
        </w:tc>
        <w:tc>
          <w:tcPr>
            <w:tcW w:w="1861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0.64 (95% CI: 0.44, 0.82)</w:t>
            </w:r>
          </w:p>
        </w:tc>
        <w:tc>
          <w:tcPr>
            <w:tcW w:w="1861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0.85 (95% CI: 0.81, 0.88)</w:t>
            </w:r>
          </w:p>
        </w:tc>
        <w:tc>
          <w:tcPr>
            <w:tcW w:w="865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0.84</w:t>
            </w:r>
          </w:p>
        </w:tc>
      </w:tr>
    </w:tbl>
    <w:p>
      <w:pPr>
        <w:spacing w:before="0" w:beforeAutospacing="0" w:line="480" w:lineRule="auto"/>
        <w:ind w:firstLine="0"/>
        <w:jc w:val="both"/>
        <w:rPr>
          <w:rFonts w:ascii="Times New Roman" w:hAnsi="Times New Roman" w:eastAsia="微软雅黑" w:cs="Times New Roman"/>
          <w:szCs w:val="22"/>
          <w14:ligatures w14:val="none"/>
        </w:rPr>
      </w:pPr>
      <w:r>
        <w:rPr>
          <w:rFonts w:ascii="Times New Roman" w:hAnsi="Times New Roman" w:eastAsia="华文仿宋" w:cs="Times New Roman"/>
          <w:b/>
          <w:bCs/>
          <w:sz w:val="20"/>
          <w:szCs w:val="20"/>
        </w:rPr>
        <w:t>AUC,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eastAsia="华文仿宋" w:cs="Times New Roman"/>
          <w:b/>
          <w:bCs/>
          <w:sz w:val="20"/>
          <w:szCs w:val="20"/>
        </w:rPr>
        <w:t xml:space="preserve">Area Under Receiver Operating Characteristic Curve;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95% CI,</w:t>
      </w:r>
      <w:r>
        <w:rPr>
          <w:rFonts w:ascii="Times New Roman" w:hAnsi="Times New Roman" w:cs="Times New Roman"/>
          <w:b/>
          <w:bCs/>
          <w:color w:val="1B1B1B"/>
          <w:sz w:val="20"/>
          <w:szCs w:val="20"/>
          <w:shd w:val="clear" w:color="auto" w:fill="F5FFF0"/>
        </w:rPr>
        <w:t xml:space="preserve">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95% confidence interval.</w:t>
      </w: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hint="eastAsia" w:ascii="Times New Roman" w:hAnsi="Times New Roman" w:eastAsia="微软雅黑" w:cs="Times New Roman"/>
          <w:b/>
          <w:bCs/>
          <w:sz w:val="20"/>
          <w:szCs w:val="20"/>
        </w:rPr>
      </w:pPr>
    </w:p>
    <w:p>
      <w:pPr>
        <w:spacing w:line="480" w:lineRule="auto"/>
        <w:jc w:val="both"/>
        <w:rPr>
          <w:rFonts w:ascii="Times New Roman" w:hAnsi="Times New Roman" w:eastAsia="微软雅黑" w:cs="Times New Roman"/>
          <w:b/>
          <w:bCs/>
          <w:sz w:val="20"/>
          <w:szCs w:val="20"/>
        </w:rPr>
      </w:pPr>
      <w:r>
        <w:rPr>
          <w:rFonts w:hint="eastAsia" w:ascii="Times New Roman" w:hAnsi="Times New Roman" w:eastAsia="微软雅黑" w:cs="Times New Roman"/>
          <w:b/>
          <w:bCs/>
          <w:sz w:val="20"/>
          <w:szCs w:val="20"/>
        </w:rPr>
        <w:t>Supplementary Table 5. Performance comparison of zero-padding vs. linear interpolation on the external validation cohort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.</w:t>
      </w:r>
    </w:p>
    <w:tbl>
      <w:tblPr>
        <w:tblStyle w:val="3"/>
        <w:tblW w:w="8522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1486"/>
        <w:gridCol w:w="1601"/>
        <w:gridCol w:w="1601"/>
        <w:gridCol w:w="1538"/>
        <w:gridCol w:w="127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5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Model</w:t>
            </w:r>
          </w:p>
        </w:tc>
        <w:tc>
          <w:tcPr>
            <w:tcW w:w="1486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Preprocessing</w:t>
            </w:r>
          </w:p>
        </w:tc>
        <w:tc>
          <w:tcPr>
            <w:tcW w:w="1601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Sensitivity (95% CI)</w:t>
            </w:r>
          </w:p>
        </w:tc>
        <w:tc>
          <w:tcPr>
            <w:tcW w:w="1601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Specificity (95% CI)</w:t>
            </w:r>
          </w:p>
        </w:tc>
        <w:tc>
          <w:tcPr>
            <w:tcW w:w="1538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jc w:val="center"/>
              <w:rPr>
                <w:rFonts w:hint="eastAsia"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Accuracy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kern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(95% CI)</w:t>
            </w:r>
          </w:p>
        </w:tc>
        <w:tc>
          <w:tcPr>
            <w:tcW w:w="1271" w:type="dxa"/>
            <w:tcBorders>
              <w:bottom w:val="single" w:color="auto" w:sz="8" w:space="0"/>
            </w:tcBorders>
          </w:tcPr>
          <w:p>
            <w:pPr>
              <w:spacing w:after="0" w:line="480" w:lineRule="auto"/>
              <w:jc w:val="center"/>
              <w:rPr>
                <w:rFonts w:hint="eastAsia"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kern w:val="0"/>
                <w:sz w:val="16"/>
                <w:szCs w:val="16"/>
                <w14:ligatures w14:val="none"/>
              </w:rPr>
              <w:t>AUC (95% CI)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5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DL-model</w:t>
            </w:r>
          </w:p>
        </w:tc>
        <w:tc>
          <w:tcPr>
            <w:tcW w:w="1486" w:type="dxa"/>
            <w:tcBorders>
              <w:top w:val="single" w:color="auto" w:sz="8" w:space="0"/>
              <w:bottom w:val="nil"/>
            </w:tcBorders>
          </w:tcPr>
          <w:p>
            <w:pPr>
              <w:widowControl/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Linear interpolation</w:t>
            </w:r>
          </w:p>
        </w:tc>
        <w:tc>
          <w:tcPr>
            <w:tcW w:w="1601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0.52 (0.32, 0.71)</w:t>
            </w:r>
          </w:p>
        </w:tc>
        <w:tc>
          <w:tcPr>
            <w:tcW w:w="1601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0.66 (0.61, 0.70)</w:t>
            </w:r>
          </w:p>
        </w:tc>
        <w:tc>
          <w:tcPr>
            <w:tcW w:w="1538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jc w:val="center"/>
              <w:rPr>
                <w:rFonts w:hint="default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0.65</w:t>
            </w:r>
          </w:p>
        </w:tc>
        <w:tc>
          <w:tcPr>
            <w:tcW w:w="1271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0.62 (0.51, 0.72)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5" w:type="dxa"/>
            <w:tcBorders>
              <w:top w:val="nil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DL-model</w:t>
            </w:r>
          </w:p>
        </w:tc>
        <w:tc>
          <w:tcPr>
            <w:tcW w:w="1486" w:type="dxa"/>
            <w:tcBorders>
              <w:top w:val="nil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Zero-padding</w:t>
            </w:r>
          </w:p>
        </w:tc>
        <w:tc>
          <w:tcPr>
            <w:tcW w:w="1601" w:type="dxa"/>
            <w:tcBorders>
              <w:top w:val="nil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0.48 (0.29, 0.67)</w:t>
            </w:r>
          </w:p>
        </w:tc>
        <w:tc>
          <w:tcPr>
            <w:tcW w:w="1601" w:type="dxa"/>
            <w:tcBorders>
              <w:top w:val="nil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0.64 (0.59, 0.69)</w:t>
            </w:r>
          </w:p>
        </w:tc>
        <w:tc>
          <w:tcPr>
            <w:tcW w:w="1538" w:type="dxa"/>
            <w:tcBorders>
              <w:top w:val="nil"/>
            </w:tcBorders>
          </w:tcPr>
          <w:p>
            <w:pPr>
              <w:spacing w:after="0" w:line="480" w:lineRule="auto"/>
              <w:jc w:val="center"/>
              <w:rPr>
                <w:rFonts w:hint="default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0.63</w:t>
            </w:r>
          </w:p>
        </w:tc>
        <w:tc>
          <w:tcPr>
            <w:tcW w:w="1271" w:type="dxa"/>
            <w:tcBorders>
              <w:top w:val="nil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0.60 (0.50, 0.71)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5" w:type="dxa"/>
            <w:tcBorders>
              <w:bottom w:val="nil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MDL-model</w:t>
            </w:r>
          </w:p>
        </w:tc>
        <w:tc>
          <w:tcPr>
            <w:tcW w:w="1486" w:type="dxa"/>
            <w:tcBorders>
              <w:bottom w:val="nil"/>
            </w:tcBorders>
          </w:tcPr>
          <w:p>
            <w:pPr>
              <w:spacing w:after="0" w:line="480" w:lineRule="auto"/>
              <w:jc w:val="center"/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Linear interpolation</w:t>
            </w:r>
          </w:p>
        </w:tc>
        <w:tc>
          <w:tcPr>
            <w:tcW w:w="1601" w:type="dxa"/>
            <w:tcBorders>
              <w:bottom w:val="nil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0.64 (0.43, 0.84)</w:t>
            </w:r>
          </w:p>
        </w:tc>
        <w:tc>
          <w:tcPr>
            <w:tcW w:w="1601" w:type="dxa"/>
            <w:tcBorders>
              <w:bottom w:val="nil"/>
            </w:tcBorders>
            <w:vAlign w:val="top"/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0.85 (0.80, 0.88)</w:t>
            </w:r>
          </w:p>
        </w:tc>
        <w:tc>
          <w:tcPr>
            <w:tcW w:w="1538" w:type="dxa"/>
            <w:tcBorders>
              <w:bottom w:val="nil"/>
            </w:tcBorders>
          </w:tcPr>
          <w:p>
            <w:pPr>
              <w:spacing w:after="0" w:line="480" w:lineRule="auto"/>
              <w:jc w:val="center"/>
              <w:rPr>
                <w:rFonts w:hint="default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0.84</w:t>
            </w:r>
          </w:p>
        </w:tc>
        <w:tc>
          <w:tcPr>
            <w:tcW w:w="1271" w:type="dxa"/>
            <w:tcBorders>
              <w:bottom w:val="nil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0.85 (0.78, 0.91)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5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华文仿宋" w:cs="Times New Roman"/>
                <w:kern w:val="0"/>
                <w:sz w:val="16"/>
                <w:szCs w:val="16"/>
                <w14:ligatures w14:val="none"/>
              </w:rPr>
              <w:t>MDL-model</w:t>
            </w:r>
          </w:p>
        </w:tc>
        <w:tc>
          <w:tcPr>
            <w:tcW w:w="1486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Zero-padding</w:t>
            </w:r>
          </w:p>
        </w:tc>
        <w:tc>
          <w:tcPr>
            <w:tcW w:w="1601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0.60 (0.40, 0.79)</w:t>
            </w:r>
          </w:p>
        </w:tc>
        <w:tc>
          <w:tcPr>
            <w:tcW w:w="1601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0.84 (0.80, 0.87)</w:t>
            </w:r>
          </w:p>
        </w:tc>
        <w:tc>
          <w:tcPr>
            <w:tcW w:w="1538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jc w:val="center"/>
              <w:rPr>
                <w:rFonts w:hint="default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:lang w:val="en-US" w:eastAsia="zh-CN"/>
                <w14:ligatures w14:val="none"/>
              </w:rPr>
              <w:t>0.82</w:t>
            </w:r>
          </w:p>
        </w:tc>
        <w:tc>
          <w:tcPr>
            <w:tcW w:w="1271" w:type="dxa"/>
            <w:tcBorders>
              <w:top w:val="nil"/>
              <w:bottom w:val="single" w:color="auto" w:sz="12" w:space="0"/>
            </w:tcBorders>
          </w:tcPr>
          <w:p>
            <w:pPr>
              <w:spacing w:after="0" w:line="480" w:lineRule="auto"/>
              <w:jc w:val="center"/>
              <w:rPr>
                <w:rFonts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eastAsia" w:ascii="Times New Roman" w:hAnsi="Times New Roman" w:eastAsia="微软雅黑" w:cs="Times New Roman"/>
                <w:kern w:val="0"/>
                <w:sz w:val="16"/>
                <w:szCs w:val="16"/>
                <w14:ligatures w14:val="none"/>
              </w:rPr>
              <w:t>0.84 (0.76, 0.89)</w:t>
            </w:r>
          </w:p>
        </w:tc>
      </w:tr>
    </w:tbl>
    <w:p>
      <w:pPr>
        <w:spacing w:before="0" w:beforeAutospacing="0" w:line="480" w:lineRule="auto"/>
        <w:ind w:firstLine="0"/>
        <w:jc w:val="both"/>
      </w:pPr>
      <w:r>
        <w:rPr>
          <w:rFonts w:ascii="Times New Roman" w:hAnsi="Times New Roman" w:eastAsia="华文仿宋" w:cs="Times New Roman"/>
          <w:b/>
          <w:bCs/>
          <w:sz w:val="20"/>
          <w:szCs w:val="20"/>
        </w:rPr>
        <w:t>AUC,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eastAsia="华文仿宋" w:cs="Times New Roman"/>
          <w:b/>
          <w:bCs/>
          <w:sz w:val="20"/>
          <w:szCs w:val="20"/>
        </w:rPr>
        <w:t xml:space="preserve">Area Under Receiver Operating Characteristic Curve;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95% CI,</w:t>
      </w:r>
      <w:r>
        <w:rPr>
          <w:rFonts w:ascii="Times New Roman" w:hAnsi="Times New Roman" w:cs="Times New Roman"/>
          <w:b/>
          <w:bCs/>
          <w:color w:val="1B1B1B"/>
          <w:sz w:val="20"/>
          <w:szCs w:val="20"/>
          <w:shd w:val="clear" w:color="auto" w:fill="F5FFF0"/>
        </w:rPr>
        <w:t xml:space="preserve"> </w:t>
      </w:r>
      <w:r>
        <w:rPr>
          <w:rFonts w:ascii="Times New Roman" w:hAnsi="Times New Roman" w:eastAsia="微软雅黑" w:cs="Times New Roman"/>
          <w:b/>
          <w:bCs/>
          <w:sz w:val="20"/>
          <w:szCs w:val="20"/>
        </w:rPr>
        <w:t>95% confidence interval.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New Roman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029A6"/>
    <w:rsid w:val="0A7931CE"/>
    <w:rsid w:val="0BF15B6D"/>
    <w:rsid w:val="1F89562E"/>
    <w:rsid w:val="5F9D17AD"/>
    <w:rsid w:val="69B7572F"/>
    <w:rsid w:val="73D0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577</Words>
  <Characters>3561</Characters>
  <Lines>0</Lines>
  <Paragraphs>0</Paragraphs>
  <TotalTime>0</TotalTime>
  <ScaleCrop>false</ScaleCrop>
  <LinksUpToDate>false</LinksUpToDate>
  <CharactersWithSpaces>3881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2026-04-30T07:34:00Z</dcterms:created>
  <dc:creator>yassuo</dc:creator>
  <cp:lastModifiedBy>Administrator</cp:lastModifiedBy>
  <dcterms:modified xsi:type="dcterms:W3CDTF">2026-06-21T06:10:18Z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5A6080B6CC9443439249B714E6300780_11</vt:lpwstr>
  </property>
  <property fmtid="{D5CDD505-2E9C-101B-9397-08002B2CF9AE}" pid="4" name="KSOTemplateDocerSaveRecord">
    <vt:lpwstr>eyJoZGlkIjoiMWRiOGNkMGFlY2M4MWI5ZTA0ZTVhZGM5NzdlODc5MzUiLCJ1c2VySWQiOiI0NjE0ODk0NjgifQ==</vt:lpwstr>
  </property>
</Properties>
</file>