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B3938B" w14:textId="77777777" w:rsidR="00C922C0" w:rsidRPr="00C922C0" w:rsidRDefault="00C922C0" w:rsidP="00C922C0">
      <w:pPr>
        <w:jc w:val="center"/>
        <w:rPr>
          <w:rFonts w:ascii="Times New Roman" w:hAnsi="Times New Roman" w:cs="Times New Roman"/>
          <w:color w:val="000000" w:themeColor="text1"/>
          <w:sz w:val="20"/>
          <w:szCs w:val="22"/>
        </w:rPr>
      </w:pPr>
      <w:bookmarkStart w:id="0" w:name="_GoBack"/>
      <w:r w:rsidRPr="00C922C0">
        <w:rPr>
          <w:rFonts w:ascii="Times New Roman" w:hAnsi="Times New Roman" w:cs="Times New Roman"/>
          <w:noProof/>
          <w:color w:val="000000" w:themeColor="text1"/>
          <w:sz w:val="20"/>
          <w:szCs w:val="22"/>
          <w:lang w:eastAsia="en-US"/>
        </w:rPr>
        <w:drawing>
          <wp:inline distT="0" distB="0" distL="0" distR="0" wp14:anchorId="142B4760" wp14:editId="5B5DF43B">
            <wp:extent cx="3051175" cy="2528570"/>
            <wp:effectExtent l="0" t="0" r="9525" b="11430"/>
            <wp:docPr id="45067548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75489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4490" cy="253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00B37" w14:textId="77777777" w:rsidR="00C922C0" w:rsidRPr="00C922C0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2"/>
        </w:rPr>
      </w:pPr>
      <w:r w:rsidRPr="00C922C0">
        <w:rPr>
          <w:rFonts w:ascii="Times New Roman" w:hAnsi="Times New Roman" w:cs="Times New Roman"/>
          <w:color w:val="000000" w:themeColor="text1"/>
          <w:sz w:val="20"/>
          <w:szCs w:val="22"/>
        </w:rPr>
        <w:t>Supplementary Figure S1. Receiver operating characteristic curves of the original and reduced-feature Phase I Elastic Net models in the held-out sensitivity-analysis test cohort. The original model retained NLR, PLR, and SII, whereas the reduced-feature model excluded PLR and SII while retaining NLR.</w:t>
      </w:r>
    </w:p>
    <w:p w14:paraId="3079E722" w14:textId="77777777" w:rsidR="00C922C0" w:rsidRDefault="00C922C0" w:rsidP="00C922C0">
      <w:pPr>
        <w:ind w:left="420" w:hanging="420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F24040" w14:textId="77777777" w:rsidR="00C922C0" w:rsidRDefault="00C922C0" w:rsidP="00C922C0">
      <w:pPr>
        <w:ind w:left="420" w:hanging="420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D3E2A60" w14:textId="77777777" w:rsidR="00C922C0" w:rsidRDefault="00C922C0" w:rsidP="00C922C0">
      <w:pPr>
        <w:ind w:left="420" w:hanging="420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05414E" w14:textId="77777777" w:rsidR="00C922C0" w:rsidRDefault="00C922C0" w:rsidP="00C922C0">
      <w:pPr>
        <w:ind w:left="420" w:hanging="420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2E91A2" w14:textId="77777777" w:rsidR="00C922C0" w:rsidRDefault="00C922C0" w:rsidP="00C922C0">
      <w:pPr>
        <w:ind w:left="420" w:hanging="420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987685D" w14:textId="77777777" w:rsidR="00C922C0" w:rsidRDefault="00C922C0" w:rsidP="00C922C0">
      <w:pPr>
        <w:ind w:left="420" w:hanging="420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39399AC" w14:textId="77777777" w:rsidR="00C922C0" w:rsidRPr="0090187B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2"/>
        </w:rPr>
      </w:pPr>
      <w:r w:rsidRPr="0090187B">
        <w:rPr>
          <w:rFonts w:ascii="Times New Roman" w:hAnsi="Times New Roman" w:cs="Times New Roman"/>
          <w:color w:val="000000" w:themeColor="text1"/>
          <w:sz w:val="20"/>
          <w:szCs w:val="22"/>
        </w:rPr>
        <w:t>Supplementary Table S1. Sensitivity analysis of Phase I Elastic Net performance after removal of highly correlated inflammation-derived indices.</w:t>
      </w:r>
    </w:p>
    <w:tbl>
      <w:tblPr>
        <w:tblW w:w="8520" w:type="dxa"/>
        <w:tblCellSpacing w:w="15" w:type="dxa"/>
        <w:tblInd w:w="45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7"/>
        <w:gridCol w:w="1543"/>
        <w:gridCol w:w="960"/>
        <w:gridCol w:w="960"/>
        <w:gridCol w:w="960"/>
        <w:gridCol w:w="720"/>
        <w:gridCol w:w="720"/>
      </w:tblGrid>
      <w:tr w:rsidR="00C922C0" w:rsidRPr="0090187B" w14:paraId="6BE395BE" w14:textId="77777777" w:rsidTr="006F36D5">
        <w:trPr>
          <w:tblHeader/>
          <w:tblCellSpacing w:w="15" w:type="dxa"/>
        </w:trPr>
        <w:tc>
          <w:tcPr>
            <w:tcW w:w="2612" w:type="dxa"/>
            <w:tcBorders>
              <w:top w:val="nil"/>
              <w:bottom w:val="single" w:sz="4" w:space="0" w:color="auto"/>
            </w:tcBorders>
            <w:vAlign w:val="center"/>
          </w:tcPr>
          <w:p w14:paraId="007B5266" w14:textId="77777777" w:rsidR="00C922C0" w:rsidRPr="0090187B" w:rsidRDefault="00C922C0" w:rsidP="006F36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  <w:t>Model</w:t>
            </w:r>
          </w:p>
        </w:tc>
        <w:tc>
          <w:tcPr>
            <w:tcW w:w="1513" w:type="dxa"/>
            <w:tcBorders>
              <w:top w:val="nil"/>
              <w:bottom w:val="single" w:sz="4" w:space="0" w:color="auto"/>
            </w:tcBorders>
            <w:vAlign w:val="center"/>
          </w:tcPr>
          <w:p w14:paraId="1614D0B9" w14:textId="77777777" w:rsidR="00C922C0" w:rsidRPr="0090187B" w:rsidRDefault="00C922C0" w:rsidP="006F36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  <w:t xml:space="preserve">Test AUC </w:t>
            </w:r>
          </w:p>
          <w:p w14:paraId="37980F7E" w14:textId="77777777" w:rsidR="00C922C0" w:rsidRPr="0090187B" w:rsidRDefault="00C922C0" w:rsidP="006F36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  <w:t>(95% CI)</w:t>
            </w: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14:paraId="5F972249" w14:textId="77777777" w:rsidR="00C922C0" w:rsidRPr="0090187B" w:rsidRDefault="00C922C0" w:rsidP="006F36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  <w:t>Accuracy</w:t>
            </w: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14:paraId="440B3405" w14:textId="77777777" w:rsidR="00C922C0" w:rsidRPr="0090187B" w:rsidRDefault="00C922C0" w:rsidP="006F36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  <w:t>Sensitivity</w:t>
            </w: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14:paraId="7CD77410" w14:textId="77777777" w:rsidR="00C922C0" w:rsidRPr="0090187B" w:rsidRDefault="00C922C0" w:rsidP="006F36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  <w:t>Specificity</w:t>
            </w:r>
          </w:p>
        </w:tc>
        <w:tc>
          <w:tcPr>
            <w:tcW w:w="690" w:type="dxa"/>
            <w:tcBorders>
              <w:top w:val="nil"/>
              <w:bottom w:val="single" w:sz="4" w:space="0" w:color="auto"/>
            </w:tcBorders>
            <w:vAlign w:val="center"/>
          </w:tcPr>
          <w:p w14:paraId="708C7841" w14:textId="77777777" w:rsidR="00C922C0" w:rsidRPr="0090187B" w:rsidRDefault="00C922C0" w:rsidP="006F36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  <w:t>F1 score</w:t>
            </w:r>
          </w:p>
        </w:tc>
        <w:tc>
          <w:tcPr>
            <w:tcW w:w="675" w:type="dxa"/>
            <w:tcBorders>
              <w:top w:val="nil"/>
              <w:bottom w:val="single" w:sz="4" w:space="0" w:color="auto"/>
            </w:tcBorders>
            <w:vAlign w:val="center"/>
          </w:tcPr>
          <w:p w14:paraId="57EE4BED" w14:textId="77777777" w:rsidR="00C922C0" w:rsidRPr="0090187B" w:rsidRDefault="00C922C0" w:rsidP="006F36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  <w:t>Brier score</w:t>
            </w:r>
          </w:p>
        </w:tc>
      </w:tr>
      <w:tr w:rsidR="00C922C0" w:rsidRPr="0090187B" w14:paraId="39913790" w14:textId="77777777" w:rsidTr="006F36D5">
        <w:trPr>
          <w:tblCellSpacing w:w="15" w:type="dxa"/>
        </w:trPr>
        <w:tc>
          <w:tcPr>
            <w:tcW w:w="2612" w:type="dxa"/>
            <w:vAlign w:val="center"/>
          </w:tcPr>
          <w:p w14:paraId="14F48147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 xml:space="preserve">Original Phase I Elastic </w:t>
            </w:r>
          </w:p>
          <w:p w14:paraId="03103FF6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Net (11 features)</w:t>
            </w:r>
          </w:p>
        </w:tc>
        <w:tc>
          <w:tcPr>
            <w:tcW w:w="1513" w:type="dxa"/>
            <w:vAlign w:val="center"/>
          </w:tcPr>
          <w:p w14:paraId="21727891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 xml:space="preserve">0.7636 </w:t>
            </w:r>
          </w:p>
          <w:p w14:paraId="3F880EFF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(0.6118–0.8875)</w:t>
            </w:r>
          </w:p>
        </w:tc>
        <w:tc>
          <w:tcPr>
            <w:tcW w:w="930" w:type="dxa"/>
            <w:vAlign w:val="center"/>
          </w:tcPr>
          <w:p w14:paraId="61B41F95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0.6538</w:t>
            </w:r>
          </w:p>
        </w:tc>
        <w:tc>
          <w:tcPr>
            <w:tcW w:w="930" w:type="dxa"/>
            <w:vAlign w:val="center"/>
          </w:tcPr>
          <w:p w14:paraId="562C73E4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0.6667</w:t>
            </w:r>
          </w:p>
        </w:tc>
        <w:tc>
          <w:tcPr>
            <w:tcW w:w="930" w:type="dxa"/>
            <w:vAlign w:val="center"/>
          </w:tcPr>
          <w:p w14:paraId="0266C6BA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0.6364</w:t>
            </w:r>
          </w:p>
        </w:tc>
        <w:tc>
          <w:tcPr>
            <w:tcW w:w="690" w:type="dxa"/>
            <w:vAlign w:val="center"/>
          </w:tcPr>
          <w:p w14:paraId="3BE27954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0.6897</w:t>
            </w:r>
          </w:p>
        </w:tc>
        <w:tc>
          <w:tcPr>
            <w:tcW w:w="675" w:type="dxa"/>
            <w:vAlign w:val="center"/>
          </w:tcPr>
          <w:p w14:paraId="7A55685A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0.1936</w:t>
            </w:r>
          </w:p>
        </w:tc>
      </w:tr>
      <w:tr w:rsidR="00C922C0" w:rsidRPr="0090187B" w14:paraId="4F2E305A" w14:textId="77777777" w:rsidTr="006F36D5">
        <w:trPr>
          <w:tblCellSpacing w:w="15" w:type="dxa"/>
        </w:trPr>
        <w:tc>
          <w:tcPr>
            <w:tcW w:w="2612" w:type="dxa"/>
            <w:vAlign w:val="center"/>
          </w:tcPr>
          <w:p w14:paraId="130D5453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Reduced-feature Phase I Elastic Net (9 features)</w:t>
            </w:r>
          </w:p>
        </w:tc>
        <w:tc>
          <w:tcPr>
            <w:tcW w:w="1513" w:type="dxa"/>
            <w:vAlign w:val="center"/>
          </w:tcPr>
          <w:p w14:paraId="0168B2CC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 xml:space="preserve">0.7667 </w:t>
            </w:r>
          </w:p>
          <w:p w14:paraId="289FE9E4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(0.6203–0.8933)</w:t>
            </w:r>
          </w:p>
        </w:tc>
        <w:tc>
          <w:tcPr>
            <w:tcW w:w="930" w:type="dxa"/>
            <w:vAlign w:val="center"/>
          </w:tcPr>
          <w:p w14:paraId="19DCA8FF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0.6731</w:t>
            </w:r>
          </w:p>
        </w:tc>
        <w:tc>
          <w:tcPr>
            <w:tcW w:w="930" w:type="dxa"/>
            <w:vAlign w:val="center"/>
          </w:tcPr>
          <w:p w14:paraId="414C0375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0.7000</w:t>
            </w:r>
          </w:p>
        </w:tc>
        <w:tc>
          <w:tcPr>
            <w:tcW w:w="930" w:type="dxa"/>
            <w:vAlign w:val="center"/>
          </w:tcPr>
          <w:p w14:paraId="1C2D8645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0.6364</w:t>
            </w:r>
          </w:p>
        </w:tc>
        <w:tc>
          <w:tcPr>
            <w:tcW w:w="690" w:type="dxa"/>
            <w:vAlign w:val="center"/>
          </w:tcPr>
          <w:p w14:paraId="1984D04C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0.7119</w:t>
            </w:r>
          </w:p>
        </w:tc>
        <w:tc>
          <w:tcPr>
            <w:tcW w:w="675" w:type="dxa"/>
            <w:vAlign w:val="center"/>
          </w:tcPr>
          <w:p w14:paraId="1737B52D" w14:textId="77777777" w:rsidR="00C922C0" w:rsidRPr="0090187B" w:rsidRDefault="00C922C0" w:rsidP="006F36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0.1978</w:t>
            </w:r>
          </w:p>
        </w:tc>
      </w:tr>
    </w:tbl>
    <w:p w14:paraId="3A01BE98" w14:textId="77777777" w:rsidR="00C922C0" w:rsidRPr="0090187B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2"/>
        </w:rPr>
      </w:pPr>
      <w:r w:rsidRPr="0090187B">
        <w:rPr>
          <w:rFonts w:ascii="Times New Roman" w:hAnsi="Times New Roman" w:cs="Times New Roman"/>
          <w:color w:val="000000" w:themeColor="text1"/>
          <w:sz w:val="20"/>
          <w:szCs w:val="22"/>
        </w:rPr>
        <w:t>Note</w:t>
      </w:r>
      <w:r w:rsidRPr="0090187B">
        <w:rPr>
          <w:rFonts w:ascii="Times New Roman" w:hAnsi="Times New Roman" w:cs="Times New Roman"/>
          <w:color w:val="000000" w:themeColor="text1"/>
          <w:sz w:val="20"/>
          <w:szCs w:val="22"/>
        </w:rPr>
        <w:t>：</w:t>
      </w:r>
      <w:r w:rsidRPr="0090187B">
        <w:rPr>
          <w:rFonts w:ascii="Times New Roman" w:hAnsi="Times New Roman" w:cs="Times New Roman"/>
          <w:color w:val="000000" w:themeColor="text1"/>
          <w:sz w:val="20"/>
          <w:szCs w:val="22"/>
        </w:rPr>
        <w:t>The reduced-feature model excluded PLR and SII while retaining NLR. All other Phase I features and modeling procedures remained unchanged. STB was defined as the positive class. The paired DeLong test showed no statistically significant difference between the test-set AUCs of the two models (Z = 0.2121,</w:t>
      </w:r>
      <w:r w:rsidRPr="0090187B">
        <w:rPr>
          <w:rFonts w:ascii="Times New Roman" w:hAnsi="Times New Roman" w:cs="Times New Roman"/>
          <w:i/>
          <w:iCs/>
          <w:color w:val="000000" w:themeColor="text1"/>
          <w:sz w:val="20"/>
          <w:szCs w:val="22"/>
        </w:rPr>
        <w:t xml:space="preserve"> P</w:t>
      </w:r>
      <w:r w:rsidRPr="0090187B">
        <w:rPr>
          <w:rFonts w:ascii="Times New Roman" w:hAnsi="Times New Roman" w:cs="Times New Roman"/>
          <w:color w:val="000000" w:themeColor="text1"/>
          <w:sz w:val="20"/>
          <w:szCs w:val="22"/>
        </w:rPr>
        <w:t xml:space="preserve"> = 0.8321).</w:t>
      </w:r>
    </w:p>
    <w:p w14:paraId="36F6964D" w14:textId="77777777" w:rsidR="00C922C0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5D1615" w14:textId="77777777" w:rsidR="00C922C0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46FBBA5" w14:textId="77777777" w:rsidR="00C922C0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187C91" w14:textId="77777777" w:rsidR="00C922C0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08CD5AD" w14:textId="77777777" w:rsidR="00C922C0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76D968D" w14:textId="77777777" w:rsidR="00C922C0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510F36A" w14:textId="77777777" w:rsidR="00C922C0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42CBE2" w14:textId="77777777" w:rsidR="00C922C0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681DFB" w14:textId="77777777" w:rsidR="00C922C0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F0DA52" w14:textId="77777777" w:rsidR="00C922C0" w:rsidRPr="0090187B" w:rsidRDefault="00C922C0" w:rsidP="00C922C0">
      <w:pPr>
        <w:rPr>
          <w:rFonts w:ascii="Times New Roman" w:hAnsi="Times New Roman" w:cs="Times New Roman"/>
          <w:color w:val="000000" w:themeColor="text1"/>
          <w:sz w:val="20"/>
          <w:szCs w:val="22"/>
        </w:rPr>
      </w:pPr>
      <w:r w:rsidRPr="0090187B">
        <w:rPr>
          <w:rFonts w:ascii="Times New Roman" w:hAnsi="Times New Roman" w:cs="Times New Roman"/>
          <w:color w:val="000000" w:themeColor="text1"/>
          <w:sz w:val="20"/>
          <w:szCs w:val="22"/>
        </w:rPr>
        <w:t>Supplementary Table S2. Comparison of variance inflation factors before and after removal of PLR and SII in the sensitivity-analysis training cohort.</w:t>
      </w:r>
    </w:p>
    <w:tbl>
      <w:tblPr>
        <w:tblW w:w="8445" w:type="dxa"/>
        <w:tblCellSpacing w:w="15" w:type="dxa"/>
        <w:tblBorders>
          <w:top w:val="single" w:sz="8" w:space="0" w:color="auto"/>
          <w:bottom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C922C0" w:rsidRPr="0090187B" w14:paraId="4703389C" w14:textId="77777777" w:rsidTr="006F36D5">
        <w:trPr>
          <w:tblHeader/>
          <w:tblCellSpacing w:w="15" w:type="dxa"/>
        </w:trPr>
        <w:tc>
          <w:tcPr>
            <w:tcW w:w="2770" w:type="dxa"/>
            <w:tcBorders>
              <w:top w:val="nil"/>
              <w:bottom w:val="single" w:sz="4" w:space="0" w:color="auto"/>
            </w:tcBorders>
            <w:vAlign w:val="center"/>
          </w:tcPr>
          <w:p w14:paraId="2EF4472B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  <w:t>Feature</w:t>
            </w:r>
          </w:p>
        </w:tc>
        <w:tc>
          <w:tcPr>
            <w:tcW w:w="2785" w:type="dxa"/>
            <w:tcBorders>
              <w:top w:val="nil"/>
              <w:bottom w:val="single" w:sz="4" w:space="0" w:color="auto"/>
            </w:tcBorders>
            <w:vAlign w:val="center"/>
          </w:tcPr>
          <w:p w14:paraId="6C5B0C1E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  <w:t>Original model VIF</w:t>
            </w:r>
          </w:p>
        </w:tc>
        <w:tc>
          <w:tcPr>
            <w:tcW w:w="2770" w:type="dxa"/>
            <w:tcBorders>
              <w:top w:val="nil"/>
              <w:bottom w:val="single" w:sz="4" w:space="0" w:color="auto"/>
            </w:tcBorders>
            <w:vAlign w:val="center"/>
          </w:tcPr>
          <w:p w14:paraId="7BECD062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2"/>
              </w:rPr>
              <w:t>Reduced model VIF</w:t>
            </w:r>
          </w:p>
        </w:tc>
      </w:tr>
      <w:tr w:rsidR="00C922C0" w:rsidRPr="0090187B" w14:paraId="2062D4A9" w14:textId="77777777" w:rsidTr="006F36D5">
        <w:trPr>
          <w:tblCellSpacing w:w="15" w:type="dxa"/>
        </w:trPr>
        <w:tc>
          <w:tcPr>
            <w:tcW w:w="2770" w:type="dxa"/>
            <w:vAlign w:val="center"/>
          </w:tcPr>
          <w:p w14:paraId="619F9FFF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SII</w:t>
            </w:r>
          </w:p>
        </w:tc>
        <w:tc>
          <w:tcPr>
            <w:tcW w:w="2785" w:type="dxa"/>
            <w:vAlign w:val="center"/>
          </w:tcPr>
          <w:p w14:paraId="43C9E5FC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70.41</w:t>
            </w:r>
          </w:p>
        </w:tc>
        <w:tc>
          <w:tcPr>
            <w:tcW w:w="2770" w:type="dxa"/>
            <w:vAlign w:val="center"/>
          </w:tcPr>
          <w:p w14:paraId="3388C10D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Removed</w:t>
            </w:r>
          </w:p>
        </w:tc>
      </w:tr>
      <w:tr w:rsidR="00C922C0" w:rsidRPr="0090187B" w14:paraId="1DC33550" w14:textId="77777777" w:rsidTr="006F36D5">
        <w:trPr>
          <w:tblCellSpacing w:w="15" w:type="dxa"/>
        </w:trPr>
        <w:tc>
          <w:tcPr>
            <w:tcW w:w="2770" w:type="dxa"/>
            <w:vAlign w:val="center"/>
          </w:tcPr>
          <w:p w14:paraId="0A850F12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PLR</w:t>
            </w:r>
          </w:p>
        </w:tc>
        <w:tc>
          <w:tcPr>
            <w:tcW w:w="2785" w:type="dxa"/>
            <w:vAlign w:val="center"/>
          </w:tcPr>
          <w:p w14:paraId="2D9FD771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54.80</w:t>
            </w:r>
          </w:p>
        </w:tc>
        <w:tc>
          <w:tcPr>
            <w:tcW w:w="2770" w:type="dxa"/>
            <w:vAlign w:val="center"/>
          </w:tcPr>
          <w:p w14:paraId="6818E2D7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Removed</w:t>
            </w:r>
          </w:p>
        </w:tc>
      </w:tr>
      <w:tr w:rsidR="00C922C0" w:rsidRPr="0090187B" w14:paraId="5722B664" w14:textId="77777777" w:rsidTr="006F36D5">
        <w:trPr>
          <w:tblCellSpacing w:w="15" w:type="dxa"/>
        </w:trPr>
        <w:tc>
          <w:tcPr>
            <w:tcW w:w="2770" w:type="dxa"/>
            <w:vAlign w:val="center"/>
          </w:tcPr>
          <w:p w14:paraId="64E1046B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NLR</w:t>
            </w:r>
          </w:p>
        </w:tc>
        <w:tc>
          <w:tcPr>
            <w:tcW w:w="2785" w:type="dxa"/>
            <w:vAlign w:val="center"/>
          </w:tcPr>
          <w:p w14:paraId="27736C37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22.66</w:t>
            </w:r>
          </w:p>
        </w:tc>
        <w:tc>
          <w:tcPr>
            <w:tcW w:w="2770" w:type="dxa"/>
            <w:vAlign w:val="center"/>
          </w:tcPr>
          <w:p w14:paraId="120B50AD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7.66</w:t>
            </w:r>
          </w:p>
        </w:tc>
      </w:tr>
      <w:tr w:rsidR="00C922C0" w:rsidRPr="0090187B" w14:paraId="4D5BCC6C" w14:textId="77777777" w:rsidTr="006F36D5">
        <w:trPr>
          <w:tblCellSpacing w:w="15" w:type="dxa"/>
        </w:trPr>
        <w:tc>
          <w:tcPr>
            <w:tcW w:w="2770" w:type="dxa"/>
            <w:vAlign w:val="center"/>
          </w:tcPr>
          <w:p w14:paraId="69BC0759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NEU</w:t>
            </w:r>
          </w:p>
        </w:tc>
        <w:tc>
          <w:tcPr>
            <w:tcW w:w="2785" w:type="dxa"/>
            <w:vAlign w:val="center"/>
          </w:tcPr>
          <w:p w14:paraId="6D72C62F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8.69</w:t>
            </w:r>
          </w:p>
        </w:tc>
        <w:tc>
          <w:tcPr>
            <w:tcW w:w="2770" w:type="dxa"/>
            <w:vAlign w:val="center"/>
          </w:tcPr>
          <w:p w14:paraId="6729E5A5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3.56</w:t>
            </w:r>
          </w:p>
        </w:tc>
      </w:tr>
      <w:tr w:rsidR="00C922C0" w:rsidRPr="0090187B" w14:paraId="15823DC5" w14:textId="77777777" w:rsidTr="006F36D5">
        <w:trPr>
          <w:tblCellSpacing w:w="15" w:type="dxa"/>
        </w:trPr>
        <w:tc>
          <w:tcPr>
            <w:tcW w:w="2770" w:type="dxa"/>
            <w:vAlign w:val="center"/>
          </w:tcPr>
          <w:p w14:paraId="55BE3123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MLR</w:t>
            </w:r>
          </w:p>
        </w:tc>
        <w:tc>
          <w:tcPr>
            <w:tcW w:w="2785" w:type="dxa"/>
            <w:vAlign w:val="center"/>
          </w:tcPr>
          <w:p w14:paraId="7C6FE6C0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7.30</w:t>
            </w:r>
          </w:p>
        </w:tc>
        <w:tc>
          <w:tcPr>
            <w:tcW w:w="2770" w:type="dxa"/>
            <w:vAlign w:val="center"/>
          </w:tcPr>
          <w:p w14:paraId="6BF44830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6.15</w:t>
            </w:r>
          </w:p>
        </w:tc>
      </w:tr>
      <w:tr w:rsidR="00C922C0" w:rsidRPr="0090187B" w14:paraId="69E3D486" w14:textId="77777777" w:rsidTr="006F36D5">
        <w:trPr>
          <w:tblCellSpacing w:w="15" w:type="dxa"/>
        </w:trPr>
        <w:tc>
          <w:tcPr>
            <w:tcW w:w="2770" w:type="dxa"/>
            <w:vAlign w:val="center"/>
          </w:tcPr>
          <w:p w14:paraId="40886A6F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PNR</w:t>
            </w:r>
          </w:p>
        </w:tc>
        <w:tc>
          <w:tcPr>
            <w:tcW w:w="2785" w:type="dxa"/>
            <w:vAlign w:val="center"/>
          </w:tcPr>
          <w:p w14:paraId="4C68032F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7.00</w:t>
            </w:r>
          </w:p>
        </w:tc>
        <w:tc>
          <w:tcPr>
            <w:tcW w:w="2770" w:type="dxa"/>
            <w:vAlign w:val="center"/>
          </w:tcPr>
          <w:p w14:paraId="4D4EFA44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3.50</w:t>
            </w:r>
          </w:p>
        </w:tc>
      </w:tr>
      <w:tr w:rsidR="00C922C0" w:rsidRPr="0090187B" w14:paraId="5ABD44B2" w14:textId="77777777" w:rsidTr="006F36D5">
        <w:trPr>
          <w:tblCellSpacing w:w="15" w:type="dxa"/>
        </w:trPr>
        <w:tc>
          <w:tcPr>
            <w:tcW w:w="2770" w:type="dxa"/>
            <w:vAlign w:val="center"/>
          </w:tcPr>
          <w:p w14:paraId="645D0001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LYM</w:t>
            </w:r>
          </w:p>
        </w:tc>
        <w:tc>
          <w:tcPr>
            <w:tcW w:w="2785" w:type="dxa"/>
            <w:vAlign w:val="center"/>
          </w:tcPr>
          <w:p w14:paraId="5ED612B5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6.54</w:t>
            </w:r>
          </w:p>
        </w:tc>
        <w:tc>
          <w:tcPr>
            <w:tcW w:w="2770" w:type="dxa"/>
            <w:vAlign w:val="center"/>
          </w:tcPr>
          <w:p w14:paraId="55989C9E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5.68</w:t>
            </w:r>
          </w:p>
        </w:tc>
      </w:tr>
      <w:tr w:rsidR="00C922C0" w:rsidRPr="0090187B" w14:paraId="1AECB37A" w14:textId="77777777" w:rsidTr="006F36D5">
        <w:trPr>
          <w:tblCellSpacing w:w="15" w:type="dxa"/>
        </w:trPr>
        <w:tc>
          <w:tcPr>
            <w:tcW w:w="2770" w:type="dxa"/>
            <w:vAlign w:val="center"/>
          </w:tcPr>
          <w:p w14:paraId="2A013EB3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PMR</w:t>
            </w:r>
          </w:p>
        </w:tc>
        <w:tc>
          <w:tcPr>
            <w:tcW w:w="2785" w:type="dxa"/>
            <w:vAlign w:val="center"/>
          </w:tcPr>
          <w:p w14:paraId="0CCF314C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4.60</w:t>
            </w:r>
          </w:p>
        </w:tc>
        <w:tc>
          <w:tcPr>
            <w:tcW w:w="2770" w:type="dxa"/>
            <w:vAlign w:val="center"/>
          </w:tcPr>
          <w:p w14:paraId="03A2E30A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3.84</w:t>
            </w:r>
          </w:p>
        </w:tc>
      </w:tr>
      <w:tr w:rsidR="00C922C0" w:rsidRPr="0090187B" w14:paraId="02059CB0" w14:textId="77777777" w:rsidTr="006F36D5">
        <w:trPr>
          <w:tblCellSpacing w:w="15" w:type="dxa"/>
        </w:trPr>
        <w:tc>
          <w:tcPr>
            <w:tcW w:w="2770" w:type="dxa"/>
            <w:vAlign w:val="center"/>
          </w:tcPr>
          <w:p w14:paraId="05AE15AF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ESR</w:t>
            </w:r>
          </w:p>
        </w:tc>
        <w:tc>
          <w:tcPr>
            <w:tcW w:w="2785" w:type="dxa"/>
            <w:vAlign w:val="center"/>
          </w:tcPr>
          <w:p w14:paraId="02827D32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1.62</w:t>
            </w:r>
          </w:p>
        </w:tc>
        <w:tc>
          <w:tcPr>
            <w:tcW w:w="2770" w:type="dxa"/>
            <w:vAlign w:val="center"/>
          </w:tcPr>
          <w:p w14:paraId="6309977E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1.59</w:t>
            </w:r>
          </w:p>
        </w:tc>
      </w:tr>
      <w:tr w:rsidR="00C922C0" w:rsidRPr="0090187B" w14:paraId="71783B4E" w14:textId="77777777" w:rsidTr="006F36D5">
        <w:trPr>
          <w:tblCellSpacing w:w="15" w:type="dxa"/>
        </w:trPr>
        <w:tc>
          <w:tcPr>
            <w:tcW w:w="2770" w:type="dxa"/>
            <w:vAlign w:val="center"/>
          </w:tcPr>
          <w:p w14:paraId="2C58C33C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PCT</w:t>
            </w:r>
          </w:p>
        </w:tc>
        <w:tc>
          <w:tcPr>
            <w:tcW w:w="2785" w:type="dxa"/>
            <w:vAlign w:val="center"/>
          </w:tcPr>
          <w:p w14:paraId="6446B096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1.44</w:t>
            </w:r>
          </w:p>
        </w:tc>
        <w:tc>
          <w:tcPr>
            <w:tcW w:w="2770" w:type="dxa"/>
            <w:vAlign w:val="center"/>
          </w:tcPr>
          <w:p w14:paraId="06F14888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1.41</w:t>
            </w:r>
          </w:p>
        </w:tc>
      </w:tr>
      <w:tr w:rsidR="00C922C0" w:rsidRPr="0090187B" w14:paraId="4451B059" w14:textId="77777777" w:rsidTr="006F36D5">
        <w:trPr>
          <w:tblCellSpacing w:w="15" w:type="dxa"/>
        </w:trPr>
        <w:tc>
          <w:tcPr>
            <w:tcW w:w="2770" w:type="dxa"/>
            <w:vAlign w:val="center"/>
          </w:tcPr>
          <w:p w14:paraId="2C881E7E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MRI-detected paravertebral abscess</w:t>
            </w:r>
          </w:p>
        </w:tc>
        <w:tc>
          <w:tcPr>
            <w:tcW w:w="2785" w:type="dxa"/>
            <w:vAlign w:val="center"/>
          </w:tcPr>
          <w:p w14:paraId="7D0684B0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1.08</w:t>
            </w:r>
          </w:p>
        </w:tc>
        <w:tc>
          <w:tcPr>
            <w:tcW w:w="2770" w:type="dxa"/>
            <w:vAlign w:val="center"/>
          </w:tcPr>
          <w:p w14:paraId="7E1D47A0" w14:textId="77777777" w:rsidR="00C922C0" w:rsidRPr="0090187B" w:rsidRDefault="00C922C0" w:rsidP="006F36D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90187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1.05</w:t>
            </w:r>
          </w:p>
        </w:tc>
      </w:tr>
      <w:bookmarkEnd w:id="0"/>
    </w:tbl>
    <w:p w14:paraId="286E6F82" w14:textId="77777777" w:rsidR="00B61086" w:rsidRPr="00C922C0" w:rsidRDefault="00B61086"/>
    <w:sectPr w:rsidR="00B61086" w:rsidRPr="00C922C0" w:rsidSect="009114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69524D" w14:textId="77777777" w:rsidR="00492158" w:rsidRDefault="00492158" w:rsidP="00C922C0">
      <w:r>
        <w:separator/>
      </w:r>
    </w:p>
  </w:endnote>
  <w:endnote w:type="continuationSeparator" w:id="0">
    <w:p w14:paraId="285A08B6" w14:textId="77777777" w:rsidR="00492158" w:rsidRDefault="00492158" w:rsidP="00C9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66D75C" w14:textId="77777777" w:rsidR="00492158" w:rsidRDefault="00492158" w:rsidP="00C922C0">
      <w:r>
        <w:separator/>
      </w:r>
    </w:p>
  </w:footnote>
  <w:footnote w:type="continuationSeparator" w:id="0">
    <w:p w14:paraId="3C46CA46" w14:textId="77777777" w:rsidR="00492158" w:rsidRDefault="00492158" w:rsidP="00C92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6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761"/>
    <w:rsid w:val="001318FC"/>
    <w:rsid w:val="00337F29"/>
    <w:rsid w:val="00492158"/>
    <w:rsid w:val="00911438"/>
    <w:rsid w:val="00971E56"/>
    <w:rsid w:val="0099400B"/>
    <w:rsid w:val="00B61086"/>
    <w:rsid w:val="00B85761"/>
    <w:rsid w:val="00C2448D"/>
    <w:rsid w:val="00C922C0"/>
    <w:rsid w:val="00E0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D8FD55"/>
  <w14:defaultImageDpi w14:val="330"/>
  <w15:chartTrackingRefBased/>
  <w15:docId w15:val="{33724303-80C4-474B-AFC1-288D90CF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8"/>
        <w:szCs w:val="28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2C0"/>
    <w:pPr>
      <w:widowControl w:val="0"/>
      <w:jc w:val="both"/>
    </w:pPr>
    <w:rPr>
      <w:rFonts w:asciiTheme="minorHAnsi" w:eastAsiaTheme="minorEastAsia" w:hAnsiTheme="minorHAnsi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576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7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761"/>
    <w:pPr>
      <w:keepNext/>
      <w:keepLines/>
      <w:spacing w:before="80" w:after="40"/>
      <w:outlineLvl w:val="3"/>
    </w:pPr>
    <w:rPr>
      <w:rFonts w:cstheme="majorBidi"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761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761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76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76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76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761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76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7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761"/>
    <w:rPr>
      <w:rFonts w:asciiTheme="minorHAnsi" w:eastAsiaTheme="minorEastAsia" w:hAnsiTheme="minorHAnsi" w:cstheme="majorBidi"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761"/>
    <w:rPr>
      <w:rFonts w:asciiTheme="minorHAnsi" w:eastAsiaTheme="minorEastAsia" w:hAnsiTheme="min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761"/>
    <w:rPr>
      <w:rFonts w:asciiTheme="minorHAnsi" w:eastAsiaTheme="minorEastAsia" w:hAnsiTheme="minorHAnsi" w:cstheme="majorBidi"/>
      <w:b/>
      <w:b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761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761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761"/>
    <w:rPr>
      <w:rFonts w:asciiTheme="minorHAnsi" w:eastAsiaTheme="majorEastAsia" w:hAnsiTheme="minorHAnsi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857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76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85761"/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B857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7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7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76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76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76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76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22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922C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92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922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1367822929@qq.com</dc:creator>
  <cp:keywords/>
  <dc:description/>
  <cp:lastModifiedBy>Sahaya M</cp:lastModifiedBy>
  <cp:revision>3</cp:revision>
  <dcterms:created xsi:type="dcterms:W3CDTF">2026-07-28T19:53:00Z</dcterms:created>
  <dcterms:modified xsi:type="dcterms:W3CDTF">2026-08-18T11:37:00Z</dcterms:modified>
</cp:coreProperties>
</file>