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E580F">
      <w:pPr>
        <w:spacing w:line="360" w:lineRule="auto"/>
        <w:rPr>
          <w:rFonts w:hint="eastAsia" w:ascii="Times New Roman" w:hAnsi="Times New Roman" w:cs="Times New Roman"/>
          <w:b/>
          <w:bCs/>
          <w:color w:val="auto"/>
          <w:sz w:val="24"/>
          <w:szCs w:val="24"/>
        </w:rPr>
      </w:pPr>
      <w:r>
        <w:rPr>
          <w:rFonts w:hint="eastAsia" w:ascii="Times New Roman" w:hAnsi="Times New Roman" w:cs="Times New Roman"/>
          <w:b/>
          <w:bCs/>
          <w:color w:val="auto"/>
          <w:sz w:val="24"/>
          <w:szCs w:val="24"/>
        </w:rPr>
        <w:t>Supplementary Methods</w:t>
      </w:r>
    </w:p>
    <w:p w14:paraId="311DDCDF">
      <w:pPr>
        <w:spacing w:line="360" w:lineRule="auto"/>
        <w:rPr>
          <w:rFonts w:hint="eastAsia" w:ascii="Times New Roman" w:hAnsi="Times New Roman" w:cs="Times New Roman"/>
          <w:b/>
          <w:bCs/>
          <w:color w:val="auto"/>
          <w:sz w:val="24"/>
          <w:szCs w:val="24"/>
        </w:rPr>
      </w:pPr>
      <w:r>
        <w:rPr>
          <w:rFonts w:hint="eastAsia" w:ascii="Times New Roman" w:hAnsi="Times New Roman" w:cs="Times New Roman"/>
          <w:b/>
          <w:bCs/>
          <w:color w:val="auto"/>
          <w:sz w:val="24"/>
          <w:szCs w:val="24"/>
        </w:rPr>
        <w:t>Quantitative real-time PCR (qRT-PCR)</w:t>
      </w:r>
    </w:p>
    <w:p w14:paraId="05734D9F">
      <w:pPr>
        <w:spacing w:line="360" w:lineRule="auto"/>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rPr>
        <w:t>The total RNA was extracted using TRIzol reagent (Invitrogen) and reversely transcribed to complementary DNA (cDNA) using iScript cDNA Synthesis Kit (Bio-Rad). Real-time PCR was performed using iTaq Univer SYBR Green Supermix (Bio-Rad) according to the manufacturer</w:t>
      </w:r>
      <w:r>
        <w:rPr>
          <w:rFonts w:hint="default" w:ascii="Times New Roman" w:hAnsi="Times New Roman" w:cs="Times New Roman"/>
          <w:b w:val="0"/>
          <w:bCs w:val="0"/>
          <w:color w:val="auto"/>
          <w:sz w:val="24"/>
          <w:szCs w:val="24"/>
          <w:lang w:val="en-US" w:eastAsia="zh-CN"/>
        </w:rPr>
        <w:t>’</w:t>
      </w:r>
      <w:r>
        <w:rPr>
          <w:rFonts w:hint="eastAsia" w:ascii="Times New Roman" w:hAnsi="Times New Roman" w:cs="Times New Roman"/>
          <w:b w:val="0"/>
          <w:bCs w:val="0"/>
          <w:color w:val="auto"/>
          <w:sz w:val="24"/>
          <w:szCs w:val="24"/>
        </w:rPr>
        <w:t>s instructions. GAPDH was used as a housekeeping gene for normalization. Results were represented as fold expression. The primer pairs used for qRT-PCR analysis were listed</w:t>
      </w:r>
      <w:r>
        <w:rPr>
          <w:rFonts w:hint="eastAsia" w:ascii="Times New Roman" w:hAnsi="Times New Roman" w:cs="Times New Roman"/>
          <w:b w:val="0"/>
          <w:bCs w:val="0"/>
          <w:color w:val="auto"/>
          <w:sz w:val="24"/>
          <w:szCs w:val="24"/>
          <w:lang w:val="en-US" w:eastAsia="zh-CN"/>
        </w:rPr>
        <w:t xml:space="preserve"> </w:t>
      </w:r>
      <w:r>
        <w:rPr>
          <w:rFonts w:ascii="TimesNewRoman" w:hAnsi="TimesNewRoman"/>
          <w:color w:val="auto"/>
          <w:sz w:val="24"/>
          <w:szCs w:val="24"/>
        </w:rPr>
        <w:t>below:</w:t>
      </w:r>
    </w:p>
    <w:p w14:paraId="531AE7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TNF-α</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 CCTCTCTCTAATCAGCCCTCTG-3’,</w:t>
      </w:r>
    </w:p>
    <w:p w14:paraId="7259B9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TNF-α</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GAGGACCTGGGAGTAGATGAG-3’;</w:t>
      </w:r>
    </w:p>
    <w:p w14:paraId="3DA4BDE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IL-1β</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 ATGATGGCTTATTACAGTGGCAA-3’,</w:t>
      </w:r>
      <w:bookmarkStart w:id="0" w:name="_GoBack"/>
      <w:bookmarkEnd w:id="0"/>
    </w:p>
    <w:p w14:paraId="6A5C83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IL-1β</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 GTCGGAGATTCGTAGCTGGA-3’;</w:t>
      </w:r>
    </w:p>
    <w:p w14:paraId="1245DCD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w:t>
      </w:r>
      <w:r>
        <w:rPr>
          <w:rFonts w:hint="eastAsia" w:ascii="Times New Roman" w:hAnsi="Times New Roman" w:eastAsia="宋体" w:cs="Times New Roman"/>
          <w:i w:val="0"/>
          <w:iCs w:val="0"/>
          <w:caps w:val="0"/>
          <w:color w:val="auto"/>
          <w:spacing w:val="2"/>
          <w:sz w:val="24"/>
          <w:szCs w:val="24"/>
          <w:lang w:val="en-US" w:eastAsia="zh-CN"/>
        </w:rPr>
        <w:t>-</w:t>
      </w:r>
      <w:r>
        <w:rPr>
          <w:rFonts w:hint="default" w:ascii="Times New Roman" w:hAnsi="Times New Roman" w:eastAsia="Helvetica" w:cs="Times New Roman"/>
          <w:i w:val="0"/>
          <w:iCs w:val="0"/>
          <w:caps w:val="0"/>
          <w:color w:val="auto"/>
          <w:spacing w:val="2"/>
          <w:sz w:val="24"/>
          <w:szCs w:val="24"/>
        </w:rPr>
        <w:t>6</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 ACTCACCTCTTCAGAACGAATTG-3’,</w:t>
      </w:r>
    </w:p>
    <w:p w14:paraId="7AE6B5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w:t>
      </w:r>
      <w:r>
        <w:rPr>
          <w:rFonts w:hint="eastAsia" w:ascii="Times New Roman" w:hAnsi="Times New Roman" w:eastAsia="宋体" w:cs="Times New Roman"/>
          <w:i w:val="0"/>
          <w:iCs w:val="0"/>
          <w:caps w:val="0"/>
          <w:color w:val="auto"/>
          <w:spacing w:val="2"/>
          <w:sz w:val="24"/>
          <w:szCs w:val="24"/>
          <w:lang w:val="en-US" w:eastAsia="zh-CN"/>
        </w:rPr>
        <w:t>-</w:t>
      </w:r>
      <w:r>
        <w:rPr>
          <w:rFonts w:hint="default" w:ascii="Times New Roman" w:hAnsi="Times New Roman" w:eastAsia="Helvetica" w:cs="Times New Roman"/>
          <w:i w:val="0"/>
          <w:iCs w:val="0"/>
          <w:caps w:val="0"/>
          <w:color w:val="auto"/>
          <w:spacing w:val="2"/>
          <w:sz w:val="24"/>
          <w:szCs w:val="24"/>
        </w:rPr>
        <w:t>6</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 CCATCTTTGGAAGGTTCAGGTTG-3’;</w:t>
      </w:r>
    </w:p>
    <w:p w14:paraId="3B58D4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IL-12</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 CCTTGCACTTCTGAAGAGATTGA-3’,</w:t>
      </w:r>
    </w:p>
    <w:p w14:paraId="160F715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IL-12</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 ACAGGGCCATCATAAAAGAGGT-3’;</w:t>
      </w:r>
    </w:p>
    <w:p w14:paraId="050BD5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iNOS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TTCAGTATCACAACCTCAGCAAG-3’,</w:t>
      </w:r>
    </w:p>
    <w:p w14:paraId="02E1373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iNOS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 TGGACCTGCAAGTTAAAATCCC-3’;</w:t>
      </w:r>
    </w:p>
    <w:p w14:paraId="22FCB7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GAPDH</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forward: 5’-</w:t>
      </w:r>
      <w:r>
        <w:rPr>
          <w:rFonts w:hint="eastAsia" w:ascii="Times New Roman" w:hAnsi="Times New Roman" w:cs="Times New Roman"/>
          <w:b w:val="0"/>
          <w:bCs w:val="0"/>
          <w:color w:val="auto"/>
          <w:sz w:val="24"/>
          <w:szCs w:val="24"/>
          <w:lang w:val="en-US" w:eastAsia="zh-CN"/>
        </w:rPr>
        <w:t xml:space="preserve"> GGAGCGAGATCCCTCCAAAAT</w:t>
      </w:r>
      <w:r>
        <w:rPr>
          <w:rFonts w:hint="default" w:ascii="Times New Roman" w:hAnsi="Times New Roman" w:cs="Times New Roman"/>
          <w:b w:val="0"/>
          <w:bCs w:val="0"/>
          <w:color w:val="auto"/>
          <w:sz w:val="24"/>
          <w:szCs w:val="24"/>
          <w:lang w:val="en-US" w:eastAsia="zh-CN"/>
        </w:rPr>
        <w:t>-3’,</w:t>
      </w:r>
    </w:p>
    <w:p w14:paraId="711C67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Helvetica" w:cs="Times New Roman"/>
          <w:i w:val="0"/>
          <w:iCs w:val="0"/>
          <w:caps w:val="0"/>
          <w:color w:val="auto"/>
          <w:spacing w:val="2"/>
          <w:sz w:val="24"/>
          <w:szCs w:val="24"/>
        </w:rPr>
        <w:t>GAPDH</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reverse: 5’- GGCTGTTGTCATACTTCTCATGG-3’;</w:t>
      </w:r>
    </w:p>
    <w:p w14:paraId="5D75173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0B2295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Drug combination and Bliss independence analysis</w:t>
      </w:r>
    </w:p>
    <w:p w14:paraId="71A8B5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The interaction between dasatinib and BGJ398 was evaluated using the Bliss independence model. Briefly, cells were treated with individual drugs or their combination, and cell viability was determined using the indicated assays. The expected viability for drug combinations was calculated based on the Bliss independence equation: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E</w:t>
      </w:r>
      <w:r>
        <w:rPr>
          <w:rFonts w:hint="default" w:ascii="Times New Roman" w:hAnsi="Times New Roman" w:cs="Times New Roman"/>
          <w:b w:val="0"/>
          <w:bCs w:val="0"/>
          <w:color w:val="auto"/>
          <w:sz w:val="24"/>
          <w:szCs w:val="24"/>
          <w:vertAlign w:val="subscript"/>
          <w:lang w:val="en-US" w:eastAsia="zh-CN"/>
        </w:rPr>
        <w:t>AB</w:t>
      </w:r>
      <w:r>
        <w:rPr>
          <w:rFonts w:hint="default" w:ascii="Times New Roman" w:hAnsi="Times New Roman" w:cs="Times New Roman"/>
          <w:b w:val="0"/>
          <w:bCs w:val="0"/>
          <w:color w:val="auto"/>
          <w:sz w:val="24"/>
          <w:szCs w:val="24"/>
          <w:lang w:val="en-US" w:eastAsia="zh-CN"/>
        </w:rPr>
        <w:t>=E</w:t>
      </w:r>
      <w:r>
        <w:rPr>
          <w:rFonts w:hint="default" w:ascii="Times New Roman" w:hAnsi="Times New Roman" w:cs="Times New Roman"/>
          <w:b w:val="0"/>
          <w:bCs w:val="0"/>
          <w:color w:val="auto"/>
          <w:sz w:val="24"/>
          <w:szCs w:val="24"/>
          <w:vertAlign w:val="subscript"/>
          <w:lang w:val="en-US" w:eastAsia="zh-CN"/>
        </w:rPr>
        <w:t>A</w:t>
      </w:r>
      <w:r>
        <w:rPr>
          <w:rFonts w:hint="default" w:ascii="Times New Roman" w:hAnsi="Times New Roman" w:cs="Times New Roman"/>
          <w:b w:val="0"/>
          <w:bCs w:val="0"/>
          <w:color w:val="auto"/>
          <w:sz w:val="24"/>
          <w:szCs w:val="24"/>
          <w:lang w:val="en-US" w:eastAsia="zh-CN"/>
        </w:rPr>
        <w:t>×E</w:t>
      </w:r>
      <w:r>
        <w:rPr>
          <w:rFonts w:hint="default" w:ascii="Times New Roman" w:hAnsi="Times New Roman" w:cs="Times New Roman"/>
          <w:b w:val="0"/>
          <w:bCs w:val="0"/>
          <w:color w:val="auto"/>
          <w:sz w:val="24"/>
          <w:szCs w:val="24"/>
          <w:vertAlign w:val="subscript"/>
          <w:lang w:val="en-US" w:eastAsia="zh-CN"/>
        </w:rPr>
        <w:t>B</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where E</w:t>
      </w:r>
      <w:r>
        <w:rPr>
          <w:rFonts w:hint="default" w:ascii="Times New Roman" w:hAnsi="Times New Roman" w:cs="Times New Roman"/>
          <w:b w:val="0"/>
          <w:bCs w:val="0"/>
          <w:color w:val="auto"/>
          <w:sz w:val="24"/>
          <w:szCs w:val="24"/>
          <w:vertAlign w:val="subscript"/>
          <w:lang w:val="en-US" w:eastAsia="zh-CN"/>
        </w:rPr>
        <w:t>A</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and E</w:t>
      </w:r>
      <w:r>
        <w:rPr>
          <w:rFonts w:hint="default" w:ascii="Times New Roman" w:hAnsi="Times New Roman" w:cs="Times New Roman"/>
          <w:b w:val="0"/>
          <w:bCs w:val="0"/>
          <w:color w:val="auto"/>
          <w:sz w:val="24"/>
          <w:szCs w:val="24"/>
          <w:vertAlign w:val="subscript"/>
          <w:lang w:val="en-US" w:eastAsia="zh-CN"/>
        </w:rPr>
        <w:t>B</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represent the fractional viability after treatment with drug A and drug B, respectively. The Bliss synergy score was calculated as: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Bliss score=E</w:t>
      </w:r>
      <w:r>
        <w:rPr>
          <w:rFonts w:hint="default" w:ascii="Times New Roman" w:hAnsi="Times New Roman" w:cs="Times New Roman"/>
          <w:b w:val="0"/>
          <w:bCs w:val="0"/>
          <w:color w:val="auto"/>
          <w:sz w:val="24"/>
          <w:szCs w:val="24"/>
          <w:vertAlign w:val="subscript"/>
          <w:lang w:val="en-US" w:eastAsia="zh-CN"/>
        </w:rPr>
        <w:t>expected</w:t>
      </w:r>
      <w:r>
        <w:rPr>
          <w:rFonts w:hint="default" w:ascii="Times New Roman" w:hAnsi="Times New Roman" w:cs="Times New Roman"/>
          <w:b w:val="0"/>
          <w:bCs w:val="0"/>
          <w:color w:val="auto"/>
          <w:sz w:val="24"/>
          <w:szCs w:val="24"/>
          <w:lang w:val="en-US" w:eastAsia="zh-CN"/>
        </w:rPr>
        <w:t>−E</w:t>
      </w:r>
      <w:r>
        <w:rPr>
          <w:rFonts w:hint="default" w:ascii="Times New Roman" w:hAnsi="Times New Roman" w:cs="Times New Roman"/>
          <w:b w:val="0"/>
          <w:bCs w:val="0"/>
          <w:color w:val="auto"/>
          <w:sz w:val="24"/>
          <w:szCs w:val="24"/>
          <w:vertAlign w:val="subscript"/>
          <w:lang w:val="en-US" w:eastAsia="zh-CN"/>
        </w:rPr>
        <w:t>observed</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where E</w:t>
      </w:r>
      <w:r>
        <w:rPr>
          <w:rFonts w:hint="default" w:ascii="Times New Roman" w:hAnsi="Times New Roman" w:cs="Times New Roman"/>
          <w:b w:val="0"/>
          <w:bCs w:val="0"/>
          <w:color w:val="auto"/>
          <w:sz w:val="24"/>
          <w:szCs w:val="24"/>
          <w:vertAlign w:val="subscript"/>
          <w:lang w:val="en-US" w:eastAsia="zh-CN"/>
        </w:rPr>
        <w:t>observed</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represents the experimentally measured viability of the drug combination. Positive Bliss scores indicate synergistic interactions, whereas negative scores indicate antagonistic effects.</w:t>
      </w:r>
    </w:p>
    <w:p w14:paraId="41A09A1E">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
    <w:altName w:val="Times New Roman"/>
    <w:panose1 w:val="00000000000000000000"/>
    <w:charset w:val="00"/>
    <w:family w:val="roman"/>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43C62"/>
    <w:rsid w:val="1A07241B"/>
    <w:rsid w:val="48C43C62"/>
    <w:rsid w:val="4A547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219</Words>
  <Characters>1610</Characters>
  <Lines>0</Lines>
  <Paragraphs>0</Paragraphs>
  <TotalTime>0</TotalTime>
  <ScaleCrop>false</ScaleCrop>
  <LinksUpToDate>false</LinksUpToDate>
  <CharactersWithSpaces>1812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2026-04-20T00:56:00Z</dcterms:created>
  <dc:creator>人事考试中心-常老师</dc:creator>
  <cp:lastModifiedBy>王月琴</cp:lastModifiedBy>
  <dcterms:modified xsi:type="dcterms:W3CDTF">2026-08-27T01:19:53Z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3AD501D731FC44548FFF3CB64CC722E1_11</vt:lpwstr>
  </property>
  <property fmtid="{D5CDD505-2E9C-101B-9397-08002B2CF9AE}" pid="4" name="KSOTemplateDocerSaveRecord">
    <vt:lpwstr>eyJoZGlkIjoiZTQyODUyN2M4MGRhNTcyNDk5MTUwNDQ1OTU3MmVhNWYiLCJ1c2VySWQiOiIxNjk5OTU1NDMyIn0=</vt:lpwstr>
  </property>
</Properties>
</file>