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F45E9" w14:textId="77777777" w:rsidR="00EA419A" w:rsidRPr="00EA419A" w:rsidRDefault="00EA419A" w:rsidP="00EA419A">
      <w:pPr>
        <w:rPr>
          <w:color w:val="FF0000"/>
        </w:rPr>
      </w:pPr>
      <w:r w:rsidRPr="00EA419A">
        <w:rPr>
          <w:color w:val="FF0000"/>
        </w:rPr>
        <w:t>1. Selection Strategy and Title/Abstract Exclusion Protocol</w:t>
      </w:r>
    </w:p>
    <w:p w14:paraId="6999A198" w14:textId="77777777" w:rsidR="00EA419A" w:rsidRPr="00EA419A" w:rsidRDefault="00EA419A" w:rsidP="00EA419A">
      <w:pPr>
        <w:rPr>
          <w:color w:val="FF0000"/>
        </w:rPr>
      </w:pPr>
      <w:r w:rsidRPr="00EA419A">
        <w:rPr>
          <w:color w:val="FF0000"/>
        </w:rPr>
        <w:t>Literature screening was performed independently by two investigators. Screening based on titles and abstracts served as the primary filter to exclude clearly non-eligible records prior to full-text retrieval.</w:t>
      </w:r>
    </w:p>
    <w:p w14:paraId="384445EA" w14:textId="77777777" w:rsidR="00EA419A" w:rsidRPr="00EA419A" w:rsidRDefault="00EA419A" w:rsidP="00EA419A">
      <w:pPr>
        <w:rPr>
          <w:color w:val="FF0000"/>
        </w:rPr>
      </w:pPr>
      <w:r w:rsidRPr="00EA419A">
        <w:rPr>
          <w:color w:val="FF0000"/>
        </w:rPr>
        <w:t>Citations were excluded during the title and abstract screening stage based on the following sequential/hierarchical rules:</w:t>
      </w:r>
    </w:p>
    <w:p w14:paraId="2E3AE2AC" w14:textId="580884FA" w:rsidR="00EA419A" w:rsidRPr="00EA419A" w:rsidRDefault="00EA419A" w:rsidP="00EA419A">
      <w:pPr>
        <w:rPr>
          <w:color w:val="FF0000"/>
        </w:rPr>
      </w:pPr>
      <w:r w:rsidRPr="00EA419A">
        <w:rPr>
          <w:color w:val="FF0000"/>
        </w:rPr>
        <w:t xml:space="preserve">(1) </w:t>
      </w:r>
      <w:r w:rsidRPr="00EA419A">
        <w:rPr>
          <w:color w:val="FF0000"/>
        </w:rPr>
        <w:t>Publication Type: Non-original research (e.g., narrative reviews, systematic reviews, meta-analyses, editorials, letters, commentaries, case reports, and conference abstracts without full data) or animal/in vitro experimental studies.</w:t>
      </w:r>
    </w:p>
    <w:p w14:paraId="2416B0F6" w14:textId="59E2561E" w:rsidR="00EA419A" w:rsidRPr="00EA419A" w:rsidRDefault="00EA419A" w:rsidP="00EA419A">
      <w:pPr>
        <w:rPr>
          <w:color w:val="FF0000"/>
        </w:rPr>
      </w:pPr>
      <w:r w:rsidRPr="00EA419A">
        <w:rPr>
          <w:color w:val="FF0000"/>
        </w:rPr>
        <w:t xml:space="preserve">(2) </w:t>
      </w:r>
      <w:r w:rsidRPr="00EA419A">
        <w:rPr>
          <w:color w:val="FF0000"/>
        </w:rPr>
        <w:t>Study Design: Non-cohort study designs (e.g., cross-sectional surveys without longitudinal tracking, case-control studies, single-arm descriptive studies).</w:t>
      </w:r>
    </w:p>
    <w:p w14:paraId="158F83FE" w14:textId="5B0E9AEF" w:rsidR="00EA419A" w:rsidRPr="00EA419A" w:rsidRDefault="00EA419A" w:rsidP="00EA419A">
      <w:pPr>
        <w:rPr>
          <w:color w:val="FF0000"/>
        </w:rPr>
      </w:pPr>
      <w:r w:rsidRPr="00EA419A">
        <w:rPr>
          <w:color w:val="FF0000"/>
        </w:rPr>
        <w:t>(</w:t>
      </w:r>
      <w:r w:rsidRPr="00EA419A">
        <w:rPr>
          <w:color w:val="FF0000"/>
        </w:rPr>
        <w:t>3</w:t>
      </w:r>
      <w:r w:rsidRPr="00EA419A">
        <w:rPr>
          <w:color w:val="FF0000"/>
        </w:rPr>
        <w:t>)</w:t>
      </w:r>
      <w:r w:rsidRPr="00EA419A">
        <w:rPr>
          <w:color w:val="FF0000"/>
        </w:rPr>
        <w:t xml:space="preserve"> </w:t>
      </w:r>
      <w:r w:rsidRPr="00EA419A">
        <w:rPr>
          <w:color w:val="FF0000"/>
        </w:rPr>
        <w:t>Population Mismatch: Studies exclusively involving adult populations (aged &gt;18 years) or infants/preschoolers (aged &lt;6 years), or cohorts presenting with severe ocular pathology (e.g., congenital cataracts, severe retinal diseases).</w:t>
      </w:r>
    </w:p>
    <w:p w14:paraId="3DC76AB6" w14:textId="5A5A9B17" w:rsidR="00EA419A" w:rsidRPr="00EA419A" w:rsidRDefault="00EA419A" w:rsidP="00EA419A">
      <w:pPr>
        <w:rPr>
          <w:color w:val="FF0000"/>
        </w:rPr>
      </w:pPr>
      <w:r w:rsidRPr="00EA419A">
        <w:rPr>
          <w:color w:val="FF0000"/>
        </w:rPr>
        <w:t>(</w:t>
      </w:r>
      <w:r w:rsidRPr="00EA419A">
        <w:rPr>
          <w:color w:val="FF0000"/>
        </w:rPr>
        <w:t>4</w:t>
      </w:r>
      <w:r w:rsidRPr="00EA419A">
        <w:rPr>
          <w:color w:val="FF0000"/>
        </w:rPr>
        <w:t>)</w:t>
      </w:r>
      <w:r w:rsidRPr="00EA419A">
        <w:rPr>
          <w:color w:val="FF0000"/>
        </w:rPr>
        <w:t xml:space="preserve"> </w:t>
      </w:r>
      <w:r w:rsidRPr="00EA419A">
        <w:rPr>
          <w:color w:val="FF0000"/>
        </w:rPr>
        <w:t>Intervention vs. Risk Factor Focus: Clinical trials investigating treatment or myopia control efficacy (e.g., atropine drops, orthokeratology/OK lenses) rather than evaluating etiological risk factors.</w:t>
      </w:r>
    </w:p>
    <w:p w14:paraId="26558DE1" w14:textId="423C9D6F" w:rsidR="00EA419A" w:rsidRPr="00EA419A" w:rsidRDefault="00EA419A" w:rsidP="00EA419A">
      <w:pPr>
        <w:rPr>
          <w:color w:val="FF0000"/>
        </w:rPr>
      </w:pPr>
      <w:r w:rsidRPr="00EA419A">
        <w:rPr>
          <w:color w:val="FF0000"/>
        </w:rPr>
        <w:t>(</w:t>
      </w:r>
      <w:r w:rsidRPr="00EA419A">
        <w:rPr>
          <w:color w:val="FF0000"/>
        </w:rPr>
        <w:t>5</w:t>
      </w:r>
      <w:r w:rsidRPr="00EA419A">
        <w:rPr>
          <w:color w:val="FF0000"/>
        </w:rPr>
        <w:t>)</w:t>
      </w:r>
      <w:r w:rsidRPr="00EA419A">
        <w:rPr>
          <w:color w:val="FF0000"/>
        </w:rPr>
        <w:t xml:space="preserve"> </w:t>
      </w:r>
      <w:r w:rsidRPr="00EA419A">
        <w:rPr>
          <w:color w:val="FF0000"/>
        </w:rPr>
        <w:t>Duplicates: Duplicate citations identified across databases.</w:t>
      </w:r>
    </w:p>
    <w:p w14:paraId="68455552" w14:textId="3B30A856" w:rsidR="00EA419A" w:rsidRPr="00EA419A" w:rsidRDefault="00EA419A" w:rsidP="00EA419A">
      <w:pPr>
        <w:rPr>
          <w:color w:val="FF0000"/>
        </w:rPr>
      </w:pPr>
      <w:r w:rsidRPr="00EA419A">
        <w:rPr>
          <w:color w:val="FF0000"/>
        </w:rPr>
        <w:t>Conservatism Principle: If a study’s eligibility could not be conclusively determined from the title and abstract alone (e.g., ambiguous study design or unspecified age ranges), the full-text article was automatically retrieved for secondary evaluation to avoid premature exclusion.</w:t>
      </w:r>
    </w:p>
    <w:p w14:paraId="29A06F88" w14:textId="77777777" w:rsidR="00EA419A" w:rsidRDefault="00EA419A" w:rsidP="00292786"/>
    <w:p w14:paraId="522BEE3A" w14:textId="77777777" w:rsidR="00EA419A" w:rsidRDefault="00EA419A" w:rsidP="00292786"/>
    <w:p w14:paraId="2CF736AF" w14:textId="77777777" w:rsidR="00EA419A" w:rsidRDefault="00EA419A" w:rsidP="00292786"/>
    <w:p w14:paraId="6E704638" w14:textId="35693AEB" w:rsidR="00292786" w:rsidRDefault="00EA419A" w:rsidP="00292786">
      <w:r>
        <w:t>2.I</w:t>
      </w:r>
      <w:r w:rsidR="00292786">
        <w:t xml:space="preserve">nclusion </w:t>
      </w:r>
      <w:proofErr w:type="gramStart"/>
      <w:r w:rsidR="00292786">
        <w:t>Criteria</w:t>
      </w:r>
      <w:r w:rsidRPr="00EA419A">
        <w:t>(</w:t>
      </w:r>
      <w:proofErr w:type="gramEnd"/>
      <w:r w:rsidRPr="00EA419A">
        <w:t>Full-Text Evaluation)</w:t>
      </w:r>
    </w:p>
    <w:p w14:paraId="6442B8B2" w14:textId="6DED6D64" w:rsidR="00292786" w:rsidRDefault="00EA419A" w:rsidP="00292786">
      <w:r>
        <w:t>1.</w:t>
      </w:r>
      <w:r w:rsidR="00292786">
        <w:t xml:space="preserve"> Participants are children and adolescents (aged 6–18 years).</w:t>
      </w:r>
    </w:p>
    <w:p w14:paraId="6EB4634C" w14:textId="2A203165" w:rsidR="00292786" w:rsidRDefault="00EA419A" w:rsidP="00292786">
      <w:r>
        <w:t>2.</w:t>
      </w:r>
      <w:r w:rsidR="00292786">
        <w:t xml:space="preserve"> The study investigates one or more myopia risk factors listed in this research.</w:t>
      </w:r>
    </w:p>
    <w:p w14:paraId="19524443" w14:textId="3659DF4C" w:rsidR="00292786" w:rsidRDefault="00EA419A" w:rsidP="00292786">
      <w:r>
        <w:t>3.</w:t>
      </w:r>
      <w:r w:rsidR="00292786">
        <w:t xml:space="preserve"> A control group is included for comparison.</w:t>
      </w:r>
    </w:p>
    <w:p w14:paraId="04117651" w14:textId="5BD00B07" w:rsidR="00292786" w:rsidRDefault="00EA419A" w:rsidP="00292786">
      <w:r>
        <w:t xml:space="preserve">4. </w:t>
      </w:r>
      <w:r w:rsidR="00292786">
        <w:t>Outcome measures include the occurrence of myopia or myopia-related ocular parameters, such as refractive error (**spherical equivalent, SE ≤ -0.50 D or SE ≤ -0.75 D) and myopia incidence.</w:t>
      </w:r>
    </w:p>
    <w:p w14:paraId="2CF4A8D7" w14:textId="23B7EE25" w:rsidR="00292786" w:rsidRDefault="00EA419A" w:rsidP="00292786">
      <w:r>
        <w:t>5.</w:t>
      </w:r>
      <w:r w:rsidR="00292786">
        <w:t xml:space="preserve"> Cohort studies must provide data sufficient for calculating pooled effect sizes.</w:t>
      </w:r>
    </w:p>
    <w:p w14:paraId="40FE0869" w14:textId="77777777" w:rsidR="00292786" w:rsidRDefault="00292786" w:rsidP="00292786"/>
    <w:p w14:paraId="6C9588D9" w14:textId="66064936" w:rsidR="00292786" w:rsidRDefault="00292786" w:rsidP="00292786">
      <w:r>
        <w:t>Exclusion Criteria</w:t>
      </w:r>
    </w:p>
    <w:p w14:paraId="3FAFCB78" w14:textId="4FBF0DE7" w:rsidR="00292786" w:rsidRDefault="00EA419A" w:rsidP="00292786">
      <w:r>
        <w:t>1.</w:t>
      </w:r>
      <w:r w:rsidR="00292786">
        <w:t xml:space="preserve"> Participants are adults (age &gt;18 years) or the study only reports adult data.</w:t>
      </w:r>
    </w:p>
    <w:p w14:paraId="561D7DF4" w14:textId="37593BAE" w:rsidR="00292786" w:rsidRDefault="00EA419A" w:rsidP="00292786">
      <w:r>
        <w:t>2.</w:t>
      </w:r>
      <w:r w:rsidR="00292786">
        <w:t xml:space="preserve"> Animal experiments or *in vitro* studies.</w:t>
      </w:r>
    </w:p>
    <w:p w14:paraId="4475DECB" w14:textId="07D87424" w:rsidR="00292786" w:rsidRDefault="00EA419A" w:rsidP="00292786">
      <w:r>
        <w:t xml:space="preserve">3. </w:t>
      </w:r>
      <w:r w:rsidR="00292786">
        <w:t>Reviews, commentaries, letters, case reports, and expert opinions.</w:t>
      </w:r>
    </w:p>
    <w:p w14:paraId="78F0F3D3" w14:textId="15290D01" w:rsidR="00292786" w:rsidRDefault="00EA419A" w:rsidP="00292786">
      <w:r>
        <w:t>4.</w:t>
      </w:r>
      <w:r w:rsidR="00292786">
        <w:t xml:space="preserve"> </w:t>
      </w:r>
      <w:proofErr w:type="gramStart"/>
      <w:r w:rsidR="00292786">
        <w:t>Non-cohort</w:t>
      </w:r>
      <w:proofErr w:type="gramEnd"/>
      <w:r w:rsidR="00292786">
        <w:t xml:space="preserve"> studies.</w:t>
      </w:r>
    </w:p>
    <w:p w14:paraId="4EC6DCF0" w14:textId="3BEBE670" w:rsidR="00292786" w:rsidRDefault="00EA419A" w:rsidP="00292786">
      <w:r>
        <w:t>5.</w:t>
      </w:r>
      <w:r w:rsidR="00292786">
        <w:t xml:space="preserve"> Studies where the full text is inaccessible or data cannot be extracted.</w:t>
      </w:r>
    </w:p>
    <w:p w14:paraId="3E16C39F" w14:textId="46F37976" w:rsidR="00292786" w:rsidRDefault="00EA419A" w:rsidP="00292786">
      <w:r>
        <w:t>6.</w:t>
      </w:r>
      <w:r w:rsidR="00292786">
        <w:t xml:space="preserve"> Duplicate publications (only the latest or most complete version is retained).</w:t>
      </w:r>
    </w:p>
    <w:p w14:paraId="3B951AC2" w14:textId="027A51E8" w:rsidR="002F7281" w:rsidRDefault="00EA419A" w:rsidP="00292786">
      <w:r>
        <w:t>7.</w:t>
      </w:r>
      <w:r w:rsidR="00292786">
        <w:t xml:space="preserve"> Studies lacking a control group or having ill-defined outcome measures.</w:t>
      </w:r>
    </w:p>
    <w:sectPr w:rsidR="002F72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17F0A" w14:textId="77777777" w:rsidR="003056FD" w:rsidRDefault="003056FD" w:rsidP="00292786">
      <w:r>
        <w:separator/>
      </w:r>
    </w:p>
  </w:endnote>
  <w:endnote w:type="continuationSeparator" w:id="0">
    <w:p w14:paraId="16F5E7C7" w14:textId="77777777" w:rsidR="003056FD" w:rsidRDefault="003056FD" w:rsidP="00292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0B021" w14:textId="77777777" w:rsidR="003056FD" w:rsidRDefault="003056FD" w:rsidP="00292786">
      <w:r>
        <w:separator/>
      </w:r>
    </w:p>
  </w:footnote>
  <w:footnote w:type="continuationSeparator" w:id="0">
    <w:p w14:paraId="23B80458" w14:textId="77777777" w:rsidR="003056FD" w:rsidRDefault="003056FD" w:rsidP="002927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281"/>
    <w:rsid w:val="0013158F"/>
    <w:rsid w:val="00292786"/>
    <w:rsid w:val="002F7281"/>
    <w:rsid w:val="003056FD"/>
    <w:rsid w:val="00EA4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AA88BF"/>
  <w15:chartTrackingRefBased/>
  <w15:docId w15:val="{5720C8D9-E052-44F0-9CB3-3759636A9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27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9278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927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9278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95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383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Microsoft Office User</cp:lastModifiedBy>
  <cp:revision>3</cp:revision>
  <dcterms:created xsi:type="dcterms:W3CDTF">2026-04-04T16:42:00Z</dcterms:created>
  <dcterms:modified xsi:type="dcterms:W3CDTF">2026-08-03T02:16:00Z</dcterms:modified>
</cp:coreProperties>
</file>